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2F0E3">
      <w:pPr>
        <w:spacing w:line="800" w:lineRule="exact"/>
        <w:jc w:val="center"/>
        <w:rPr>
          <w:rFonts w:hint="eastAsia" w:ascii="仿宋_GB2312" w:hAnsi="仿宋_GB2312" w:eastAsia="仿宋_GB2312" w:cs="仿宋_GB2312"/>
          <w:b/>
          <w:bCs/>
          <w:color w:val="auto"/>
          <w:sz w:val="44"/>
          <w:szCs w:val="44"/>
          <w:highlight w:val="none"/>
          <w:lang w:val="en-US" w:eastAsia="zh-CN"/>
        </w:rPr>
      </w:pPr>
    </w:p>
    <w:p w14:paraId="7BEEE015">
      <w:pPr>
        <w:spacing w:line="800" w:lineRule="exact"/>
        <w:jc w:val="center"/>
        <w:rPr>
          <w:rFonts w:hint="eastAsia" w:ascii="仿宋_GB2312" w:hAnsi="仿宋_GB2312" w:eastAsia="仿宋_GB2312" w:cs="仿宋_GB2312"/>
          <w:color w:val="auto"/>
          <w:sz w:val="44"/>
          <w:szCs w:val="44"/>
          <w:highlight w:val="none"/>
        </w:rPr>
      </w:pPr>
      <w:r>
        <w:rPr>
          <w:rFonts w:hint="eastAsia" w:ascii="仿宋_GB2312" w:hAnsi="仿宋_GB2312" w:eastAsia="仿宋_GB2312" w:cs="仿宋_GB2312"/>
          <w:b/>
          <w:bCs/>
          <w:color w:val="auto"/>
          <w:sz w:val="44"/>
          <w:szCs w:val="44"/>
          <w:highlight w:val="none"/>
          <w:lang w:val="en-US" w:eastAsia="zh-CN"/>
        </w:rPr>
        <w:t>赣州市交通投资集团</w:t>
      </w:r>
      <w:r>
        <w:rPr>
          <w:rFonts w:hint="eastAsia" w:ascii="仿宋_GB2312" w:hAnsi="仿宋_GB2312" w:eastAsia="仿宋_GB2312" w:cs="仿宋_GB2312"/>
          <w:b/>
          <w:bCs/>
          <w:color w:val="auto"/>
          <w:sz w:val="44"/>
          <w:szCs w:val="44"/>
          <w:highlight w:val="none"/>
        </w:rPr>
        <w:t>有限</w:t>
      </w:r>
      <w:r>
        <w:rPr>
          <w:rFonts w:hint="eastAsia" w:ascii="仿宋_GB2312" w:hAnsi="仿宋_GB2312" w:eastAsia="仿宋_GB2312" w:cs="仿宋_GB2312"/>
          <w:b/>
          <w:bCs/>
          <w:color w:val="auto"/>
          <w:sz w:val="44"/>
          <w:szCs w:val="44"/>
          <w:highlight w:val="none"/>
          <w:lang w:val="en-US" w:eastAsia="zh-CN"/>
        </w:rPr>
        <w:t>责任</w:t>
      </w:r>
      <w:r>
        <w:rPr>
          <w:rFonts w:hint="eastAsia" w:ascii="仿宋_GB2312" w:hAnsi="仿宋_GB2312" w:eastAsia="仿宋_GB2312" w:cs="仿宋_GB2312"/>
          <w:b/>
          <w:bCs/>
          <w:color w:val="auto"/>
          <w:sz w:val="44"/>
          <w:szCs w:val="44"/>
          <w:highlight w:val="none"/>
        </w:rPr>
        <w:t>公司</w:t>
      </w:r>
    </w:p>
    <w:p w14:paraId="5244D2C8">
      <w:pPr>
        <w:rPr>
          <w:rFonts w:hint="eastAsia"/>
          <w:color w:val="auto"/>
          <w:highlight w:val="none"/>
          <w:lang w:val="en-US" w:eastAsia="zh-CN"/>
        </w:rPr>
      </w:pPr>
    </w:p>
    <w:p w14:paraId="0E8759CA">
      <w:pPr>
        <w:pStyle w:val="2"/>
        <w:rPr>
          <w:rFonts w:hint="eastAsia"/>
          <w:color w:val="auto"/>
          <w:highlight w:val="none"/>
          <w:lang w:val="en-US" w:eastAsia="zh-CN"/>
        </w:rPr>
      </w:pPr>
    </w:p>
    <w:p w14:paraId="66F04B09">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t>2026-2027年度沥青采购项目</w:t>
      </w:r>
    </w:p>
    <w:p w14:paraId="6423F20F">
      <w:pPr>
        <w:pStyle w:val="2"/>
        <w:jc w:val="center"/>
        <w:rPr>
          <w:rFonts w:hint="eastAsia"/>
          <w:highlight w:val="none"/>
          <w:lang w:val="en-US" w:eastAsia="zh-CN"/>
        </w:rPr>
      </w:pPr>
      <w:r>
        <w:rPr>
          <w:rFonts w:hint="eastAsia" w:ascii="黑体" w:hAnsi="黑体" w:eastAsia="黑体" w:cs="黑体"/>
          <w:b/>
          <w:color w:val="auto"/>
          <w:kern w:val="2"/>
          <w:sz w:val="44"/>
          <w:szCs w:val="44"/>
          <w:highlight w:val="none"/>
          <w:lang w:val="en-US" w:eastAsia="zh-CN" w:bidi="ar-SA"/>
        </w:rPr>
        <w:t>（第二次）</w:t>
      </w:r>
    </w:p>
    <w:p w14:paraId="48A53935">
      <w:pPr>
        <w:pStyle w:val="9"/>
        <w:ind w:firstLine="2371" w:firstLineChars="328"/>
        <w:rPr>
          <w:rFonts w:hint="eastAsia" w:ascii="仿宋_GB2312" w:hAnsi="仿宋_GB2312" w:eastAsia="仿宋_GB2312" w:cs="仿宋_GB2312"/>
          <w:b/>
          <w:color w:val="auto"/>
          <w:sz w:val="72"/>
          <w:szCs w:val="72"/>
          <w:highlight w:val="none"/>
        </w:rPr>
      </w:pPr>
    </w:p>
    <w:p w14:paraId="6519478F">
      <w:pPr>
        <w:rPr>
          <w:rFonts w:hint="eastAsia" w:ascii="仿宋_GB2312" w:hAnsi="仿宋_GB2312" w:eastAsia="仿宋_GB2312" w:cs="仿宋_GB2312"/>
          <w:b/>
          <w:color w:val="auto"/>
          <w:sz w:val="72"/>
          <w:szCs w:val="72"/>
          <w:highlight w:val="none"/>
        </w:rPr>
      </w:pPr>
    </w:p>
    <w:p w14:paraId="4C00F98E">
      <w:pPr>
        <w:rPr>
          <w:rFonts w:hint="eastAsia" w:ascii="仿宋_GB2312" w:hAnsi="仿宋_GB2312" w:eastAsia="仿宋_GB2312" w:cs="仿宋_GB2312"/>
          <w:b/>
          <w:color w:val="auto"/>
          <w:sz w:val="72"/>
          <w:szCs w:val="72"/>
          <w:highlight w:val="none"/>
        </w:rPr>
      </w:pPr>
    </w:p>
    <w:p w14:paraId="72E48A6E">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黑体" w:hAnsi="黑体" w:eastAsia="黑体" w:cs="黑体"/>
          <w:b/>
          <w:color w:val="auto"/>
          <w:kern w:val="2"/>
          <w:sz w:val="84"/>
          <w:szCs w:val="84"/>
          <w:highlight w:val="none"/>
          <w:lang w:val="en-US" w:eastAsia="zh-CN" w:bidi="ar-SA"/>
        </w:rPr>
      </w:pPr>
      <w:r>
        <w:rPr>
          <w:rFonts w:hint="eastAsia" w:ascii="黑体" w:hAnsi="黑体" w:eastAsia="黑体" w:cs="黑体"/>
          <w:b/>
          <w:color w:val="auto"/>
          <w:kern w:val="2"/>
          <w:sz w:val="84"/>
          <w:szCs w:val="84"/>
          <w:highlight w:val="none"/>
          <w:lang w:val="en-US" w:eastAsia="zh-CN" w:bidi="ar-SA"/>
        </w:rPr>
        <w:t>询价文件</w:t>
      </w:r>
    </w:p>
    <w:p w14:paraId="2EE9EE6E">
      <w:pPr>
        <w:spacing w:line="800" w:lineRule="exact"/>
        <w:jc w:val="center"/>
        <w:rPr>
          <w:rFonts w:hint="eastAsia" w:ascii="仿宋_GB2312" w:hAnsi="仿宋_GB2312" w:eastAsia="仿宋_GB2312" w:cs="仿宋_GB2312"/>
          <w:b/>
          <w:color w:val="auto"/>
          <w:kern w:val="2"/>
          <w:sz w:val="44"/>
          <w:szCs w:val="44"/>
          <w:highlight w:val="none"/>
          <w:lang w:val="en-US" w:eastAsia="zh-CN" w:bidi="ar-SA"/>
        </w:rPr>
      </w:pPr>
    </w:p>
    <w:p w14:paraId="11EDC9F4">
      <w:pPr>
        <w:pStyle w:val="9"/>
        <w:ind w:firstLine="480"/>
        <w:rPr>
          <w:rFonts w:hint="eastAsia" w:ascii="仿宋_GB2312" w:hAnsi="仿宋_GB2312" w:eastAsia="仿宋_GB2312" w:cs="仿宋_GB2312"/>
          <w:color w:val="auto"/>
          <w:highlight w:val="none"/>
        </w:rPr>
      </w:pPr>
    </w:p>
    <w:p w14:paraId="76DC2FCF">
      <w:pPr>
        <w:spacing w:line="400" w:lineRule="exact"/>
        <w:jc w:val="center"/>
        <w:rPr>
          <w:rFonts w:hint="eastAsia" w:ascii="仿宋_GB2312" w:hAnsi="仿宋_GB2312" w:eastAsia="仿宋_GB2312" w:cs="仿宋_GB2312"/>
          <w:color w:val="auto"/>
          <w:highlight w:val="none"/>
        </w:rPr>
      </w:pPr>
    </w:p>
    <w:p w14:paraId="34DDF128">
      <w:pPr>
        <w:pStyle w:val="9"/>
        <w:rPr>
          <w:rFonts w:hint="eastAsia" w:ascii="仿宋_GB2312" w:hAnsi="仿宋_GB2312" w:eastAsia="仿宋_GB2312" w:cs="仿宋_GB2312"/>
          <w:color w:val="auto"/>
          <w:highlight w:val="none"/>
        </w:rPr>
      </w:pPr>
    </w:p>
    <w:p w14:paraId="728BF2A1">
      <w:pPr>
        <w:rPr>
          <w:rFonts w:hint="eastAsia" w:ascii="仿宋_GB2312" w:hAnsi="仿宋_GB2312" w:eastAsia="仿宋_GB2312" w:cs="仿宋_GB2312"/>
          <w:color w:val="auto"/>
          <w:highlight w:val="none"/>
        </w:rPr>
      </w:pPr>
    </w:p>
    <w:p w14:paraId="3F035F43">
      <w:pPr>
        <w:rPr>
          <w:rFonts w:hint="eastAsia" w:ascii="仿宋_GB2312" w:hAnsi="仿宋_GB2312" w:eastAsia="仿宋_GB2312" w:cs="仿宋_GB2312"/>
          <w:color w:val="auto"/>
          <w:highlight w:val="none"/>
        </w:rPr>
      </w:pPr>
    </w:p>
    <w:p w14:paraId="19F91677">
      <w:pPr>
        <w:rPr>
          <w:rFonts w:hint="eastAsia" w:ascii="仿宋_GB2312" w:hAnsi="仿宋_GB2312" w:eastAsia="仿宋_GB2312" w:cs="仿宋_GB2312"/>
          <w:color w:val="auto"/>
          <w:highlight w:val="none"/>
        </w:rPr>
      </w:pPr>
    </w:p>
    <w:p w14:paraId="26A44BB3">
      <w:pPr>
        <w:spacing w:line="400" w:lineRule="exact"/>
        <w:jc w:val="center"/>
        <w:rPr>
          <w:rFonts w:hint="eastAsia" w:ascii="仿宋_GB2312" w:hAnsi="仿宋_GB2312" w:eastAsia="仿宋_GB2312" w:cs="仿宋_GB2312"/>
          <w:color w:val="auto"/>
          <w:highlight w:val="none"/>
        </w:rPr>
      </w:pPr>
    </w:p>
    <w:p w14:paraId="46FAA034">
      <w:pPr>
        <w:spacing w:line="400" w:lineRule="exact"/>
        <w:jc w:val="center"/>
        <w:rPr>
          <w:rFonts w:hint="eastAsia" w:ascii="仿宋_GB2312" w:hAnsi="仿宋_GB2312" w:eastAsia="仿宋_GB2312" w:cs="仿宋_GB2312"/>
          <w:color w:val="auto"/>
          <w:highlight w:val="none"/>
        </w:rPr>
      </w:pPr>
    </w:p>
    <w:p w14:paraId="575B2903">
      <w:pPr>
        <w:jc w:val="center"/>
        <w:rPr>
          <w:rFonts w:hint="eastAsia" w:ascii="仿宋_GB2312" w:hAnsi="仿宋_GB2312" w:eastAsia="仿宋_GB2312" w:cs="仿宋_GB2312"/>
          <w:b/>
          <w:color w:val="auto"/>
          <w:sz w:val="36"/>
          <w:szCs w:val="36"/>
          <w:highlight w:val="none"/>
        </w:rPr>
      </w:pPr>
      <w:r>
        <w:rPr>
          <w:rFonts w:hint="eastAsia" w:ascii="仿宋_GB2312" w:hAnsi="仿宋_GB2312" w:eastAsia="仿宋_GB2312" w:cs="仿宋_GB2312"/>
          <w:b/>
          <w:color w:val="auto"/>
          <w:sz w:val="36"/>
          <w:szCs w:val="36"/>
          <w:highlight w:val="none"/>
          <w:lang w:val="en-US" w:eastAsia="zh-CN"/>
        </w:rPr>
        <w:t>赣州市交通投资集团</w:t>
      </w:r>
      <w:r>
        <w:rPr>
          <w:rFonts w:hint="eastAsia" w:ascii="仿宋_GB2312" w:hAnsi="仿宋_GB2312" w:eastAsia="仿宋_GB2312" w:cs="仿宋_GB2312"/>
          <w:b/>
          <w:color w:val="auto"/>
          <w:sz w:val="36"/>
          <w:szCs w:val="36"/>
          <w:highlight w:val="none"/>
        </w:rPr>
        <w:t>有限</w:t>
      </w:r>
      <w:r>
        <w:rPr>
          <w:rFonts w:hint="eastAsia" w:ascii="仿宋_GB2312" w:hAnsi="仿宋_GB2312" w:eastAsia="仿宋_GB2312" w:cs="仿宋_GB2312"/>
          <w:b/>
          <w:color w:val="auto"/>
          <w:sz w:val="36"/>
          <w:szCs w:val="36"/>
          <w:highlight w:val="none"/>
          <w:lang w:val="en-US" w:eastAsia="zh-CN"/>
        </w:rPr>
        <w:t>责任</w:t>
      </w:r>
      <w:r>
        <w:rPr>
          <w:rFonts w:hint="eastAsia" w:ascii="仿宋_GB2312" w:hAnsi="仿宋_GB2312" w:eastAsia="仿宋_GB2312" w:cs="仿宋_GB2312"/>
          <w:b/>
          <w:color w:val="auto"/>
          <w:sz w:val="36"/>
          <w:szCs w:val="36"/>
          <w:highlight w:val="none"/>
        </w:rPr>
        <w:t>公司</w:t>
      </w:r>
    </w:p>
    <w:p w14:paraId="519123A1">
      <w:pPr>
        <w:jc w:val="center"/>
        <w:rPr>
          <w:rFonts w:hint="eastAsia" w:ascii="仿宋_GB2312" w:hAnsi="仿宋_GB2312" w:eastAsia="仿宋_GB2312" w:cs="仿宋_GB2312"/>
          <w:b/>
          <w:color w:val="auto"/>
          <w:sz w:val="36"/>
          <w:szCs w:val="36"/>
          <w:highlight w:val="none"/>
        </w:rPr>
      </w:pPr>
      <w:r>
        <w:rPr>
          <w:rFonts w:hint="eastAsia" w:ascii="仿宋_GB2312" w:hAnsi="仿宋_GB2312" w:eastAsia="仿宋_GB2312" w:cs="仿宋_GB2312"/>
          <w:b/>
          <w:color w:val="auto"/>
          <w:sz w:val="36"/>
          <w:szCs w:val="36"/>
          <w:highlight w:val="none"/>
        </w:rPr>
        <w:t>二Ο二</w:t>
      </w:r>
      <w:r>
        <w:rPr>
          <w:rFonts w:hint="eastAsia" w:ascii="仿宋_GB2312" w:hAnsi="仿宋_GB2312" w:eastAsia="仿宋_GB2312" w:cs="仿宋_GB2312"/>
          <w:b/>
          <w:color w:val="auto"/>
          <w:sz w:val="36"/>
          <w:szCs w:val="36"/>
          <w:highlight w:val="none"/>
          <w:lang w:val="en-US" w:eastAsia="zh-CN"/>
        </w:rPr>
        <w:t>六</w:t>
      </w:r>
      <w:r>
        <w:rPr>
          <w:rFonts w:hint="eastAsia" w:ascii="仿宋_GB2312" w:hAnsi="仿宋_GB2312" w:eastAsia="仿宋_GB2312" w:cs="仿宋_GB2312"/>
          <w:b/>
          <w:color w:val="auto"/>
          <w:sz w:val="36"/>
          <w:szCs w:val="36"/>
          <w:highlight w:val="none"/>
        </w:rPr>
        <w:t>年</w:t>
      </w:r>
      <w:r>
        <w:rPr>
          <w:rFonts w:hint="eastAsia" w:ascii="仿宋_GB2312" w:hAnsi="仿宋_GB2312" w:eastAsia="仿宋_GB2312" w:cs="仿宋_GB2312"/>
          <w:b/>
          <w:color w:val="auto"/>
          <w:sz w:val="36"/>
          <w:szCs w:val="36"/>
          <w:highlight w:val="none"/>
          <w:lang w:val="en-US" w:eastAsia="zh-CN"/>
        </w:rPr>
        <w:t>九</w:t>
      </w:r>
      <w:r>
        <w:rPr>
          <w:rFonts w:hint="eastAsia" w:ascii="仿宋_GB2312" w:hAnsi="仿宋_GB2312" w:eastAsia="仿宋_GB2312" w:cs="仿宋_GB2312"/>
          <w:b/>
          <w:color w:val="auto"/>
          <w:sz w:val="36"/>
          <w:szCs w:val="36"/>
          <w:highlight w:val="none"/>
        </w:rPr>
        <w:t>月</w:t>
      </w:r>
    </w:p>
    <w:p w14:paraId="3C1A709E">
      <w:pPr>
        <w:pStyle w:val="9"/>
        <w:rPr>
          <w:rFonts w:hint="eastAsia" w:ascii="仿宋_GB2312" w:hAnsi="仿宋_GB2312" w:eastAsia="仿宋_GB2312" w:cs="仿宋_GB2312"/>
          <w:b/>
          <w:color w:val="auto"/>
          <w:sz w:val="36"/>
          <w:szCs w:val="36"/>
          <w:highlight w:val="none"/>
        </w:rPr>
      </w:pPr>
    </w:p>
    <w:p w14:paraId="35A51398">
      <w:pPr>
        <w:pStyle w:val="9"/>
        <w:jc w:val="center"/>
        <w:rPr>
          <w:rFonts w:hint="eastAsia" w:ascii="黑体" w:hAnsi="黑体" w:eastAsia="黑体" w:cs="黑体"/>
          <w:color w:val="auto"/>
          <w:sz w:val="44"/>
          <w:szCs w:val="44"/>
          <w:highlight w:val="none"/>
          <w:lang w:val="en-US" w:eastAsia="zh-CN"/>
        </w:rPr>
      </w:pPr>
    </w:p>
    <w:p w14:paraId="2B415E22">
      <w:pPr>
        <w:pStyle w:val="9"/>
        <w:jc w:val="center"/>
        <w:rPr>
          <w:rFonts w:hint="eastAsia" w:ascii="黑体" w:hAnsi="黑体" w:eastAsia="黑体" w:cs="黑体"/>
          <w:color w:val="auto"/>
          <w:sz w:val="44"/>
          <w:szCs w:val="44"/>
          <w:highlight w:val="none"/>
          <w:lang w:val="en-US" w:eastAsia="zh-CN"/>
        </w:rPr>
      </w:pPr>
    </w:p>
    <w:p w14:paraId="3261BBA5">
      <w:pPr>
        <w:pStyle w:val="9"/>
        <w:jc w:val="center"/>
        <w:rPr>
          <w:rFonts w:hint="eastAsia" w:ascii="黑体" w:hAnsi="黑体" w:eastAsia="黑体" w:cs="黑体"/>
          <w:color w:val="auto"/>
          <w:sz w:val="44"/>
          <w:szCs w:val="44"/>
          <w:highlight w:val="none"/>
          <w:lang w:val="en-US" w:eastAsia="zh-CN"/>
        </w:rPr>
      </w:pPr>
    </w:p>
    <w:p w14:paraId="45DDDCD7">
      <w:pPr>
        <w:pStyle w:val="9"/>
        <w:jc w:val="center"/>
        <w:rPr>
          <w:rFonts w:hint="eastAsia" w:ascii="黑体" w:hAnsi="黑体" w:eastAsia="黑体" w:cs="黑体"/>
          <w:color w:val="auto"/>
          <w:sz w:val="44"/>
          <w:szCs w:val="44"/>
          <w:highlight w:val="none"/>
          <w:lang w:val="en-US" w:eastAsia="zh-CN"/>
        </w:rPr>
      </w:pPr>
    </w:p>
    <w:p w14:paraId="7CF62767">
      <w:pPr>
        <w:pStyle w:val="9"/>
        <w:jc w:val="center"/>
        <w:rPr>
          <w:rFonts w:hint="eastAsia" w:ascii="黑体" w:hAnsi="黑体" w:eastAsia="黑体" w:cs="黑体"/>
          <w:color w:val="auto"/>
          <w:sz w:val="44"/>
          <w:szCs w:val="44"/>
          <w:highlight w:val="none"/>
          <w:lang w:val="en-US" w:eastAsia="zh-CN"/>
        </w:rPr>
      </w:pPr>
    </w:p>
    <w:p w14:paraId="27E373BC">
      <w:pPr>
        <w:pStyle w:val="9"/>
        <w:jc w:val="center"/>
        <w:rPr>
          <w:rFonts w:hint="eastAsia" w:ascii="黑体" w:hAnsi="黑体" w:eastAsia="黑体" w:cs="黑体"/>
          <w:color w:val="auto"/>
          <w:sz w:val="44"/>
          <w:szCs w:val="44"/>
          <w:highlight w:val="none"/>
          <w:lang w:val="en-US" w:eastAsia="zh-CN"/>
        </w:rPr>
      </w:pPr>
    </w:p>
    <w:p w14:paraId="6F0E90C1">
      <w:pPr>
        <w:pStyle w:val="9"/>
        <w:jc w:val="center"/>
        <w:rPr>
          <w:rFonts w:hint="eastAsia" w:ascii="黑体" w:hAnsi="黑体" w:eastAsia="黑体" w:cs="黑体"/>
          <w:color w:val="auto"/>
          <w:sz w:val="44"/>
          <w:szCs w:val="44"/>
          <w:highlight w:val="none"/>
          <w:lang w:val="en-US" w:eastAsia="zh-CN"/>
        </w:rPr>
      </w:pPr>
    </w:p>
    <w:p w14:paraId="4E30E56E">
      <w:pPr>
        <w:pStyle w:val="9"/>
        <w:jc w:val="center"/>
        <w:rPr>
          <w:rFonts w:hint="eastAsia" w:ascii="黑体" w:hAnsi="黑体" w:eastAsia="黑体" w:cs="黑体"/>
          <w:color w:val="auto"/>
          <w:sz w:val="44"/>
          <w:szCs w:val="44"/>
          <w:highlight w:val="none"/>
          <w:lang w:val="en-US" w:eastAsia="zh-CN"/>
        </w:rPr>
      </w:pPr>
    </w:p>
    <w:p w14:paraId="6992AA75">
      <w:pPr>
        <w:pStyle w:val="9"/>
        <w:jc w:val="center"/>
        <w:rPr>
          <w:rFonts w:hint="eastAsia" w:ascii="黑体" w:hAnsi="黑体" w:eastAsia="黑体" w:cs="黑体"/>
          <w:color w:val="auto"/>
          <w:sz w:val="44"/>
          <w:szCs w:val="44"/>
          <w:highlight w:val="none"/>
          <w:lang w:val="en-US" w:eastAsia="zh-CN"/>
        </w:rPr>
      </w:pPr>
    </w:p>
    <w:p w14:paraId="1634783F">
      <w:pPr>
        <w:pStyle w:val="9"/>
        <w:jc w:val="center"/>
        <w:rPr>
          <w:rFonts w:hint="eastAsia" w:ascii="黑体" w:hAnsi="黑体" w:eastAsia="黑体" w:cs="黑体"/>
          <w:color w:val="auto"/>
          <w:sz w:val="44"/>
          <w:szCs w:val="44"/>
          <w:highlight w:val="none"/>
          <w:lang w:val="en-US" w:eastAsia="zh-CN"/>
        </w:rPr>
      </w:pPr>
    </w:p>
    <w:p w14:paraId="6389E11E">
      <w:pPr>
        <w:pStyle w:val="9"/>
        <w:jc w:val="center"/>
        <w:rPr>
          <w:rFonts w:hint="eastAsia" w:ascii="黑体" w:hAnsi="黑体" w:eastAsia="黑体" w:cs="黑体"/>
          <w:color w:val="auto"/>
          <w:sz w:val="44"/>
          <w:szCs w:val="44"/>
          <w:highlight w:val="none"/>
          <w:lang w:val="en-US" w:eastAsia="zh-CN"/>
        </w:rPr>
      </w:pPr>
    </w:p>
    <w:p w14:paraId="66BB8BEB">
      <w:pPr>
        <w:pStyle w:val="9"/>
        <w:jc w:val="center"/>
        <w:rPr>
          <w:rFonts w:hint="eastAsia" w:ascii="黑体" w:hAnsi="黑体" w:eastAsia="黑体" w:cs="黑体"/>
          <w:color w:val="auto"/>
          <w:sz w:val="44"/>
          <w:szCs w:val="44"/>
          <w:highlight w:val="none"/>
          <w:lang w:val="en-US" w:eastAsia="zh-CN"/>
        </w:rPr>
      </w:pPr>
    </w:p>
    <w:p w14:paraId="14A12B6A">
      <w:pPr>
        <w:pStyle w:val="9"/>
        <w:jc w:val="center"/>
        <w:rPr>
          <w:rFonts w:hint="eastAsia" w:ascii="黑体" w:hAnsi="黑体" w:eastAsia="黑体" w:cs="黑体"/>
          <w:color w:val="auto"/>
          <w:sz w:val="44"/>
          <w:szCs w:val="44"/>
          <w:highlight w:val="none"/>
          <w:lang w:val="en-US" w:eastAsia="zh-CN"/>
        </w:rPr>
      </w:pPr>
    </w:p>
    <w:p w14:paraId="28130B1E">
      <w:pPr>
        <w:pStyle w:val="9"/>
        <w:jc w:val="center"/>
        <w:rPr>
          <w:rFonts w:hint="eastAsia" w:ascii="黑体" w:hAnsi="黑体" w:eastAsia="黑体" w:cs="黑体"/>
          <w:color w:val="auto"/>
          <w:sz w:val="44"/>
          <w:szCs w:val="44"/>
          <w:highlight w:val="none"/>
          <w:lang w:val="en-US" w:eastAsia="zh-CN"/>
        </w:rPr>
      </w:pPr>
    </w:p>
    <w:p w14:paraId="336CDAFD">
      <w:pPr>
        <w:pStyle w:val="9"/>
        <w:jc w:val="center"/>
        <w:rPr>
          <w:rFonts w:hint="eastAsia" w:ascii="黑体" w:hAnsi="黑体" w:eastAsia="黑体" w:cs="黑体"/>
          <w:color w:val="auto"/>
          <w:sz w:val="44"/>
          <w:szCs w:val="44"/>
          <w:highlight w:val="none"/>
          <w:lang w:val="en-US" w:eastAsia="zh-CN"/>
        </w:rPr>
      </w:pPr>
    </w:p>
    <w:p w14:paraId="5E3EBEF8">
      <w:pPr>
        <w:pStyle w:val="9"/>
        <w:jc w:val="center"/>
        <w:rPr>
          <w:rFonts w:hint="eastAsia" w:ascii="黑体" w:hAnsi="黑体" w:eastAsia="黑体" w:cs="黑体"/>
          <w:color w:val="auto"/>
          <w:sz w:val="44"/>
          <w:szCs w:val="44"/>
          <w:highlight w:val="none"/>
          <w:lang w:val="en-US" w:eastAsia="zh-CN"/>
        </w:rPr>
      </w:pPr>
    </w:p>
    <w:p w14:paraId="56E6EAA1">
      <w:pPr>
        <w:pStyle w:val="9"/>
        <w:jc w:val="center"/>
        <w:rPr>
          <w:rFonts w:hint="eastAsia" w:ascii="黑体" w:hAnsi="黑体" w:eastAsia="黑体" w:cs="黑体"/>
          <w:color w:val="auto"/>
          <w:sz w:val="44"/>
          <w:szCs w:val="44"/>
          <w:highlight w:val="none"/>
          <w:lang w:val="en-US" w:eastAsia="zh-CN"/>
        </w:rPr>
      </w:pPr>
    </w:p>
    <w:p w14:paraId="59F8EBC1">
      <w:pPr>
        <w:pStyle w:val="9"/>
        <w:jc w:val="center"/>
        <w:rPr>
          <w:rFonts w:hint="eastAsia" w:ascii="黑体" w:hAnsi="黑体" w:eastAsia="黑体" w:cs="黑体"/>
          <w:color w:val="auto"/>
          <w:sz w:val="44"/>
          <w:szCs w:val="44"/>
          <w:highlight w:val="none"/>
          <w:lang w:val="en-US" w:eastAsia="zh-CN"/>
        </w:rPr>
      </w:pPr>
    </w:p>
    <w:p w14:paraId="5BFB0F0E">
      <w:pPr>
        <w:pStyle w:val="9"/>
        <w:jc w:val="center"/>
        <w:rPr>
          <w:rFonts w:hint="eastAsia" w:ascii="黑体" w:hAnsi="黑体" w:eastAsia="黑体" w:cs="黑体"/>
          <w:color w:val="auto"/>
          <w:sz w:val="44"/>
          <w:szCs w:val="44"/>
          <w:highlight w:val="none"/>
          <w:lang w:val="en-US" w:eastAsia="zh-CN"/>
        </w:rPr>
      </w:pPr>
    </w:p>
    <w:p w14:paraId="39A70B3D">
      <w:pPr>
        <w:rPr>
          <w:rFonts w:hint="eastAsia"/>
          <w:highlight w:val="none"/>
          <w:lang w:val="en-US" w:eastAsia="zh-CN"/>
        </w:rPr>
      </w:pPr>
    </w:p>
    <w:p w14:paraId="1DF136B8">
      <w:pPr>
        <w:pStyle w:val="9"/>
        <w:jc w:val="center"/>
        <w:rPr>
          <w:rFonts w:hint="eastAsia" w:ascii="黑体" w:hAnsi="黑体" w:eastAsia="黑体" w:cs="黑体"/>
          <w:color w:val="auto"/>
          <w:sz w:val="44"/>
          <w:szCs w:val="44"/>
          <w:highlight w:val="none"/>
          <w:lang w:val="en-US" w:eastAsia="zh-CN"/>
        </w:rPr>
      </w:pPr>
    </w:p>
    <w:p w14:paraId="41DBC0C7">
      <w:pPr>
        <w:pStyle w:val="9"/>
        <w:jc w:val="center"/>
        <w:rPr>
          <w:rFonts w:hint="eastAsia" w:ascii="黑体" w:hAnsi="黑体" w:eastAsia="黑体" w:cs="黑体"/>
          <w:color w:val="auto"/>
          <w:sz w:val="44"/>
          <w:szCs w:val="44"/>
          <w:highlight w:val="none"/>
          <w:lang w:val="en-US" w:eastAsia="zh-CN"/>
        </w:rPr>
      </w:pPr>
    </w:p>
    <w:p w14:paraId="5CA32FAA">
      <w:pPr>
        <w:pStyle w:val="9"/>
        <w:jc w:val="center"/>
        <w:rPr>
          <w:rFonts w:hint="eastAsia" w:ascii="仿宋_GB2312" w:hAnsi="仿宋_GB2312" w:eastAsia="仿宋_GB2312" w:cs="仿宋_GB2312"/>
          <w:color w:val="auto"/>
          <w:sz w:val="44"/>
          <w:szCs w:val="44"/>
          <w:highlight w:val="none"/>
          <w:lang w:val="en-US" w:eastAsia="zh-CN"/>
        </w:rPr>
      </w:pPr>
      <w:r>
        <w:rPr>
          <w:rFonts w:hint="eastAsia" w:ascii="黑体" w:hAnsi="黑体" w:eastAsia="黑体" w:cs="黑体"/>
          <w:color w:val="auto"/>
          <w:sz w:val="44"/>
          <w:szCs w:val="44"/>
          <w:highlight w:val="none"/>
          <w:lang w:val="en-US" w:eastAsia="zh-CN"/>
        </w:rPr>
        <w:t>目  录</w:t>
      </w:r>
    </w:p>
    <w:p w14:paraId="39187EE3">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bCs/>
          <w:highlight w:val="none"/>
        </w:rPr>
      </w:pPr>
      <w:r>
        <w:rPr>
          <w:rFonts w:hint="eastAsia" w:ascii="仿宋_GB2312" w:hAnsi="仿宋_GB2312" w:eastAsia="仿宋_GB2312" w:cs="仿宋_GB2312"/>
          <w:b w:val="0"/>
          <w:bCs w:val="0"/>
          <w:color w:val="auto"/>
          <w:sz w:val="28"/>
          <w:szCs w:val="28"/>
          <w:highlight w:val="none"/>
        </w:rPr>
        <w:fldChar w:fldCharType="begin"/>
      </w:r>
      <w:r>
        <w:rPr>
          <w:rFonts w:hint="eastAsia" w:ascii="仿宋_GB2312" w:hAnsi="仿宋_GB2312" w:eastAsia="仿宋_GB2312" w:cs="仿宋_GB2312"/>
          <w:b w:val="0"/>
          <w:bCs w:val="0"/>
          <w:color w:val="auto"/>
          <w:sz w:val="28"/>
          <w:szCs w:val="28"/>
          <w:highlight w:val="none"/>
        </w:rPr>
        <w:instrText xml:space="preserve">TOC \o "1-2" \h \u </w:instrText>
      </w:r>
      <w:r>
        <w:rPr>
          <w:rFonts w:hint="eastAsia" w:ascii="仿宋_GB2312" w:hAnsi="仿宋_GB2312" w:eastAsia="仿宋_GB2312" w:cs="仿宋_GB2312"/>
          <w:b w:val="0"/>
          <w:bCs w:val="0"/>
          <w:color w:val="auto"/>
          <w:sz w:val="28"/>
          <w:szCs w:val="28"/>
          <w:highlight w:val="none"/>
        </w:rPr>
        <w:fldChar w:fldCharType="separate"/>
      </w:r>
      <w:r>
        <w:rPr>
          <w:rFonts w:hint="eastAsia" w:ascii="仿宋_GB2312" w:hAnsi="仿宋_GB2312" w:eastAsia="仿宋_GB2312" w:cs="仿宋_GB2312"/>
          <w:b/>
          <w:bCs/>
          <w:color w:val="auto"/>
          <w:szCs w:val="28"/>
          <w:highlight w:val="none"/>
        </w:rPr>
        <w:fldChar w:fldCharType="begin"/>
      </w:r>
      <w:r>
        <w:rPr>
          <w:rFonts w:hint="eastAsia" w:ascii="仿宋_GB2312" w:hAnsi="仿宋_GB2312" w:eastAsia="仿宋_GB2312" w:cs="仿宋_GB2312"/>
          <w:b/>
          <w:bCs/>
          <w:szCs w:val="28"/>
          <w:highlight w:val="none"/>
        </w:rPr>
        <w:instrText xml:space="preserve"> HYPERLINK \l _Toc14532 </w:instrText>
      </w:r>
      <w:r>
        <w:rPr>
          <w:rFonts w:hint="eastAsia" w:ascii="仿宋_GB2312" w:hAnsi="仿宋_GB2312" w:eastAsia="仿宋_GB2312" w:cs="仿宋_GB2312"/>
          <w:b/>
          <w:bCs/>
          <w:szCs w:val="28"/>
          <w:highlight w:val="none"/>
        </w:rPr>
        <w:fldChar w:fldCharType="separate"/>
      </w:r>
      <w:r>
        <w:rPr>
          <w:rFonts w:hint="eastAsia" w:ascii="黑体" w:hAnsi="黑体" w:eastAsia="黑体" w:cs="黑体"/>
          <w:b/>
          <w:bCs/>
          <w:szCs w:val="44"/>
          <w:highlight w:val="none"/>
          <w:lang w:val="en-US" w:eastAsia="zh-CN"/>
        </w:rPr>
        <w:t>第一章  询价公告</w:t>
      </w:r>
      <w:r>
        <w:rPr>
          <w:b/>
          <w:bCs/>
          <w:highlight w:val="none"/>
        </w:rPr>
        <w:tab/>
      </w:r>
      <w:r>
        <w:rPr>
          <w:b/>
          <w:bCs/>
          <w:highlight w:val="none"/>
        </w:rPr>
        <w:fldChar w:fldCharType="begin"/>
      </w:r>
      <w:r>
        <w:rPr>
          <w:b/>
          <w:bCs/>
          <w:highlight w:val="none"/>
        </w:rPr>
        <w:instrText xml:space="preserve"> PAGEREF _Toc14532 \h </w:instrText>
      </w:r>
      <w:r>
        <w:rPr>
          <w:b/>
          <w:bCs/>
          <w:highlight w:val="none"/>
        </w:rPr>
        <w:fldChar w:fldCharType="separate"/>
      </w:r>
      <w:r>
        <w:rPr>
          <w:b/>
          <w:bCs/>
          <w:highlight w:val="none"/>
        </w:rPr>
        <w:t>1</w:t>
      </w:r>
      <w:r>
        <w:rPr>
          <w:b/>
          <w:bCs/>
          <w:highlight w:val="none"/>
        </w:rPr>
        <w:fldChar w:fldCharType="end"/>
      </w:r>
      <w:r>
        <w:rPr>
          <w:rFonts w:hint="eastAsia" w:ascii="仿宋_GB2312" w:hAnsi="仿宋_GB2312" w:eastAsia="仿宋_GB2312" w:cs="仿宋_GB2312"/>
          <w:b/>
          <w:bCs/>
          <w:color w:val="auto"/>
          <w:szCs w:val="28"/>
          <w:highlight w:val="none"/>
        </w:rPr>
        <w:fldChar w:fldCharType="end"/>
      </w:r>
    </w:p>
    <w:p w14:paraId="3837BABC">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_Toc8598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eastAsia="zh-CN"/>
        </w:rPr>
        <w:t>一、询价条件</w:t>
      </w:r>
      <w:r>
        <w:rPr>
          <w:highlight w:val="none"/>
        </w:rPr>
        <w:tab/>
      </w:r>
      <w:r>
        <w:rPr>
          <w:highlight w:val="none"/>
        </w:rPr>
        <w:fldChar w:fldCharType="begin"/>
      </w:r>
      <w:r>
        <w:rPr>
          <w:highlight w:val="none"/>
        </w:rPr>
        <w:instrText xml:space="preserve"> PAGEREF _Toc8598 \h </w:instrText>
      </w:r>
      <w:r>
        <w:rPr>
          <w:highlight w:val="none"/>
        </w:rPr>
        <w:fldChar w:fldCharType="separate"/>
      </w:r>
      <w:r>
        <w:rPr>
          <w:highlight w:val="none"/>
        </w:rPr>
        <w:t>1</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28343A74">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_Toc28788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eastAsia="zh-CN"/>
        </w:rPr>
        <w:t>二、采购内容及要求</w:t>
      </w:r>
      <w:r>
        <w:rPr>
          <w:highlight w:val="none"/>
        </w:rPr>
        <w:tab/>
      </w:r>
      <w:r>
        <w:rPr>
          <w:highlight w:val="none"/>
        </w:rPr>
        <w:fldChar w:fldCharType="begin"/>
      </w:r>
      <w:r>
        <w:rPr>
          <w:highlight w:val="none"/>
        </w:rPr>
        <w:instrText xml:space="preserve"> PAGEREF _Toc28788 \h </w:instrText>
      </w:r>
      <w:r>
        <w:rPr>
          <w:highlight w:val="none"/>
        </w:rPr>
        <w:fldChar w:fldCharType="separate"/>
      </w:r>
      <w:r>
        <w:rPr>
          <w:highlight w:val="none"/>
        </w:rPr>
        <w:t>1</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1E79D301">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_Toc10957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三、最高报价限价及报价要求</w:t>
      </w:r>
      <w:r>
        <w:rPr>
          <w:highlight w:val="none"/>
        </w:rPr>
        <w:tab/>
      </w:r>
      <w:r>
        <w:rPr>
          <w:highlight w:val="none"/>
        </w:rPr>
        <w:fldChar w:fldCharType="begin"/>
      </w:r>
      <w:r>
        <w:rPr>
          <w:highlight w:val="none"/>
        </w:rPr>
        <w:instrText xml:space="preserve"> PAGEREF _Toc10957 \h </w:instrText>
      </w:r>
      <w:r>
        <w:rPr>
          <w:highlight w:val="none"/>
        </w:rPr>
        <w:fldChar w:fldCharType="separate"/>
      </w:r>
      <w:r>
        <w:rPr>
          <w:highlight w:val="none"/>
        </w:rPr>
        <w:t>2</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302976FE">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_Toc32277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四、询价保证金</w:t>
      </w:r>
      <w:r>
        <w:rPr>
          <w:highlight w:val="none"/>
        </w:rPr>
        <w:tab/>
      </w:r>
      <w:r>
        <w:rPr>
          <w:highlight w:val="none"/>
        </w:rPr>
        <w:fldChar w:fldCharType="begin"/>
      </w:r>
      <w:r>
        <w:rPr>
          <w:highlight w:val="none"/>
        </w:rPr>
        <w:instrText xml:space="preserve"> PAGEREF _Toc32277 \h </w:instrText>
      </w:r>
      <w:r>
        <w:rPr>
          <w:highlight w:val="none"/>
        </w:rPr>
        <w:fldChar w:fldCharType="separate"/>
      </w:r>
      <w:r>
        <w:rPr>
          <w:highlight w:val="none"/>
        </w:rPr>
        <w:t>3</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25CA8742">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_Toc22450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五、履约担保</w:t>
      </w:r>
      <w:r>
        <w:rPr>
          <w:highlight w:val="none"/>
        </w:rPr>
        <w:tab/>
      </w:r>
      <w:r>
        <w:rPr>
          <w:highlight w:val="none"/>
        </w:rPr>
        <w:fldChar w:fldCharType="begin"/>
      </w:r>
      <w:r>
        <w:rPr>
          <w:highlight w:val="none"/>
        </w:rPr>
        <w:instrText xml:space="preserve"> PAGEREF _Toc22450 \h </w:instrText>
      </w:r>
      <w:r>
        <w:rPr>
          <w:highlight w:val="none"/>
        </w:rPr>
        <w:fldChar w:fldCharType="separate"/>
      </w:r>
      <w:r>
        <w:rPr>
          <w:highlight w:val="none"/>
        </w:rPr>
        <w:t>4</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59ADC792">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_Toc300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六、货款结算、付款方式及质保金</w:t>
      </w:r>
      <w:r>
        <w:rPr>
          <w:highlight w:val="none"/>
        </w:rPr>
        <w:tab/>
      </w:r>
      <w:r>
        <w:rPr>
          <w:highlight w:val="none"/>
        </w:rPr>
        <w:fldChar w:fldCharType="begin"/>
      </w:r>
      <w:r>
        <w:rPr>
          <w:highlight w:val="none"/>
        </w:rPr>
        <w:instrText xml:space="preserve"> PAGEREF _Toc300 \h </w:instrText>
      </w:r>
      <w:r>
        <w:rPr>
          <w:highlight w:val="none"/>
        </w:rPr>
        <w:fldChar w:fldCharType="separate"/>
      </w:r>
      <w:r>
        <w:rPr>
          <w:highlight w:val="none"/>
        </w:rPr>
        <w:t>5</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152268BF">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_Toc4023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七、报价人资格要求</w:t>
      </w:r>
      <w:r>
        <w:rPr>
          <w:highlight w:val="none"/>
        </w:rPr>
        <w:tab/>
      </w:r>
      <w:r>
        <w:rPr>
          <w:highlight w:val="none"/>
        </w:rPr>
        <w:fldChar w:fldCharType="begin"/>
      </w:r>
      <w:r>
        <w:rPr>
          <w:highlight w:val="none"/>
        </w:rPr>
        <w:instrText xml:space="preserve"> PAGEREF _Toc4023 \h </w:instrText>
      </w:r>
      <w:r>
        <w:rPr>
          <w:highlight w:val="none"/>
        </w:rPr>
        <w:fldChar w:fldCharType="separate"/>
      </w:r>
      <w:r>
        <w:rPr>
          <w:highlight w:val="none"/>
        </w:rPr>
        <w:t>6</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14945586">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_Toc31073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八、报价文件组成</w:t>
      </w:r>
      <w:r>
        <w:rPr>
          <w:highlight w:val="none"/>
        </w:rPr>
        <w:tab/>
      </w:r>
      <w:r>
        <w:rPr>
          <w:highlight w:val="none"/>
        </w:rPr>
        <w:fldChar w:fldCharType="begin"/>
      </w:r>
      <w:r>
        <w:rPr>
          <w:highlight w:val="none"/>
        </w:rPr>
        <w:instrText xml:space="preserve"> PAGEREF _Toc31073 \h </w:instrText>
      </w:r>
      <w:r>
        <w:rPr>
          <w:highlight w:val="none"/>
        </w:rPr>
        <w:fldChar w:fldCharType="separate"/>
      </w:r>
      <w:r>
        <w:rPr>
          <w:highlight w:val="none"/>
        </w:rPr>
        <w:t>7</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7C244292">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_Toc6648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九、公告媒介、询价文件获取时间及方式</w:t>
      </w:r>
      <w:r>
        <w:rPr>
          <w:highlight w:val="none"/>
        </w:rPr>
        <w:tab/>
      </w:r>
      <w:r>
        <w:rPr>
          <w:highlight w:val="none"/>
        </w:rPr>
        <w:fldChar w:fldCharType="begin"/>
      </w:r>
      <w:r>
        <w:rPr>
          <w:highlight w:val="none"/>
        </w:rPr>
        <w:instrText xml:space="preserve"> PAGEREF _Toc6648 \h </w:instrText>
      </w:r>
      <w:r>
        <w:rPr>
          <w:highlight w:val="none"/>
        </w:rPr>
        <w:fldChar w:fldCharType="separate"/>
      </w:r>
      <w:r>
        <w:rPr>
          <w:highlight w:val="none"/>
        </w:rPr>
        <w:t>7</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522676AE">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_Toc1823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十、报价文件的密封和标识</w:t>
      </w:r>
      <w:r>
        <w:rPr>
          <w:highlight w:val="none"/>
        </w:rPr>
        <w:tab/>
      </w:r>
      <w:r>
        <w:rPr>
          <w:highlight w:val="none"/>
        </w:rPr>
        <w:fldChar w:fldCharType="begin"/>
      </w:r>
      <w:r>
        <w:rPr>
          <w:highlight w:val="none"/>
        </w:rPr>
        <w:instrText xml:space="preserve"> PAGEREF _Toc1823 \h </w:instrText>
      </w:r>
      <w:r>
        <w:rPr>
          <w:highlight w:val="none"/>
        </w:rPr>
        <w:fldChar w:fldCharType="separate"/>
      </w:r>
      <w:r>
        <w:rPr>
          <w:highlight w:val="none"/>
        </w:rPr>
        <w:t>8</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2E65DBF6">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_Toc23506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十一、报价文件的递交及相关事宜</w:t>
      </w:r>
      <w:r>
        <w:rPr>
          <w:highlight w:val="none"/>
        </w:rPr>
        <w:tab/>
      </w:r>
      <w:r>
        <w:rPr>
          <w:highlight w:val="none"/>
        </w:rPr>
        <w:fldChar w:fldCharType="begin"/>
      </w:r>
      <w:r>
        <w:rPr>
          <w:highlight w:val="none"/>
        </w:rPr>
        <w:instrText xml:space="preserve"> PAGEREF _Toc23506 \h </w:instrText>
      </w:r>
      <w:r>
        <w:rPr>
          <w:highlight w:val="none"/>
        </w:rPr>
        <w:fldChar w:fldCharType="separate"/>
      </w:r>
      <w:r>
        <w:rPr>
          <w:highlight w:val="none"/>
        </w:rPr>
        <w:t>8</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1BA9B75B">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_Toc11891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十二、报价文件的开启程序</w:t>
      </w:r>
      <w:r>
        <w:rPr>
          <w:highlight w:val="none"/>
        </w:rPr>
        <w:tab/>
      </w:r>
      <w:r>
        <w:rPr>
          <w:highlight w:val="none"/>
        </w:rPr>
        <w:fldChar w:fldCharType="begin"/>
      </w:r>
      <w:r>
        <w:rPr>
          <w:highlight w:val="none"/>
        </w:rPr>
        <w:instrText xml:space="preserve"> PAGEREF _Toc11891 \h </w:instrText>
      </w:r>
      <w:r>
        <w:rPr>
          <w:highlight w:val="none"/>
        </w:rPr>
        <w:fldChar w:fldCharType="separate"/>
      </w:r>
      <w:r>
        <w:rPr>
          <w:highlight w:val="none"/>
        </w:rPr>
        <w:t>8</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7CC8A462">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_Toc5332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十三、结果公示</w:t>
      </w:r>
      <w:r>
        <w:rPr>
          <w:highlight w:val="none"/>
        </w:rPr>
        <w:tab/>
      </w:r>
      <w:r>
        <w:rPr>
          <w:highlight w:val="none"/>
        </w:rPr>
        <w:fldChar w:fldCharType="begin"/>
      </w:r>
      <w:r>
        <w:rPr>
          <w:highlight w:val="none"/>
        </w:rPr>
        <w:instrText xml:space="preserve"> PAGEREF _Toc5332 \h </w:instrText>
      </w:r>
      <w:r>
        <w:rPr>
          <w:highlight w:val="none"/>
        </w:rPr>
        <w:fldChar w:fldCharType="separate"/>
      </w:r>
      <w:r>
        <w:rPr>
          <w:highlight w:val="none"/>
        </w:rPr>
        <w:t>9</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506D511E">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_Toc5526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十四、地址及联系方式</w:t>
      </w:r>
      <w:r>
        <w:rPr>
          <w:highlight w:val="none"/>
        </w:rPr>
        <w:tab/>
      </w:r>
      <w:r>
        <w:rPr>
          <w:highlight w:val="none"/>
        </w:rPr>
        <w:fldChar w:fldCharType="begin"/>
      </w:r>
      <w:r>
        <w:rPr>
          <w:highlight w:val="none"/>
        </w:rPr>
        <w:instrText xml:space="preserve"> PAGEREF _Toc5526 \h </w:instrText>
      </w:r>
      <w:r>
        <w:rPr>
          <w:highlight w:val="none"/>
        </w:rPr>
        <w:fldChar w:fldCharType="separate"/>
      </w:r>
      <w:r>
        <w:rPr>
          <w:highlight w:val="none"/>
        </w:rPr>
        <w:t>9</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697D5F20">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_Toc19348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val="en-US" w:eastAsia="zh-CN"/>
        </w:rPr>
        <w:t>十五、监督部门及联系方式</w:t>
      </w:r>
      <w:r>
        <w:rPr>
          <w:highlight w:val="none"/>
        </w:rPr>
        <w:tab/>
      </w:r>
      <w:r>
        <w:rPr>
          <w:highlight w:val="none"/>
        </w:rPr>
        <w:fldChar w:fldCharType="begin"/>
      </w:r>
      <w:r>
        <w:rPr>
          <w:highlight w:val="none"/>
        </w:rPr>
        <w:instrText xml:space="preserve"> PAGEREF _Toc19348 \h </w:instrText>
      </w:r>
      <w:r>
        <w:rPr>
          <w:highlight w:val="none"/>
        </w:rPr>
        <w:fldChar w:fldCharType="separate"/>
      </w:r>
      <w:r>
        <w:rPr>
          <w:highlight w:val="none"/>
        </w:rPr>
        <w:t>9</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27109895">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bCs/>
          <w:highlight w:val="none"/>
        </w:rPr>
      </w:pPr>
      <w:r>
        <w:rPr>
          <w:rFonts w:hint="eastAsia" w:ascii="仿宋_GB2312" w:hAnsi="仿宋_GB2312" w:eastAsia="仿宋_GB2312" w:cs="仿宋_GB2312"/>
          <w:b/>
          <w:bCs/>
          <w:color w:val="auto"/>
          <w:szCs w:val="28"/>
          <w:highlight w:val="none"/>
        </w:rPr>
        <w:fldChar w:fldCharType="begin"/>
      </w:r>
      <w:r>
        <w:rPr>
          <w:rFonts w:hint="eastAsia" w:ascii="仿宋_GB2312" w:hAnsi="仿宋_GB2312" w:eastAsia="仿宋_GB2312" w:cs="仿宋_GB2312"/>
          <w:b/>
          <w:bCs/>
          <w:szCs w:val="28"/>
          <w:highlight w:val="none"/>
        </w:rPr>
        <w:instrText xml:space="preserve"> HYPERLINK \l _Toc17664 </w:instrText>
      </w:r>
      <w:r>
        <w:rPr>
          <w:rFonts w:hint="eastAsia" w:ascii="仿宋_GB2312" w:hAnsi="仿宋_GB2312" w:eastAsia="仿宋_GB2312" w:cs="仿宋_GB2312"/>
          <w:b/>
          <w:bCs/>
          <w:szCs w:val="28"/>
          <w:highlight w:val="none"/>
        </w:rPr>
        <w:fldChar w:fldCharType="separate"/>
      </w:r>
      <w:r>
        <w:rPr>
          <w:rFonts w:hint="eastAsia" w:ascii="黑体" w:hAnsi="黑体" w:eastAsia="黑体" w:cs="黑体"/>
          <w:b/>
          <w:bCs/>
          <w:szCs w:val="44"/>
          <w:highlight w:val="none"/>
          <w:lang w:val="en-US" w:eastAsia="zh-CN"/>
        </w:rPr>
        <w:t>第二章  评审办法</w:t>
      </w:r>
      <w:r>
        <w:rPr>
          <w:b/>
          <w:bCs/>
          <w:highlight w:val="none"/>
        </w:rPr>
        <w:tab/>
      </w:r>
      <w:r>
        <w:rPr>
          <w:b/>
          <w:bCs/>
          <w:highlight w:val="none"/>
        </w:rPr>
        <w:fldChar w:fldCharType="begin"/>
      </w:r>
      <w:r>
        <w:rPr>
          <w:b/>
          <w:bCs/>
          <w:highlight w:val="none"/>
        </w:rPr>
        <w:instrText xml:space="preserve"> PAGEREF _Toc17664 \h </w:instrText>
      </w:r>
      <w:r>
        <w:rPr>
          <w:b/>
          <w:bCs/>
          <w:highlight w:val="none"/>
        </w:rPr>
        <w:fldChar w:fldCharType="separate"/>
      </w:r>
      <w:r>
        <w:rPr>
          <w:b/>
          <w:bCs/>
          <w:highlight w:val="none"/>
        </w:rPr>
        <w:t>10</w:t>
      </w:r>
      <w:r>
        <w:rPr>
          <w:b/>
          <w:bCs/>
          <w:highlight w:val="none"/>
        </w:rPr>
        <w:fldChar w:fldCharType="end"/>
      </w:r>
      <w:r>
        <w:rPr>
          <w:rFonts w:hint="eastAsia" w:ascii="仿宋_GB2312" w:hAnsi="仿宋_GB2312" w:eastAsia="仿宋_GB2312" w:cs="仿宋_GB2312"/>
          <w:b/>
          <w:bCs/>
          <w:color w:val="auto"/>
          <w:szCs w:val="28"/>
          <w:highlight w:val="none"/>
        </w:rPr>
        <w:fldChar w:fldCharType="end"/>
      </w:r>
    </w:p>
    <w:p w14:paraId="5E7B5EB4">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_Toc31225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eastAsia="zh-CN"/>
        </w:rPr>
        <w:t>一、评审方法</w:t>
      </w:r>
      <w:r>
        <w:rPr>
          <w:highlight w:val="none"/>
        </w:rPr>
        <w:tab/>
      </w:r>
      <w:r>
        <w:rPr>
          <w:highlight w:val="none"/>
        </w:rPr>
        <w:fldChar w:fldCharType="begin"/>
      </w:r>
      <w:r>
        <w:rPr>
          <w:highlight w:val="none"/>
        </w:rPr>
        <w:instrText xml:space="preserve"> PAGEREF _Toc31225 \h </w:instrText>
      </w:r>
      <w:r>
        <w:rPr>
          <w:highlight w:val="none"/>
        </w:rPr>
        <w:fldChar w:fldCharType="separate"/>
      </w:r>
      <w:r>
        <w:rPr>
          <w:highlight w:val="none"/>
        </w:rPr>
        <w:t>10</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58A3259E">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_Toc23811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eastAsia="zh-CN"/>
        </w:rPr>
        <w:t>二、形式、响应及资格评审标准</w:t>
      </w:r>
      <w:r>
        <w:rPr>
          <w:highlight w:val="none"/>
        </w:rPr>
        <w:tab/>
      </w:r>
      <w:r>
        <w:rPr>
          <w:highlight w:val="none"/>
        </w:rPr>
        <w:fldChar w:fldCharType="begin"/>
      </w:r>
      <w:r>
        <w:rPr>
          <w:highlight w:val="none"/>
        </w:rPr>
        <w:instrText xml:space="preserve"> PAGEREF _Toc23811 \h </w:instrText>
      </w:r>
      <w:r>
        <w:rPr>
          <w:highlight w:val="none"/>
        </w:rPr>
        <w:fldChar w:fldCharType="separate"/>
      </w:r>
      <w:r>
        <w:rPr>
          <w:highlight w:val="none"/>
        </w:rPr>
        <w:t>10</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4A81DF83">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highlight w:val="none"/>
        </w:rPr>
      </w:pPr>
      <w:r>
        <w:rPr>
          <w:rFonts w:hint="eastAsia" w:ascii="仿宋_GB2312" w:hAnsi="仿宋_GB2312" w:eastAsia="仿宋_GB2312" w:cs="仿宋_GB2312"/>
          <w:bCs w:val="0"/>
          <w:color w:val="auto"/>
          <w:szCs w:val="28"/>
          <w:highlight w:val="none"/>
        </w:rPr>
        <w:fldChar w:fldCharType="begin"/>
      </w:r>
      <w:r>
        <w:rPr>
          <w:rFonts w:hint="eastAsia" w:ascii="仿宋_GB2312" w:hAnsi="仿宋_GB2312" w:eastAsia="仿宋_GB2312" w:cs="仿宋_GB2312"/>
          <w:bCs w:val="0"/>
          <w:szCs w:val="28"/>
          <w:highlight w:val="none"/>
        </w:rPr>
        <w:instrText xml:space="preserve"> HYPERLINK \l _Toc15601 </w:instrText>
      </w:r>
      <w:r>
        <w:rPr>
          <w:rFonts w:hint="eastAsia" w:ascii="仿宋_GB2312" w:hAnsi="仿宋_GB2312" w:eastAsia="仿宋_GB2312" w:cs="仿宋_GB2312"/>
          <w:bCs w:val="0"/>
          <w:szCs w:val="28"/>
          <w:highlight w:val="none"/>
        </w:rPr>
        <w:fldChar w:fldCharType="separate"/>
      </w:r>
      <w:r>
        <w:rPr>
          <w:rFonts w:hint="eastAsia" w:ascii="黑体" w:hAnsi="黑体" w:eastAsia="黑体" w:cs="黑体"/>
          <w:bCs w:val="0"/>
          <w:szCs w:val="30"/>
          <w:highlight w:val="none"/>
          <w:lang w:eastAsia="zh-CN"/>
        </w:rPr>
        <w:t>三、评审程序</w:t>
      </w:r>
      <w:r>
        <w:rPr>
          <w:highlight w:val="none"/>
        </w:rPr>
        <w:tab/>
      </w:r>
      <w:r>
        <w:rPr>
          <w:highlight w:val="none"/>
        </w:rPr>
        <w:fldChar w:fldCharType="begin"/>
      </w:r>
      <w:r>
        <w:rPr>
          <w:highlight w:val="none"/>
        </w:rPr>
        <w:instrText xml:space="preserve"> PAGEREF _Toc15601 \h </w:instrText>
      </w:r>
      <w:r>
        <w:rPr>
          <w:highlight w:val="none"/>
        </w:rPr>
        <w:fldChar w:fldCharType="separate"/>
      </w:r>
      <w:r>
        <w:rPr>
          <w:highlight w:val="none"/>
        </w:rPr>
        <w:t>10</w:t>
      </w:r>
      <w:r>
        <w:rPr>
          <w:highlight w:val="none"/>
        </w:rPr>
        <w:fldChar w:fldCharType="end"/>
      </w:r>
      <w:r>
        <w:rPr>
          <w:rFonts w:hint="eastAsia" w:ascii="仿宋_GB2312" w:hAnsi="仿宋_GB2312" w:eastAsia="仿宋_GB2312" w:cs="仿宋_GB2312"/>
          <w:bCs w:val="0"/>
          <w:color w:val="auto"/>
          <w:szCs w:val="28"/>
          <w:highlight w:val="none"/>
        </w:rPr>
        <w:fldChar w:fldCharType="end"/>
      </w:r>
    </w:p>
    <w:p w14:paraId="08E0E831">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bCs/>
          <w:highlight w:val="none"/>
        </w:rPr>
      </w:pPr>
      <w:r>
        <w:rPr>
          <w:rFonts w:hint="eastAsia" w:ascii="仿宋_GB2312" w:hAnsi="仿宋_GB2312" w:eastAsia="仿宋_GB2312" w:cs="仿宋_GB2312"/>
          <w:b/>
          <w:bCs/>
          <w:color w:val="auto"/>
          <w:szCs w:val="28"/>
          <w:highlight w:val="none"/>
        </w:rPr>
        <w:fldChar w:fldCharType="begin"/>
      </w:r>
      <w:r>
        <w:rPr>
          <w:rFonts w:hint="eastAsia" w:ascii="仿宋_GB2312" w:hAnsi="仿宋_GB2312" w:eastAsia="仿宋_GB2312" w:cs="仿宋_GB2312"/>
          <w:b/>
          <w:bCs/>
          <w:szCs w:val="28"/>
          <w:highlight w:val="none"/>
        </w:rPr>
        <w:instrText xml:space="preserve"> HYPERLINK \l _Toc5431 </w:instrText>
      </w:r>
      <w:r>
        <w:rPr>
          <w:rFonts w:hint="eastAsia" w:ascii="仿宋_GB2312" w:hAnsi="仿宋_GB2312" w:eastAsia="仿宋_GB2312" w:cs="仿宋_GB2312"/>
          <w:b/>
          <w:bCs/>
          <w:szCs w:val="28"/>
          <w:highlight w:val="none"/>
        </w:rPr>
        <w:fldChar w:fldCharType="separate"/>
      </w:r>
      <w:r>
        <w:rPr>
          <w:rFonts w:hint="eastAsia" w:ascii="黑体" w:hAnsi="黑体" w:eastAsia="黑体" w:cs="黑体"/>
          <w:b/>
          <w:bCs/>
          <w:szCs w:val="44"/>
          <w:highlight w:val="none"/>
          <w:lang w:val="en-US" w:eastAsia="zh-CN"/>
        </w:rPr>
        <w:t>第三章  报价文件格式</w:t>
      </w:r>
      <w:r>
        <w:rPr>
          <w:b/>
          <w:bCs/>
          <w:highlight w:val="none"/>
        </w:rPr>
        <w:tab/>
      </w:r>
      <w:r>
        <w:rPr>
          <w:b/>
          <w:bCs/>
          <w:highlight w:val="none"/>
        </w:rPr>
        <w:fldChar w:fldCharType="begin"/>
      </w:r>
      <w:r>
        <w:rPr>
          <w:b/>
          <w:bCs/>
          <w:highlight w:val="none"/>
        </w:rPr>
        <w:instrText xml:space="preserve"> PAGEREF _Toc5431 \h </w:instrText>
      </w:r>
      <w:r>
        <w:rPr>
          <w:b/>
          <w:bCs/>
          <w:highlight w:val="none"/>
        </w:rPr>
        <w:fldChar w:fldCharType="separate"/>
      </w:r>
      <w:r>
        <w:rPr>
          <w:b/>
          <w:bCs/>
          <w:highlight w:val="none"/>
        </w:rPr>
        <w:t>12</w:t>
      </w:r>
      <w:r>
        <w:rPr>
          <w:b/>
          <w:bCs/>
          <w:highlight w:val="none"/>
        </w:rPr>
        <w:fldChar w:fldCharType="end"/>
      </w:r>
      <w:r>
        <w:rPr>
          <w:rFonts w:hint="eastAsia" w:ascii="仿宋_GB2312" w:hAnsi="仿宋_GB2312" w:eastAsia="仿宋_GB2312" w:cs="仿宋_GB2312"/>
          <w:b/>
          <w:bCs/>
          <w:color w:val="auto"/>
          <w:szCs w:val="28"/>
          <w:highlight w:val="none"/>
        </w:rPr>
        <w:fldChar w:fldCharType="end"/>
      </w:r>
    </w:p>
    <w:p w14:paraId="0675A3C5">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val="0"/>
          <w:bCs w:val="0"/>
          <w:highlight w:val="none"/>
        </w:rPr>
      </w:pPr>
      <w:r>
        <w:rPr>
          <w:rFonts w:hint="eastAsia" w:ascii="仿宋_GB2312" w:hAnsi="仿宋_GB2312" w:eastAsia="仿宋_GB2312" w:cs="仿宋_GB2312"/>
          <w:b w:val="0"/>
          <w:bCs w:val="0"/>
          <w:color w:val="auto"/>
          <w:szCs w:val="28"/>
          <w:highlight w:val="none"/>
        </w:rPr>
        <w:fldChar w:fldCharType="begin"/>
      </w:r>
      <w:r>
        <w:rPr>
          <w:rFonts w:hint="eastAsia" w:ascii="仿宋_GB2312" w:hAnsi="仿宋_GB2312" w:eastAsia="仿宋_GB2312" w:cs="仿宋_GB2312"/>
          <w:b w:val="0"/>
          <w:bCs w:val="0"/>
          <w:szCs w:val="28"/>
          <w:highlight w:val="none"/>
        </w:rPr>
        <w:instrText xml:space="preserve"> HYPERLINK \l _Toc32557 </w:instrText>
      </w:r>
      <w:r>
        <w:rPr>
          <w:rFonts w:hint="eastAsia" w:ascii="仿宋_GB2312" w:hAnsi="仿宋_GB2312" w:eastAsia="仿宋_GB2312" w:cs="仿宋_GB2312"/>
          <w:b w:val="0"/>
          <w:bCs w:val="0"/>
          <w:szCs w:val="28"/>
          <w:highlight w:val="none"/>
        </w:rPr>
        <w:fldChar w:fldCharType="separate"/>
      </w:r>
      <w:r>
        <w:rPr>
          <w:rFonts w:hint="eastAsia" w:ascii="黑体" w:hAnsi="黑体" w:eastAsia="黑体" w:cs="黑体"/>
          <w:b w:val="0"/>
          <w:bCs w:val="0"/>
          <w:szCs w:val="32"/>
          <w:highlight w:val="none"/>
          <w:lang w:val="en-US" w:eastAsia="zh-CN"/>
        </w:rPr>
        <w:t>一、授权委托书</w:t>
      </w:r>
      <w:r>
        <w:rPr>
          <w:b w:val="0"/>
          <w:bCs w:val="0"/>
          <w:highlight w:val="none"/>
        </w:rPr>
        <w:tab/>
      </w:r>
      <w:r>
        <w:rPr>
          <w:b w:val="0"/>
          <w:bCs w:val="0"/>
          <w:highlight w:val="none"/>
        </w:rPr>
        <w:fldChar w:fldCharType="begin"/>
      </w:r>
      <w:r>
        <w:rPr>
          <w:b w:val="0"/>
          <w:bCs w:val="0"/>
          <w:highlight w:val="none"/>
        </w:rPr>
        <w:instrText xml:space="preserve"> PAGEREF _Toc32557 \h </w:instrText>
      </w:r>
      <w:r>
        <w:rPr>
          <w:b w:val="0"/>
          <w:bCs w:val="0"/>
          <w:highlight w:val="none"/>
        </w:rPr>
        <w:fldChar w:fldCharType="separate"/>
      </w:r>
      <w:r>
        <w:rPr>
          <w:b w:val="0"/>
          <w:bCs w:val="0"/>
          <w:highlight w:val="none"/>
        </w:rPr>
        <w:t>15</w:t>
      </w:r>
      <w:r>
        <w:rPr>
          <w:b w:val="0"/>
          <w:bCs w:val="0"/>
          <w:highlight w:val="none"/>
        </w:rPr>
        <w:fldChar w:fldCharType="end"/>
      </w:r>
      <w:r>
        <w:rPr>
          <w:rFonts w:hint="eastAsia" w:ascii="仿宋_GB2312" w:hAnsi="仿宋_GB2312" w:eastAsia="仿宋_GB2312" w:cs="仿宋_GB2312"/>
          <w:b w:val="0"/>
          <w:bCs w:val="0"/>
          <w:color w:val="auto"/>
          <w:szCs w:val="28"/>
          <w:highlight w:val="none"/>
        </w:rPr>
        <w:fldChar w:fldCharType="end"/>
      </w:r>
    </w:p>
    <w:p w14:paraId="26846214">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val="0"/>
          <w:bCs w:val="0"/>
          <w:highlight w:val="none"/>
        </w:rPr>
      </w:pPr>
      <w:r>
        <w:rPr>
          <w:rFonts w:hint="eastAsia" w:ascii="仿宋_GB2312" w:hAnsi="仿宋_GB2312" w:eastAsia="仿宋_GB2312" w:cs="仿宋_GB2312"/>
          <w:b w:val="0"/>
          <w:bCs w:val="0"/>
          <w:color w:val="auto"/>
          <w:szCs w:val="28"/>
          <w:highlight w:val="none"/>
        </w:rPr>
        <w:fldChar w:fldCharType="begin"/>
      </w:r>
      <w:r>
        <w:rPr>
          <w:rFonts w:hint="eastAsia" w:ascii="仿宋_GB2312" w:hAnsi="仿宋_GB2312" w:eastAsia="仿宋_GB2312" w:cs="仿宋_GB2312"/>
          <w:b w:val="0"/>
          <w:bCs w:val="0"/>
          <w:szCs w:val="28"/>
          <w:highlight w:val="none"/>
        </w:rPr>
        <w:instrText xml:space="preserve"> HYPERLINK \l _Toc6366 </w:instrText>
      </w:r>
      <w:r>
        <w:rPr>
          <w:rFonts w:hint="eastAsia" w:ascii="仿宋_GB2312" w:hAnsi="仿宋_GB2312" w:eastAsia="仿宋_GB2312" w:cs="仿宋_GB2312"/>
          <w:b w:val="0"/>
          <w:bCs w:val="0"/>
          <w:szCs w:val="28"/>
          <w:highlight w:val="none"/>
        </w:rPr>
        <w:fldChar w:fldCharType="separate"/>
      </w:r>
      <w:r>
        <w:rPr>
          <w:rFonts w:hint="eastAsia" w:ascii="黑体" w:hAnsi="黑体" w:eastAsia="黑体" w:cs="黑体"/>
          <w:b w:val="0"/>
          <w:bCs w:val="0"/>
          <w:szCs w:val="32"/>
          <w:highlight w:val="none"/>
          <w:lang w:val="en-US" w:eastAsia="zh-CN"/>
        </w:rPr>
        <w:t>二、报价函</w:t>
      </w:r>
      <w:r>
        <w:rPr>
          <w:b w:val="0"/>
          <w:bCs w:val="0"/>
          <w:highlight w:val="none"/>
        </w:rPr>
        <w:tab/>
      </w:r>
      <w:r>
        <w:rPr>
          <w:b w:val="0"/>
          <w:bCs w:val="0"/>
          <w:highlight w:val="none"/>
        </w:rPr>
        <w:fldChar w:fldCharType="begin"/>
      </w:r>
      <w:r>
        <w:rPr>
          <w:b w:val="0"/>
          <w:bCs w:val="0"/>
          <w:highlight w:val="none"/>
        </w:rPr>
        <w:instrText xml:space="preserve"> PAGEREF _Toc6366 \h </w:instrText>
      </w:r>
      <w:r>
        <w:rPr>
          <w:b w:val="0"/>
          <w:bCs w:val="0"/>
          <w:highlight w:val="none"/>
        </w:rPr>
        <w:fldChar w:fldCharType="separate"/>
      </w:r>
      <w:r>
        <w:rPr>
          <w:b w:val="0"/>
          <w:bCs w:val="0"/>
          <w:highlight w:val="none"/>
        </w:rPr>
        <w:t>18</w:t>
      </w:r>
      <w:r>
        <w:rPr>
          <w:b w:val="0"/>
          <w:bCs w:val="0"/>
          <w:highlight w:val="none"/>
        </w:rPr>
        <w:fldChar w:fldCharType="end"/>
      </w:r>
      <w:r>
        <w:rPr>
          <w:rFonts w:hint="eastAsia" w:ascii="仿宋_GB2312" w:hAnsi="仿宋_GB2312" w:eastAsia="仿宋_GB2312" w:cs="仿宋_GB2312"/>
          <w:b w:val="0"/>
          <w:bCs w:val="0"/>
          <w:color w:val="auto"/>
          <w:szCs w:val="28"/>
          <w:highlight w:val="none"/>
        </w:rPr>
        <w:fldChar w:fldCharType="end"/>
      </w:r>
    </w:p>
    <w:p w14:paraId="2CE4E6AC">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val="0"/>
          <w:bCs w:val="0"/>
          <w:highlight w:val="none"/>
        </w:rPr>
      </w:pPr>
      <w:r>
        <w:rPr>
          <w:rFonts w:hint="eastAsia" w:ascii="仿宋_GB2312" w:hAnsi="仿宋_GB2312" w:eastAsia="仿宋_GB2312" w:cs="仿宋_GB2312"/>
          <w:b w:val="0"/>
          <w:bCs w:val="0"/>
          <w:color w:val="auto"/>
          <w:szCs w:val="28"/>
          <w:highlight w:val="none"/>
        </w:rPr>
        <w:fldChar w:fldCharType="begin"/>
      </w:r>
      <w:r>
        <w:rPr>
          <w:rFonts w:hint="eastAsia" w:ascii="仿宋_GB2312" w:hAnsi="仿宋_GB2312" w:eastAsia="仿宋_GB2312" w:cs="仿宋_GB2312"/>
          <w:b w:val="0"/>
          <w:bCs w:val="0"/>
          <w:szCs w:val="28"/>
          <w:highlight w:val="none"/>
        </w:rPr>
        <w:instrText xml:space="preserve"> HYPERLINK \l _Toc414 </w:instrText>
      </w:r>
      <w:r>
        <w:rPr>
          <w:rFonts w:hint="eastAsia" w:ascii="仿宋_GB2312" w:hAnsi="仿宋_GB2312" w:eastAsia="仿宋_GB2312" w:cs="仿宋_GB2312"/>
          <w:b w:val="0"/>
          <w:bCs w:val="0"/>
          <w:szCs w:val="28"/>
          <w:highlight w:val="none"/>
        </w:rPr>
        <w:fldChar w:fldCharType="separate"/>
      </w:r>
      <w:r>
        <w:rPr>
          <w:rFonts w:hint="eastAsia" w:ascii="黑体" w:hAnsi="黑体" w:eastAsia="黑体" w:cs="黑体"/>
          <w:b w:val="0"/>
          <w:bCs w:val="0"/>
          <w:szCs w:val="32"/>
          <w:highlight w:val="none"/>
          <w:lang w:val="en-US" w:eastAsia="zh-CN"/>
        </w:rPr>
        <w:t>三、发票承诺函</w:t>
      </w:r>
      <w:r>
        <w:rPr>
          <w:b w:val="0"/>
          <w:bCs w:val="0"/>
          <w:highlight w:val="none"/>
        </w:rPr>
        <w:tab/>
      </w:r>
      <w:r>
        <w:rPr>
          <w:b w:val="0"/>
          <w:bCs w:val="0"/>
          <w:highlight w:val="none"/>
        </w:rPr>
        <w:fldChar w:fldCharType="begin"/>
      </w:r>
      <w:r>
        <w:rPr>
          <w:b w:val="0"/>
          <w:bCs w:val="0"/>
          <w:highlight w:val="none"/>
        </w:rPr>
        <w:instrText xml:space="preserve"> PAGEREF _Toc414 \h </w:instrText>
      </w:r>
      <w:r>
        <w:rPr>
          <w:b w:val="0"/>
          <w:bCs w:val="0"/>
          <w:highlight w:val="none"/>
        </w:rPr>
        <w:fldChar w:fldCharType="separate"/>
      </w:r>
      <w:r>
        <w:rPr>
          <w:b w:val="0"/>
          <w:bCs w:val="0"/>
          <w:highlight w:val="none"/>
        </w:rPr>
        <w:t>16</w:t>
      </w:r>
      <w:r>
        <w:rPr>
          <w:b w:val="0"/>
          <w:bCs w:val="0"/>
          <w:highlight w:val="none"/>
        </w:rPr>
        <w:fldChar w:fldCharType="end"/>
      </w:r>
      <w:r>
        <w:rPr>
          <w:rFonts w:hint="eastAsia" w:ascii="仿宋_GB2312" w:hAnsi="仿宋_GB2312" w:eastAsia="仿宋_GB2312" w:cs="仿宋_GB2312"/>
          <w:b w:val="0"/>
          <w:bCs w:val="0"/>
          <w:color w:val="auto"/>
          <w:szCs w:val="28"/>
          <w:highlight w:val="none"/>
        </w:rPr>
        <w:fldChar w:fldCharType="end"/>
      </w:r>
    </w:p>
    <w:p w14:paraId="605C855E">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val="0"/>
          <w:bCs w:val="0"/>
          <w:highlight w:val="none"/>
        </w:rPr>
      </w:pPr>
      <w:r>
        <w:rPr>
          <w:rFonts w:hint="eastAsia" w:ascii="仿宋_GB2312" w:hAnsi="仿宋_GB2312" w:eastAsia="仿宋_GB2312" w:cs="仿宋_GB2312"/>
          <w:b w:val="0"/>
          <w:bCs w:val="0"/>
          <w:color w:val="auto"/>
          <w:szCs w:val="28"/>
          <w:highlight w:val="none"/>
        </w:rPr>
        <w:fldChar w:fldCharType="begin"/>
      </w:r>
      <w:r>
        <w:rPr>
          <w:rFonts w:hint="eastAsia" w:ascii="仿宋_GB2312" w:hAnsi="仿宋_GB2312" w:eastAsia="仿宋_GB2312" w:cs="仿宋_GB2312"/>
          <w:b w:val="0"/>
          <w:bCs w:val="0"/>
          <w:szCs w:val="28"/>
          <w:highlight w:val="none"/>
        </w:rPr>
        <w:instrText xml:space="preserve"> HYPERLINK \l _Toc6134 </w:instrText>
      </w:r>
      <w:r>
        <w:rPr>
          <w:rFonts w:hint="eastAsia" w:ascii="仿宋_GB2312" w:hAnsi="仿宋_GB2312" w:eastAsia="仿宋_GB2312" w:cs="仿宋_GB2312"/>
          <w:b w:val="0"/>
          <w:bCs w:val="0"/>
          <w:szCs w:val="28"/>
          <w:highlight w:val="none"/>
        </w:rPr>
        <w:fldChar w:fldCharType="separate"/>
      </w:r>
      <w:r>
        <w:rPr>
          <w:rFonts w:hint="eastAsia" w:ascii="黑体" w:hAnsi="黑体" w:eastAsia="黑体" w:cs="黑体"/>
          <w:b w:val="0"/>
          <w:bCs w:val="0"/>
          <w:szCs w:val="32"/>
          <w:highlight w:val="none"/>
          <w:lang w:val="en-US" w:eastAsia="zh-CN"/>
        </w:rPr>
        <w:t>四、信誉承诺表</w:t>
      </w:r>
      <w:r>
        <w:rPr>
          <w:b w:val="0"/>
          <w:bCs w:val="0"/>
          <w:highlight w:val="none"/>
        </w:rPr>
        <w:tab/>
      </w:r>
      <w:r>
        <w:rPr>
          <w:b w:val="0"/>
          <w:bCs w:val="0"/>
          <w:highlight w:val="none"/>
        </w:rPr>
        <w:fldChar w:fldCharType="begin"/>
      </w:r>
      <w:r>
        <w:rPr>
          <w:b w:val="0"/>
          <w:bCs w:val="0"/>
          <w:highlight w:val="none"/>
        </w:rPr>
        <w:instrText xml:space="preserve"> PAGEREF _Toc6134 \h </w:instrText>
      </w:r>
      <w:r>
        <w:rPr>
          <w:b w:val="0"/>
          <w:bCs w:val="0"/>
          <w:highlight w:val="none"/>
        </w:rPr>
        <w:fldChar w:fldCharType="separate"/>
      </w:r>
      <w:r>
        <w:rPr>
          <w:b w:val="0"/>
          <w:bCs w:val="0"/>
          <w:highlight w:val="none"/>
        </w:rPr>
        <w:t>19</w:t>
      </w:r>
      <w:r>
        <w:rPr>
          <w:b w:val="0"/>
          <w:bCs w:val="0"/>
          <w:highlight w:val="none"/>
        </w:rPr>
        <w:fldChar w:fldCharType="end"/>
      </w:r>
      <w:r>
        <w:rPr>
          <w:rFonts w:hint="eastAsia" w:ascii="仿宋_GB2312" w:hAnsi="仿宋_GB2312" w:eastAsia="仿宋_GB2312" w:cs="仿宋_GB2312"/>
          <w:b w:val="0"/>
          <w:bCs w:val="0"/>
          <w:color w:val="auto"/>
          <w:szCs w:val="28"/>
          <w:highlight w:val="none"/>
        </w:rPr>
        <w:fldChar w:fldCharType="end"/>
      </w:r>
    </w:p>
    <w:p w14:paraId="77FA6F69">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val="0"/>
          <w:bCs w:val="0"/>
          <w:highlight w:val="none"/>
        </w:rPr>
      </w:pPr>
      <w:r>
        <w:rPr>
          <w:rFonts w:hint="eastAsia" w:ascii="仿宋_GB2312" w:hAnsi="仿宋_GB2312" w:eastAsia="仿宋_GB2312" w:cs="仿宋_GB2312"/>
          <w:b w:val="0"/>
          <w:bCs w:val="0"/>
          <w:color w:val="auto"/>
          <w:szCs w:val="28"/>
          <w:highlight w:val="none"/>
        </w:rPr>
        <w:fldChar w:fldCharType="begin"/>
      </w:r>
      <w:r>
        <w:rPr>
          <w:rFonts w:hint="eastAsia" w:ascii="仿宋_GB2312" w:hAnsi="仿宋_GB2312" w:eastAsia="仿宋_GB2312" w:cs="仿宋_GB2312"/>
          <w:b w:val="0"/>
          <w:bCs w:val="0"/>
          <w:szCs w:val="28"/>
          <w:highlight w:val="none"/>
        </w:rPr>
        <w:instrText xml:space="preserve"> HYPERLINK \l _Toc6449 </w:instrText>
      </w:r>
      <w:r>
        <w:rPr>
          <w:rFonts w:hint="eastAsia" w:ascii="仿宋_GB2312" w:hAnsi="仿宋_GB2312" w:eastAsia="仿宋_GB2312" w:cs="仿宋_GB2312"/>
          <w:b w:val="0"/>
          <w:bCs w:val="0"/>
          <w:szCs w:val="28"/>
          <w:highlight w:val="none"/>
        </w:rPr>
        <w:fldChar w:fldCharType="separate"/>
      </w:r>
      <w:r>
        <w:rPr>
          <w:rFonts w:hint="eastAsia" w:ascii="黑体" w:hAnsi="黑体" w:eastAsia="黑体" w:cs="黑体"/>
          <w:b w:val="0"/>
          <w:bCs w:val="0"/>
          <w:szCs w:val="32"/>
          <w:highlight w:val="none"/>
          <w:lang w:val="en-US" w:eastAsia="zh-CN"/>
        </w:rPr>
        <w:t>五、承诺函格式</w:t>
      </w:r>
      <w:r>
        <w:rPr>
          <w:b w:val="0"/>
          <w:bCs w:val="0"/>
          <w:highlight w:val="none"/>
        </w:rPr>
        <w:tab/>
      </w:r>
      <w:r>
        <w:rPr>
          <w:b w:val="0"/>
          <w:bCs w:val="0"/>
          <w:highlight w:val="none"/>
        </w:rPr>
        <w:fldChar w:fldCharType="begin"/>
      </w:r>
      <w:r>
        <w:rPr>
          <w:b w:val="0"/>
          <w:bCs w:val="0"/>
          <w:highlight w:val="none"/>
        </w:rPr>
        <w:instrText xml:space="preserve"> PAGEREF _Toc6449 \h </w:instrText>
      </w:r>
      <w:r>
        <w:rPr>
          <w:b w:val="0"/>
          <w:bCs w:val="0"/>
          <w:highlight w:val="none"/>
        </w:rPr>
        <w:fldChar w:fldCharType="separate"/>
      </w:r>
      <w:r>
        <w:rPr>
          <w:b w:val="0"/>
          <w:bCs w:val="0"/>
          <w:highlight w:val="none"/>
        </w:rPr>
        <w:t>20</w:t>
      </w:r>
      <w:r>
        <w:rPr>
          <w:b w:val="0"/>
          <w:bCs w:val="0"/>
          <w:highlight w:val="none"/>
        </w:rPr>
        <w:fldChar w:fldCharType="end"/>
      </w:r>
      <w:r>
        <w:rPr>
          <w:rFonts w:hint="eastAsia" w:ascii="仿宋_GB2312" w:hAnsi="仿宋_GB2312" w:eastAsia="仿宋_GB2312" w:cs="仿宋_GB2312"/>
          <w:b w:val="0"/>
          <w:bCs w:val="0"/>
          <w:color w:val="auto"/>
          <w:szCs w:val="28"/>
          <w:highlight w:val="none"/>
        </w:rPr>
        <w:fldChar w:fldCharType="end"/>
      </w:r>
    </w:p>
    <w:p w14:paraId="00679702">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val="0"/>
          <w:bCs w:val="0"/>
          <w:highlight w:val="none"/>
        </w:rPr>
      </w:pPr>
      <w:r>
        <w:rPr>
          <w:rFonts w:hint="eastAsia" w:ascii="仿宋_GB2312" w:hAnsi="仿宋_GB2312" w:eastAsia="仿宋_GB2312" w:cs="仿宋_GB2312"/>
          <w:b w:val="0"/>
          <w:bCs w:val="0"/>
          <w:color w:val="auto"/>
          <w:szCs w:val="28"/>
          <w:highlight w:val="none"/>
        </w:rPr>
        <w:fldChar w:fldCharType="begin"/>
      </w:r>
      <w:r>
        <w:rPr>
          <w:rFonts w:hint="eastAsia" w:ascii="仿宋_GB2312" w:hAnsi="仿宋_GB2312" w:eastAsia="仿宋_GB2312" w:cs="仿宋_GB2312"/>
          <w:b w:val="0"/>
          <w:bCs w:val="0"/>
          <w:szCs w:val="28"/>
          <w:highlight w:val="none"/>
        </w:rPr>
        <w:instrText xml:space="preserve"> HYPERLINK \l _Toc29396 </w:instrText>
      </w:r>
      <w:r>
        <w:rPr>
          <w:rFonts w:hint="eastAsia" w:ascii="仿宋_GB2312" w:hAnsi="仿宋_GB2312" w:eastAsia="仿宋_GB2312" w:cs="仿宋_GB2312"/>
          <w:b w:val="0"/>
          <w:bCs w:val="0"/>
          <w:szCs w:val="28"/>
          <w:highlight w:val="none"/>
        </w:rPr>
        <w:fldChar w:fldCharType="separate"/>
      </w:r>
      <w:r>
        <w:rPr>
          <w:rFonts w:hint="eastAsia" w:ascii="黑体" w:hAnsi="黑体" w:eastAsia="黑体" w:cs="黑体"/>
          <w:b w:val="0"/>
          <w:bCs w:val="0"/>
          <w:szCs w:val="32"/>
          <w:highlight w:val="none"/>
          <w:lang w:val="en-US" w:eastAsia="zh-CN"/>
        </w:rPr>
        <w:t>六、其它资料</w:t>
      </w:r>
      <w:r>
        <w:rPr>
          <w:b w:val="0"/>
          <w:bCs w:val="0"/>
          <w:highlight w:val="none"/>
        </w:rPr>
        <w:tab/>
      </w:r>
      <w:r>
        <w:rPr>
          <w:b w:val="0"/>
          <w:bCs w:val="0"/>
          <w:highlight w:val="none"/>
        </w:rPr>
        <w:fldChar w:fldCharType="begin"/>
      </w:r>
      <w:r>
        <w:rPr>
          <w:b w:val="0"/>
          <w:bCs w:val="0"/>
          <w:highlight w:val="none"/>
        </w:rPr>
        <w:instrText xml:space="preserve"> PAGEREF _Toc29396 \h </w:instrText>
      </w:r>
      <w:r>
        <w:rPr>
          <w:b w:val="0"/>
          <w:bCs w:val="0"/>
          <w:highlight w:val="none"/>
        </w:rPr>
        <w:fldChar w:fldCharType="separate"/>
      </w:r>
      <w:r>
        <w:rPr>
          <w:b w:val="0"/>
          <w:bCs w:val="0"/>
          <w:highlight w:val="none"/>
        </w:rPr>
        <w:t>21</w:t>
      </w:r>
      <w:r>
        <w:rPr>
          <w:b w:val="0"/>
          <w:bCs w:val="0"/>
          <w:highlight w:val="none"/>
        </w:rPr>
        <w:fldChar w:fldCharType="end"/>
      </w:r>
      <w:r>
        <w:rPr>
          <w:rFonts w:hint="eastAsia" w:ascii="仿宋_GB2312" w:hAnsi="仿宋_GB2312" w:eastAsia="仿宋_GB2312" w:cs="仿宋_GB2312"/>
          <w:b w:val="0"/>
          <w:bCs w:val="0"/>
          <w:color w:val="auto"/>
          <w:szCs w:val="28"/>
          <w:highlight w:val="none"/>
        </w:rPr>
        <w:fldChar w:fldCharType="end"/>
      </w:r>
    </w:p>
    <w:p w14:paraId="7DF8BA9F">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val="0"/>
          <w:bCs w:val="0"/>
          <w:highlight w:val="none"/>
        </w:rPr>
      </w:pPr>
      <w:r>
        <w:rPr>
          <w:rFonts w:hint="eastAsia" w:ascii="仿宋_GB2312" w:hAnsi="仿宋_GB2312" w:eastAsia="仿宋_GB2312" w:cs="仿宋_GB2312"/>
          <w:b w:val="0"/>
          <w:bCs w:val="0"/>
          <w:color w:val="auto"/>
          <w:szCs w:val="28"/>
          <w:highlight w:val="none"/>
        </w:rPr>
        <w:fldChar w:fldCharType="begin"/>
      </w:r>
      <w:r>
        <w:rPr>
          <w:rFonts w:hint="eastAsia" w:ascii="仿宋_GB2312" w:hAnsi="仿宋_GB2312" w:eastAsia="仿宋_GB2312" w:cs="仿宋_GB2312"/>
          <w:b w:val="0"/>
          <w:bCs w:val="0"/>
          <w:szCs w:val="28"/>
          <w:highlight w:val="none"/>
        </w:rPr>
        <w:instrText xml:space="preserve"> HYPERLINK \l _Toc11679 </w:instrText>
      </w:r>
      <w:r>
        <w:rPr>
          <w:rFonts w:hint="eastAsia" w:ascii="仿宋_GB2312" w:hAnsi="仿宋_GB2312" w:eastAsia="仿宋_GB2312" w:cs="仿宋_GB2312"/>
          <w:b w:val="0"/>
          <w:bCs w:val="0"/>
          <w:szCs w:val="28"/>
          <w:highlight w:val="none"/>
        </w:rPr>
        <w:fldChar w:fldCharType="separate"/>
      </w:r>
      <w:r>
        <w:rPr>
          <w:rFonts w:hint="eastAsia" w:ascii="黑体" w:hAnsi="黑体" w:eastAsia="黑体" w:cs="黑体"/>
          <w:b w:val="0"/>
          <w:bCs w:val="0"/>
          <w:szCs w:val="32"/>
          <w:highlight w:val="none"/>
          <w:lang w:val="en-US" w:eastAsia="zh-CN"/>
        </w:rPr>
        <w:t>2026-2027年度沥青采购合同（合同样式）</w:t>
      </w:r>
      <w:r>
        <w:rPr>
          <w:b w:val="0"/>
          <w:bCs w:val="0"/>
          <w:highlight w:val="none"/>
        </w:rPr>
        <w:tab/>
      </w:r>
      <w:r>
        <w:rPr>
          <w:b w:val="0"/>
          <w:bCs w:val="0"/>
          <w:highlight w:val="none"/>
        </w:rPr>
        <w:fldChar w:fldCharType="begin"/>
      </w:r>
      <w:r>
        <w:rPr>
          <w:b w:val="0"/>
          <w:bCs w:val="0"/>
          <w:highlight w:val="none"/>
        </w:rPr>
        <w:instrText xml:space="preserve"> PAGEREF _Toc11679 \h </w:instrText>
      </w:r>
      <w:r>
        <w:rPr>
          <w:b w:val="0"/>
          <w:bCs w:val="0"/>
          <w:highlight w:val="none"/>
        </w:rPr>
        <w:fldChar w:fldCharType="separate"/>
      </w:r>
      <w:r>
        <w:rPr>
          <w:b w:val="0"/>
          <w:bCs w:val="0"/>
          <w:highlight w:val="none"/>
        </w:rPr>
        <w:t>22</w:t>
      </w:r>
      <w:r>
        <w:rPr>
          <w:b w:val="0"/>
          <w:bCs w:val="0"/>
          <w:highlight w:val="none"/>
        </w:rPr>
        <w:fldChar w:fldCharType="end"/>
      </w:r>
      <w:r>
        <w:rPr>
          <w:rFonts w:hint="eastAsia" w:ascii="仿宋_GB2312" w:hAnsi="仿宋_GB2312" w:eastAsia="仿宋_GB2312" w:cs="仿宋_GB2312"/>
          <w:b w:val="0"/>
          <w:bCs w:val="0"/>
          <w:color w:val="auto"/>
          <w:szCs w:val="28"/>
          <w:highlight w:val="none"/>
        </w:rPr>
        <w:fldChar w:fldCharType="end"/>
      </w:r>
    </w:p>
    <w:p w14:paraId="738DC335">
      <w:pPr>
        <w:pStyle w:val="18"/>
        <w:keepNext w:val="0"/>
        <w:keepLines w:val="0"/>
        <w:pageBreakBefore w:val="0"/>
        <w:widowControl w:val="0"/>
        <w:tabs>
          <w:tab w:val="right" w:leader="dot" w:pos="8300"/>
        </w:tabs>
        <w:kinsoku/>
        <w:wordWrap/>
        <w:overflowPunct/>
        <w:topLinePunct w:val="0"/>
        <w:autoSpaceDE/>
        <w:autoSpaceDN/>
        <w:bidi w:val="0"/>
        <w:adjustRightInd/>
        <w:snapToGrid/>
        <w:spacing w:line="140" w:lineRule="exact"/>
        <w:textAlignment w:val="auto"/>
        <w:rPr>
          <w:b w:val="0"/>
          <w:bCs w:val="0"/>
          <w:highlight w:val="none"/>
        </w:rPr>
      </w:pPr>
      <w:r>
        <w:rPr>
          <w:rFonts w:hint="eastAsia" w:ascii="仿宋_GB2312" w:hAnsi="仿宋_GB2312" w:eastAsia="仿宋_GB2312" w:cs="仿宋_GB2312"/>
          <w:b w:val="0"/>
          <w:bCs w:val="0"/>
          <w:color w:val="auto"/>
          <w:szCs w:val="28"/>
          <w:highlight w:val="none"/>
        </w:rPr>
        <w:fldChar w:fldCharType="begin"/>
      </w:r>
      <w:r>
        <w:rPr>
          <w:rFonts w:hint="eastAsia" w:ascii="仿宋_GB2312" w:hAnsi="仿宋_GB2312" w:eastAsia="仿宋_GB2312" w:cs="仿宋_GB2312"/>
          <w:b w:val="0"/>
          <w:bCs w:val="0"/>
          <w:szCs w:val="28"/>
          <w:highlight w:val="none"/>
        </w:rPr>
        <w:instrText xml:space="preserve"> HYPERLINK \l _Toc18197 </w:instrText>
      </w:r>
      <w:r>
        <w:rPr>
          <w:rFonts w:hint="eastAsia" w:ascii="仿宋_GB2312" w:hAnsi="仿宋_GB2312" w:eastAsia="仿宋_GB2312" w:cs="仿宋_GB2312"/>
          <w:b w:val="0"/>
          <w:bCs w:val="0"/>
          <w:szCs w:val="28"/>
          <w:highlight w:val="none"/>
        </w:rPr>
        <w:fldChar w:fldCharType="separate"/>
      </w:r>
      <w:r>
        <w:rPr>
          <w:rFonts w:hint="eastAsia" w:ascii="黑体" w:hAnsi="黑体" w:eastAsia="黑体" w:cs="黑体"/>
          <w:b w:val="0"/>
          <w:bCs w:val="0"/>
          <w:szCs w:val="32"/>
          <w:highlight w:val="none"/>
          <w:lang w:val="en-US" w:eastAsia="zh-CN"/>
        </w:rPr>
        <w:t>廉政合同</w:t>
      </w:r>
      <w:r>
        <w:rPr>
          <w:b w:val="0"/>
          <w:bCs w:val="0"/>
          <w:highlight w:val="none"/>
        </w:rPr>
        <w:tab/>
      </w:r>
      <w:r>
        <w:rPr>
          <w:b w:val="0"/>
          <w:bCs w:val="0"/>
          <w:highlight w:val="none"/>
        </w:rPr>
        <w:fldChar w:fldCharType="begin"/>
      </w:r>
      <w:r>
        <w:rPr>
          <w:b w:val="0"/>
          <w:bCs w:val="0"/>
          <w:highlight w:val="none"/>
        </w:rPr>
        <w:instrText xml:space="preserve"> PAGEREF _Toc18197 \h </w:instrText>
      </w:r>
      <w:r>
        <w:rPr>
          <w:b w:val="0"/>
          <w:bCs w:val="0"/>
          <w:highlight w:val="none"/>
        </w:rPr>
        <w:fldChar w:fldCharType="separate"/>
      </w:r>
      <w:r>
        <w:rPr>
          <w:b w:val="0"/>
          <w:bCs w:val="0"/>
          <w:highlight w:val="none"/>
        </w:rPr>
        <w:t>31</w:t>
      </w:r>
      <w:r>
        <w:rPr>
          <w:b w:val="0"/>
          <w:bCs w:val="0"/>
          <w:highlight w:val="none"/>
        </w:rPr>
        <w:fldChar w:fldCharType="end"/>
      </w:r>
      <w:r>
        <w:rPr>
          <w:rFonts w:hint="eastAsia" w:ascii="仿宋_GB2312" w:hAnsi="仿宋_GB2312" w:eastAsia="仿宋_GB2312" w:cs="仿宋_GB2312"/>
          <w:b w:val="0"/>
          <w:bCs w:val="0"/>
          <w:color w:val="auto"/>
          <w:szCs w:val="28"/>
          <w:highlight w:val="none"/>
        </w:rPr>
        <w:fldChar w:fldCharType="end"/>
      </w:r>
    </w:p>
    <w:p w14:paraId="68100898">
      <w:pPr>
        <w:pStyle w:val="18"/>
        <w:keepNext w:val="0"/>
        <w:keepLines w:val="0"/>
        <w:pageBreakBefore w:val="0"/>
        <w:widowControl w:val="0"/>
        <w:tabs>
          <w:tab w:val="right" w:leader="dot" w:pos="9070"/>
        </w:tabs>
        <w:kinsoku/>
        <w:wordWrap/>
        <w:overflowPunct/>
        <w:topLinePunct w:val="0"/>
        <w:autoSpaceDE/>
        <w:autoSpaceDN/>
        <w:bidi w:val="0"/>
        <w:adjustRightInd/>
        <w:snapToGrid/>
        <w:spacing w:line="140" w:lineRule="exact"/>
        <w:ind w:right="244"/>
        <w:textAlignment w:val="auto"/>
        <w:rPr>
          <w:rFonts w:hint="eastAsia" w:ascii="仿宋_GB2312" w:hAnsi="仿宋_GB2312" w:eastAsia="仿宋_GB2312" w:cs="仿宋_GB2312"/>
          <w:b/>
          <w:bCs w:val="0"/>
          <w:color w:val="auto"/>
          <w:sz w:val="30"/>
          <w:szCs w:val="30"/>
          <w:highlight w:val="none"/>
          <w:lang w:val="en-US" w:eastAsia="zh-CN"/>
        </w:rPr>
        <w:sectPr>
          <w:headerReference r:id="rId3" w:type="default"/>
          <w:footerReference r:id="rId4" w:type="default"/>
          <w:pgSz w:w="11906" w:h="16838"/>
          <w:pgMar w:top="1417" w:right="1803" w:bottom="1417" w:left="1803" w:header="851" w:footer="992" w:gutter="0"/>
          <w:pgNumType w:fmt="decimal" w:start="1"/>
          <w:cols w:space="720" w:num="1"/>
          <w:docGrid w:type="lines" w:linePitch="312" w:charSpace="0"/>
        </w:sectPr>
      </w:pPr>
      <w:r>
        <w:rPr>
          <w:rFonts w:hint="eastAsia" w:ascii="仿宋_GB2312" w:hAnsi="仿宋_GB2312" w:eastAsia="仿宋_GB2312" w:cs="仿宋_GB2312"/>
          <w:bCs w:val="0"/>
          <w:color w:val="auto"/>
          <w:szCs w:val="28"/>
          <w:highlight w:val="none"/>
        </w:rPr>
        <w:fldChar w:fldCharType="end"/>
      </w:r>
      <w:bookmarkStart w:id="0" w:name="_Toc10369"/>
      <w:bookmarkStart w:id="1" w:name="_Toc48791214"/>
      <w:bookmarkStart w:id="2" w:name="_Toc49019215"/>
      <w:bookmarkStart w:id="3" w:name="_Toc47261669"/>
      <w:bookmarkStart w:id="4" w:name="_Toc47418234"/>
      <w:bookmarkStart w:id="5" w:name="_Toc527708221"/>
      <w:bookmarkStart w:id="6" w:name="_Toc47261864"/>
      <w:bookmarkStart w:id="7" w:name="_Toc47418917"/>
      <w:bookmarkStart w:id="8" w:name="_Toc47418710"/>
      <w:bookmarkStart w:id="9" w:name="_Toc47262048"/>
      <w:bookmarkStart w:id="10" w:name="_Toc47261049"/>
      <w:bookmarkStart w:id="11" w:name="_Toc48995830"/>
    </w:p>
    <w:p w14:paraId="5509117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仿宋_GB2312" w:hAnsi="仿宋_GB2312" w:eastAsia="仿宋_GB2312" w:cs="仿宋_GB2312"/>
          <w:b/>
          <w:bCs w:val="0"/>
          <w:color w:val="auto"/>
          <w:sz w:val="44"/>
          <w:szCs w:val="44"/>
          <w:highlight w:val="none"/>
          <w:lang w:val="en-US" w:eastAsia="zh-CN"/>
        </w:rPr>
      </w:pPr>
      <w:bookmarkStart w:id="12" w:name="_Toc14532"/>
      <w:r>
        <w:rPr>
          <w:rFonts w:hint="eastAsia" w:ascii="黑体" w:hAnsi="黑体" w:eastAsia="黑体" w:cs="黑体"/>
          <w:b/>
          <w:bCs w:val="0"/>
          <w:color w:val="auto"/>
          <w:sz w:val="44"/>
          <w:szCs w:val="44"/>
          <w:highlight w:val="none"/>
          <w:lang w:val="en-US" w:eastAsia="zh-CN"/>
        </w:rPr>
        <w:t>第一章  询价公告</w:t>
      </w:r>
      <w:bookmarkEnd w:id="0"/>
      <w:bookmarkEnd w:id="12"/>
    </w:p>
    <w:p w14:paraId="319AA3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auto"/>
          <w:sz w:val="32"/>
          <w:szCs w:val="32"/>
          <w:highlight w:val="none"/>
          <w:lang w:val="en-US" w:eastAsia="zh-CN"/>
        </w:rPr>
      </w:pPr>
      <w:bookmarkStart w:id="13" w:name="_Toc2318"/>
      <w:r>
        <w:rPr>
          <w:rFonts w:hint="eastAsia" w:ascii="黑体" w:hAnsi="黑体" w:eastAsia="黑体" w:cs="黑体"/>
          <w:b/>
          <w:bCs/>
          <w:color w:val="auto"/>
          <w:sz w:val="32"/>
          <w:szCs w:val="32"/>
          <w:highlight w:val="none"/>
          <w:lang w:val="en-US" w:eastAsia="zh-CN"/>
        </w:rPr>
        <w:t>赣州市交通投资集团有限责任公司</w:t>
      </w:r>
    </w:p>
    <w:p w14:paraId="7975CA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2026-2027年度沥青采购项目</w:t>
      </w:r>
      <w:bookmarkEnd w:id="1"/>
      <w:bookmarkEnd w:id="2"/>
      <w:bookmarkEnd w:id="3"/>
      <w:bookmarkEnd w:id="4"/>
      <w:bookmarkEnd w:id="5"/>
      <w:bookmarkEnd w:id="6"/>
      <w:bookmarkEnd w:id="7"/>
      <w:bookmarkEnd w:id="8"/>
      <w:bookmarkEnd w:id="9"/>
      <w:bookmarkEnd w:id="10"/>
      <w:bookmarkEnd w:id="11"/>
      <w:bookmarkStart w:id="14" w:name="_Toc384308200"/>
      <w:bookmarkStart w:id="15" w:name="_Toc361508575"/>
      <w:r>
        <w:rPr>
          <w:rFonts w:hint="eastAsia" w:ascii="黑体" w:hAnsi="黑体" w:eastAsia="黑体" w:cs="黑体"/>
          <w:b/>
          <w:bCs/>
          <w:color w:val="auto"/>
          <w:sz w:val="32"/>
          <w:szCs w:val="32"/>
          <w:highlight w:val="none"/>
          <w:lang w:val="en-US" w:eastAsia="zh-CN"/>
        </w:rPr>
        <w:t>公告</w:t>
      </w:r>
      <w:bookmarkEnd w:id="13"/>
      <w:r>
        <w:rPr>
          <w:rFonts w:hint="eastAsia" w:ascii="黑体" w:hAnsi="黑体" w:eastAsia="黑体" w:cs="黑体"/>
          <w:b/>
          <w:bCs/>
          <w:color w:val="auto"/>
          <w:sz w:val="32"/>
          <w:szCs w:val="32"/>
          <w:highlight w:val="none"/>
          <w:lang w:val="en-US" w:eastAsia="zh-CN"/>
        </w:rPr>
        <w:t>（第二次）</w:t>
      </w:r>
    </w:p>
    <w:p w14:paraId="69BF12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color w:val="auto"/>
          <w:sz w:val="30"/>
          <w:szCs w:val="30"/>
          <w:highlight w:val="none"/>
          <w:lang w:val="en-US" w:eastAsia="zh-CN"/>
        </w:rPr>
      </w:pPr>
    </w:p>
    <w:p w14:paraId="28031C79">
      <w:pPr>
        <w:spacing w:line="420" w:lineRule="exact"/>
        <w:ind w:firstLine="482" w:firstLineChars="200"/>
        <w:outlineLvl w:val="1"/>
        <w:rPr>
          <w:rFonts w:hint="eastAsia" w:ascii="仿宋_GB2312" w:hAnsi="仿宋_GB2312" w:eastAsia="仿宋_GB2312" w:cs="仿宋_GB2312"/>
          <w:b/>
          <w:bCs w:val="0"/>
          <w:color w:val="auto"/>
          <w:sz w:val="24"/>
          <w:szCs w:val="24"/>
          <w:highlight w:val="none"/>
          <w:lang w:eastAsia="zh-CN"/>
        </w:rPr>
      </w:pPr>
      <w:bookmarkStart w:id="16" w:name="_Toc10736"/>
    </w:p>
    <w:p w14:paraId="160A20FB">
      <w:pPr>
        <w:keepNext w:val="0"/>
        <w:keepLines w:val="0"/>
        <w:pageBreakBefore w:val="0"/>
        <w:widowControl w:val="0"/>
        <w:kinsoku/>
        <w:wordWrap/>
        <w:overflowPunct/>
        <w:topLinePunct w:val="0"/>
        <w:autoSpaceDE/>
        <w:autoSpaceDN/>
        <w:bidi w:val="0"/>
        <w:adjustRightInd/>
        <w:snapToGrid/>
        <w:spacing w:line="240" w:lineRule="auto"/>
        <w:ind w:firstLine="602" w:firstLineChars="200"/>
        <w:textAlignment w:val="auto"/>
        <w:outlineLvl w:val="1"/>
        <w:rPr>
          <w:rFonts w:hint="eastAsia" w:ascii="仿宋_GB2312" w:hAnsi="仿宋_GB2312" w:eastAsia="仿宋_GB2312" w:cs="仿宋_GB2312"/>
          <w:b/>
          <w:bCs w:val="0"/>
          <w:color w:val="auto"/>
          <w:sz w:val="30"/>
          <w:szCs w:val="30"/>
          <w:highlight w:val="none"/>
          <w:lang w:eastAsia="zh-CN"/>
        </w:rPr>
      </w:pPr>
      <w:bookmarkStart w:id="17" w:name="_Toc8598"/>
      <w:r>
        <w:rPr>
          <w:rFonts w:hint="eastAsia" w:ascii="黑体" w:hAnsi="黑体" w:eastAsia="黑体" w:cs="黑体"/>
          <w:b/>
          <w:bCs w:val="0"/>
          <w:color w:val="auto"/>
          <w:sz w:val="30"/>
          <w:szCs w:val="30"/>
          <w:highlight w:val="none"/>
          <w:lang w:eastAsia="zh-CN"/>
        </w:rPr>
        <w:t>一、询价条件</w:t>
      </w:r>
      <w:bookmarkEnd w:id="16"/>
      <w:bookmarkEnd w:id="17"/>
    </w:p>
    <w:p w14:paraId="4DF93EC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本次询价项目名称为：赣州市交通投资集团</w:t>
      </w:r>
      <w:r>
        <w:rPr>
          <w:rFonts w:hint="eastAsia" w:ascii="仿宋_GB2312" w:hAnsi="仿宋_GB2312" w:eastAsia="仿宋_GB2312" w:cs="仿宋_GB2312"/>
          <w:color w:val="auto"/>
          <w:sz w:val="30"/>
          <w:szCs w:val="30"/>
          <w:highlight w:val="none"/>
          <w:lang w:eastAsia="zh-CN"/>
        </w:rPr>
        <w:t>有限</w:t>
      </w:r>
      <w:r>
        <w:rPr>
          <w:rFonts w:hint="eastAsia" w:ascii="仿宋_GB2312" w:hAnsi="仿宋_GB2312" w:eastAsia="仿宋_GB2312" w:cs="仿宋_GB2312"/>
          <w:color w:val="auto"/>
          <w:sz w:val="30"/>
          <w:szCs w:val="30"/>
          <w:highlight w:val="none"/>
          <w:lang w:val="en-US" w:eastAsia="zh-CN"/>
        </w:rPr>
        <w:t>责任</w:t>
      </w:r>
      <w:r>
        <w:rPr>
          <w:rFonts w:hint="eastAsia" w:ascii="仿宋_GB2312" w:hAnsi="仿宋_GB2312" w:eastAsia="仿宋_GB2312" w:cs="仿宋_GB2312"/>
          <w:color w:val="auto"/>
          <w:sz w:val="30"/>
          <w:szCs w:val="30"/>
          <w:highlight w:val="none"/>
          <w:lang w:eastAsia="zh-CN"/>
        </w:rPr>
        <w:t>公司</w:t>
      </w:r>
      <w:r>
        <w:rPr>
          <w:rFonts w:hint="eastAsia" w:ascii="仿宋_GB2312" w:hAnsi="仿宋_GB2312" w:eastAsia="仿宋_GB2312" w:cs="仿宋_GB2312"/>
          <w:color w:val="auto"/>
          <w:sz w:val="30"/>
          <w:szCs w:val="30"/>
          <w:highlight w:val="none"/>
          <w:lang w:val="en-US" w:eastAsia="zh-CN"/>
        </w:rPr>
        <w:t>2026-2027年度</w:t>
      </w:r>
      <w:r>
        <w:rPr>
          <w:rFonts w:hint="eastAsia" w:ascii="仿宋_GB2312" w:hAnsi="仿宋_GB2312" w:eastAsia="仿宋_GB2312" w:cs="仿宋_GB2312"/>
          <w:color w:val="auto"/>
          <w:sz w:val="30"/>
          <w:szCs w:val="30"/>
          <w:highlight w:val="none"/>
          <w:lang w:eastAsia="zh-CN"/>
        </w:rPr>
        <w:t>沥青</w:t>
      </w:r>
      <w:r>
        <w:rPr>
          <w:rFonts w:hint="eastAsia" w:ascii="仿宋_GB2312" w:hAnsi="仿宋_GB2312" w:eastAsia="仿宋_GB2312" w:cs="仿宋_GB2312"/>
          <w:color w:val="auto"/>
          <w:sz w:val="30"/>
          <w:szCs w:val="30"/>
          <w:highlight w:val="none"/>
          <w:lang w:val="en-US" w:eastAsia="zh-CN"/>
        </w:rPr>
        <w:t>采购项目</w:t>
      </w:r>
      <w:r>
        <w:rPr>
          <w:rFonts w:hint="eastAsia" w:ascii="仿宋_GB2312" w:hAnsi="仿宋_GB2312" w:eastAsia="仿宋_GB2312" w:cs="仿宋_GB2312"/>
          <w:color w:val="auto"/>
          <w:sz w:val="30"/>
          <w:szCs w:val="30"/>
          <w:highlight w:val="none"/>
          <w:lang w:val="en-US" w:eastAsia="zh-CN"/>
        </w:rPr>
        <w:t>（第二次）</w:t>
      </w:r>
      <w:r>
        <w:rPr>
          <w:rFonts w:hint="eastAsia" w:ascii="仿宋_GB2312" w:hAnsi="仿宋_GB2312" w:eastAsia="仿宋_GB2312" w:cs="仿宋_GB2312"/>
          <w:color w:val="auto"/>
          <w:sz w:val="30"/>
          <w:szCs w:val="30"/>
          <w:highlight w:val="none"/>
          <w:lang w:val="en-US" w:eastAsia="zh-CN"/>
        </w:rPr>
        <w:t>，资金来源为自有资金，该项目已具备采购条件。询价人及合同签订人为：赣州市交通投资集团</w:t>
      </w:r>
      <w:r>
        <w:rPr>
          <w:rFonts w:hint="eastAsia" w:ascii="仿宋_GB2312" w:hAnsi="仿宋_GB2312" w:eastAsia="仿宋_GB2312" w:cs="仿宋_GB2312"/>
          <w:color w:val="auto"/>
          <w:sz w:val="30"/>
          <w:szCs w:val="30"/>
          <w:highlight w:val="none"/>
          <w:lang w:eastAsia="zh-CN"/>
        </w:rPr>
        <w:t>有限</w:t>
      </w:r>
      <w:r>
        <w:rPr>
          <w:rFonts w:hint="eastAsia" w:ascii="仿宋_GB2312" w:hAnsi="仿宋_GB2312" w:eastAsia="仿宋_GB2312" w:cs="仿宋_GB2312"/>
          <w:color w:val="auto"/>
          <w:sz w:val="30"/>
          <w:szCs w:val="30"/>
          <w:highlight w:val="none"/>
          <w:lang w:val="en-US" w:eastAsia="zh-CN"/>
        </w:rPr>
        <w:t>责任</w:t>
      </w:r>
      <w:r>
        <w:rPr>
          <w:rFonts w:hint="eastAsia" w:ascii="仿宋_GB2312" w:hAnsi="仿宋_GB2312" w:eastAsia="仿宋_GB2312" w:cs="仿宋_GB2312"/>
          <w:color w:val="auto"/>
          <w:sz w:val="30"/>
          <w:szCs w:val="30"/>
          <w:highlight w:val="none"/>
          <w:lang w:eastAsia="zh-CN"/>
        </w:rPr>
        <w:t>公司</w:t>
      </w:r>
      <w:r>
        <w:rPr>
          <w:rFonts w:hint="eastAsia" w:ascii="仿宋_GB2312" w:hAnsi="仿宋_GB2312" w:eastAsia="仿宋_GB2312" w:cs="仿宋_GB2312"/>
          <w:color w:val="auto"/>
          <w:sz w:val="30"/>
          <w:szCs w:val="30"/>
          <w:highlight w:val="none"/>
          <w:lang w:val="en-US" w:eastAsia="zh-CN"/>
        </w:rPr>
        <w:t>。</w:t>
      </w:r>
    </w:p>
    <w:p w14:paraId="5D844887">
      <w:pPr>
        <w:keepNext w:val="0"/>
        <w:keepLines w:val="0"/>
        <w:pageBreakBefore w:val="0"/>
        <w:widowControl w:val="0"/>
        <w:kinsoku/>
        <w:wordWrap/>
        <w:overflowPunct/>
        <w:topLinePunct w:val="0"/>
        <w:autoSpaceDE/>
        <w:autoSpaceDN/>
        <w:bidi w:val="0"/>
        <w:adjustRightInd/>
        <w:snapToGrid/>
        <w:spacing w:line="240" w:lineRule="auto"/>
        <w:ind w:firstLine="602" w:firstLineChars="200"/>
        <w:textAlignment w:val="auto"/>
        <w:outlineLvl w:val="1"/>
        <w:rPr>
          <w:rFonts w:hint="eastAsia" w:ascii="黑体" w:hAnsi="黑体" w:eastAsia="黑体" w:cs="黑体"/>
          <w:b/>
          <w:bCs w:val="0"/>
          <w:color w:val="auto"/>
          <w:sz w:val="30"/>
          <w:szCs w:val="30"/>
          <w:highlight w:val="none"/>
          <w:lang w:eastAsia="zh-CN"/>
        </w:rPr>
      </w:pPr>
      <w:bookmarkStart w:id="18" w:name="_Toc28788"/>
      <w:bookmarkStart w:id="19" w:name="_Toc527708224"/>
      <w:bookmarkStart w:id="20" w:name="_Toc504312944"/>
      <w:r>
        <w:rPr>
          <w:rFonts w:hint="eastAsia" w:ascii="黑体" w:hAnsi="黑体" w:eastAsia="黑体" w:cs="黑体"/>
          <w:b/>
          <w:bCs w:val="0"/>
          <w:color w:val="auto"/>
          <w:sz w:val="30"/>
          <w:szCs w:val="30"/>
          <w:highlight w:val="none"/>
          <w:lang w:eastAsia="zh-CN"/>
        </w:rPr>
        <w:t>二、采购内容及要求</w:t>
      </w:r>
      <w:bookmarkEnd w:id="18"/>
    </w:p>
    <w:tbl>
      <w:tblPr>
        <w:tblStyle w:val="21"/>
        <w:tblW w:w="87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145"/>
        <w:gridCol w:w="1070"/>
        <w:gridCol w:w="1506"/>
        <w:gridCol w:w="2188"/>
      </w:tblGrid>
      <w:tr w14:paraId="0D17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828" w:type="dxa"/>
            <w:noWrap w:val="0"/>
            <w:vAlign w:val="center"/>
          </w:tcPr>
          <w:p w14:paraId="55265658">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序号</w:t>
            </w:r>
          </w:p>
        </w:tc>
        <w:tc>
          <w:tcPr>
            <w:tcW w:w="3145" w:type="dxa"/>
            <w:noWrap w:val="0"/>
            <w:vAlign w:val="center"/>
          </w:tcPr>
          <w:p w14:paraId="599787DE">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物品名称及规格</w:t>
            </w:r>
          </w:p>
        </w:tc>
        <w:tc>
          <w:tcPr>
            <w:tcW w:w="1070" w:type="dxa"/>
            <w:noWrap w:val="0"/>
            <w:vAlign w:val="center"/>
          </w:tcPr>
          <w:p w14:paraId="503C1E30">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单位</w:t>
            </w:r>
          </w:p>
        </w:tc>
        <w:tc>
          <w:tcPr>
            <w:tcW w:w="1506" w:type="dxa"/>
            <w:noWrap w:val="0"/>
            <w:vAlign w:val="center"/>
          </w:tcPr>
          <w:p w14:paraId="6A97E261">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预估数量</w:t>
            </w:r>
          </w:p>
        </w:tc>
        <w:tc>
          <w:tcPr>
            <w:tcW w:w="2188" w:type="dxa"/>
            <w:noWrap w:val="0"/>
            <w:vAlign w:val="center"/>
          </w:tcPr>
          <w:p w14:paraId="2A0BA499">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备注</w:t>
            </w:r>
          </w:p>
        </w:tc>
      </w:tr>
      <w:tr w14:paraId="447C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828" w:type="dxa"/>
            <w:noWrap w:val="0"/>
            <w:vAlign w:val="center"/>
          </w:tcPr>
          <w:p w14:paraId="35636222">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w:t>
            </w:r>
          </w:p>
        </w:tc>
        <w:tc>
          <w:tcPr>
            <w:tcW w:w="3145" w:type="dxa"/>
            <w:noWrap w:val="0"/>
            <w:vAlign w:val="center"/>
          </w:tcPr>
          <w:p w14:paraId="03A9B31E">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bCs/>
                <w:color w:val="auto"/>
                <w:sz w:val="30"/>
                <w:szCs w:val="30"/>
                <w:highlight w:val="none"/>
              </w:rPr>
              <w:t>SBS改性沥青（I-D级）</w:t>
            </w:r>
          </w:p>
        </w:tc>
        <w:tc>
          <w:tcPr>
            <w:tcW w:w="1070" w:type="dxa"/>
            <w:noWrap w:val="0"/>
            <w:vAlign w:val="center"/>
          </w:tcPr>
          <w:p w14:paraId="3E8D03EE">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吨</w:t>
            </w:r>
          </w:p>
        </w:tc>
        <w:tc>
          <w:tcPr>
            <w:tcW w:w="1506" w:type="dxa"/>
            <w:noWrap w:val="0"/>
            <w:vAlign w:val="center"/>
          </w:tcPr>
          <w:p w14:paraId="15115F67">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lang w:val="en-US"/>
              </w:rPr>
            </w:pPr>
            <w:r>
              <w:rPr>
                <w:rFonts w:hint="eastAsia" w:ascii="仿宋_GB2312" w:hAnsi="仿宋_GB2312" w:eastAsia="仿宋_GB2312" w:cs="仿宋_GB2312"/>
                <w:color w:val="auto"/>
                <w:sz w:val="30"/>
                <w:szCs w:val="30"/>
                <w:highlight w:val="none"/>
                <w:lang w:val="en-US" w:eastAsia="zh-CN"/>
              </w:rPr>
              <w:t>1800</w:t>
            </w:r>
          </w:p>
        </w:tc>
        <w:tc>
          <w:tcPr>
            <w:tcW w:w="2188" w:type="dxa"/>
            <w:vMerge w:val="restart"/>
            <w:noWrap w:val="0"/>
            <w:vAlign w:val="top"/>
          </w:tcPr>
          <w:p w14:paraId="5BDCC365">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签订单价合同，以实际验收数量为准。</w:t>
            </w:r>
          </w:p>
        </w:tc>
      </w:tr>
      <w:tr w14:paraId="4C39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28" w:type="dxa"/>
            <w:noWrap w:val="0"/>
            <w:vAlign w:val="center"/>
          </w:tcPr>
          <w:p w14:paraId="473FEC8D">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w:t>
            </w:r>
          </w:p>
        </w:tc>
        <w:tc>
          <w:tcPr>
            <w:tcW w:w="3145" w:type="dxa"/>
            <w:noWrap w:val="0"/>
            <w:vAlign w:val="center"/>
          </w:tcPr>
          <w:p w14:paraId="09DB5F3B">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bCs/>
                <w:color w:val="auto"/>
                <w:sz w:val="30"/>
                <w:szCs w:val="30"/>
                <w:highlight w:val="none"/>
              </w:rPr>
            </w:pPr>
            <w:r>
              <w:rPr>
                <w:rFonts w:hint="eastAsia" w:ascii="仿宋_GB2312" w:hAnsi="仿宋_GB2312" w:eastAsia="仿宋_GB2312" w:cs="仿宋_GB2312"/>
                <w:bCs/>
                <w:color w:val="auto"/>
                <w:sz w:val="30"/>
                <w:szCs w:val="30"/>
                <w:highlight w:val="none"/>
                <w:lang w:val="en-US" w:eastAsia="zh-CN"/>
              </w:rPr>
              <w:t>重交沥青（AH-70）</w:t>
            </w:r>
          </w:p>
        </w:tc>
        <w:tc>
          <w:tcPr>
            <w:tcW w:w="1070" w:type="dxa"/>
            <w:noWrap w:val="0"/>
            <w:vAlign w:val="center"/>
          </w:tcPr>
          <w:p w14:paraId="4D9B796A">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吨</w:t>
            </w:r>
          </w:p>
        </w:tc>
        <w:tc>
          <w:tcPr>
            <w:tcW w:w="1506" w:type="dxa"/>
            <w:noWrap w:val="0"/>
            <w:vAlign w:val="center"/>
          </w:tcPr>
          <w:p w14:paraId="71C54B08">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500</w:t>
            </w:r>
          </w:p>
        </w:tc>
        <w:tc>
          <w:tcPr>
            <w:tcW w:w="2188" w:type="dxa"/>
            <w:vMerge w:val="continue"/>
            <w:noWrap w:val="0"/>
            <w:vAlign w:val="top"/>
          </w:tcPr>
          <w:p w14:paraId="25DA6B75">
            <w:pPr>
              <w:keepNext w:val="0"/>
              <w:keepLines w:val="0"/>
              <w:suppressLineNumbers w:val="0"/>
              <w:spacing w:before="0" w:beforeAutospacing="0" w:after="0" w:afterAutospacing="0" w:line="420" w:lineRule="exact"/>
              <w:ind w:left="0" w:right="0"/>
              <w:jc w:val="center"/>
              <w:rPr>
                <w:rFonts w:hint="eastAsia" w:ascii="仿宋_GB2312" w:hAnsi="仿宋_GB2312" w:eastAsia="仿宋_GB2312" w:cs="仿宋_GB2312"/>
                <w:color w:val="auto"/>
                <w:sz w:val="30"/>
                <w:szCs w:val="30"/>
                <w:highlight w:val="none"/>
              </w:rPr>
            </w:pPr>
          </w:p>
        </w:tc>
      </w:tr>
    </w:tbl>
    <w:p w14:paraId="297C86AF">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default" w:ascii="仿宋_GB2312" w:hAnsi="仿宋_GB2312" w:eastAsia="仿宋_GB2312" w:cs="仿宋_GB2312"/>
          <w:b/>
          <w:bCs/>
          <w:color w:val="auto"/>
          <w:sz w:val="30"/>
          <w:szCs w:val="30"/>
          <w:highlight w:val="none"/>
          <w:lang w:val="en-US" w:eastAsia="zh-CN"/>
        </w:rPr>
      </w:pPr>
      <w:r>
        <w:rPr>
          <w:rFonts w:hint="eastAsia" w:ascii="宋体" w:hAnsi="宋体"/>
          <w:b/>
          <w:bCs/>
          <w:color w:val="auto"/>
          <w:sz w:val="24"/>
          <w:szCs w:val="24"/>
          <w:highlight w:val="none"/>
          <w:lang w:val="en-US" w:eastAsia="zh-CN"/>
        </w:rPr>
        <w:t>注：</w:t>
      </w:r>
      <w:r>
        <w:rPr>
          <w:rFonts w:hint="eastAsia" w:ascii="宋体" w:hAnsi="宋体"/>
          <w:b/>
          <w:bCs/>
          <w:color w:val="auto"/>
          <w:sz w:val="24"/>
          <w:szCs w:val="24"/>
          <w:highlight w:val="none"/>
        </w:rPr>
        <w:t>上表数量均为预</w:t>
      </w:r>
      <w:r>
        <w:rPr>
          <w:rFonts w:hint="eastAsia" w:ascii="宋体" w:hAnsi="宋体" w:cs="宋体"/>
          <w:b/>
          <w:bCs/>
          <w:color w:val="auto"/>
          <w:sz w:val="24"/>
          <w:szCs w:val="24"/>
          <w:highlight w:val="none"/>
        </w:rPr>
        <w:t>估</w:t>
      </w:r>
      <w:r>
        <w:rPr>
          <w:rFonts w:hint="eastAsia" w:ascii="宋体" w:hAnsi="宋体"/>
          <w:b/>
          <w:bCs/>
          <w:color w:val="auto"/>
          <w:sz w:val="24"/>
          <w:szCs w:val="24"/>
          <w:highlight w:val="none"/>
        </w:rPr>
        <w:t>数量，</w:t>
      </w:r>
      <w:r>
        <w:rPr>
          <w:rFonts w:hint="eastAsia" w:ascii="宋体" w:hAnsi="宋体" w:cs="宋体"/>
          <w:b/>
          <w:bCs/>
          <w:color w:val="auto"/>
          <w:sz w:val="24"/>
          <w:szCs w:val="24"/>
          <w:highlight w:val="none"/>
        </w:rPr>
        <w:t>仅作为共同</w:t>
      </w:r>
      <w:r>
        <w:rPr>
          <w:rFonts w:hint="eastAsia" w:ascii="宋体" w:hAnsi="宋体" w:cs="宋体"/>
          <w:b/>
          <w:bCs/>
          <w:color w:val="auto"/>
          <w:sz w:val="24"/>
          <w:szCs w:val="24"/>
          <w:highlight w:val="none"/>
          <w:lang w:val="en-US" w:eastAsia="zh-CN"/>
        </w:rPr>
        <w:t>报价的</w:t>
      </w:r>
      <w:r>
        <w:rPr>
          <w:rFonts w:hint="eastAsia" w:ascii="宋体" w:hAnsi="宋体" w:cs="宋体"/>
          <w:b/>
          <w:bCs/>
          <w:color w:val="auto"/>
          <w:sz w:val="24"/>
          <w:szCs w:val="24"/>
          <w:highlight w:val="none"/>
        </w:rPr>
        <w:t>基础，不作为最终结算与支付的依据。在</w:t>
      </w:r>
      <w:r>
        <w:rPr>
          <w:rFonts w:hint="eastAsia" w:ascii="宋体" w:hAnsi="宋体"/>
          <w:b/>
          <w:bCs/>
          <w:color w:val="auto"/>
          <w:sz w:val="24"/>
          <w:szCs w:val="24"/>
          <w:highlight w:val="none"/>
        </w:rPr>
        <w:t>合同执行期间以实际供货</w:t>
      </w:r>
      <w:r>
        <w:rPr>
          <w:rFonts w:hint="eastAsia" w:ascii="宋体" w:hAnsi="宋体"/>
          <w:b/>
          <w:bCs/>
          <w:color w:val="auto"/>
          <w:sz w:val="24"/>
          <w:szCs w:val="24"/>
          <w:highlight w:val="none"/>
          <w:lang w:val="en-US" w:eastAsia="zh-CN"/>
        </w:rPr>
        <w:t>数</w:t>
      </w:r>
      <w:r>
        <w:rPr>
          <w:rFonts w:hint="eastAsia" w:ascii="宋体" w:hAnsi="宋体"/>
          <w:b/>
          <w:bCs/>
          <w:color w:val="auto"/>
          <w:sz w:val="24"/>
          <w:szCs w:val="24"/>
          <w:highlight w:val="none"/>
        </w:rPr>
        <w:t>量为准。若中</w:t>
      </w:r>
      <w:r>
        <w:rPr>
          <w:rFonts w:hint="eastAsia" w:ascii="宋体" w:hAnsi="宋体"/>
          <w:b/>
          <w:bCs/>
          <w:color w:val="auto"/>
          <w:sz w:val="24"/>
          <w:szCs w:val="24"/>
          <w:highlight w:val="none"/>
          <w:lang w:val="en-US" w:eastAsia="zh-CN"/>
        </w:rPr>
        <w:t>选</w:t>
      </w:r>
      <w:r>
        <w:rPr>
          <w:rFonts w:hint="eastAsia" w:ascii="宋体" w:hAnsi="宋体"/>
          <w:b/>
          <w:bCs/>
          <w:color w:val="auto"/>
          <w:sz w:val="24"/>
          <w:szCs w:val="24"/>
          <w:highlight w:val="none"/>
        </w:rPr>
        <w:t>人不能按</w:t>
      </w:r>
      <w:r>
        <w:rPr>
          <w:rFonts w:hint="eastAsia" w:ascii="宋体" w:hAnsi="宋体"/>
          <w:b/>
          <w:bCs/>
          <w:color w:val="auto"/>
          <w:sz w:val="24"/>
          <w:szCs w:val="24"/>
          <w:highlight w:val="none"/>
          <w:lang w:val="en-US" w:eastAsia="zh-CN"/>
        </w:rPr>
        <w:t>询价</w:t>
      </w:r>
      <w:r>
        <w:rPr>
          <w:rFonts w:hint="eastAsia" w:ascii="宋体" w:hAnsi="宋体"/>
          <w:b/>
          <w:bCs/>
          <w:color w:val="auto"/>
          <w:sz w:val="24"/>
          <w:szCs w:val="24"/>
          <w:highlight w:val="none"/>
        </w:rPr>
        <w:t>人提供的计划及时供货，</w:t>
      </w:r>
      <w:r>
        <w:rPr>
          <w:rFonts w:hint="eastAsia" w:ascii="宋体" w:hAnsi="宋体"/>
          <w:b/>
          <w:bCs/>
          <w:color w:val="auto"/>
          <w:sz w:val="24"/>
          <w:szCs w:val="24"/>
          <w:highlight w:val="none"/>
          <w:lang w:val="en-US" w:eastAsia="zh-CN"/>
        </w:rPr>
        <w:t>询价</w:t>
      </w:r>
      <w:r>
        <w:rPr>
          <w:rFonts w:hint="eastAsia" w:ascii="宋体" w:hAnsi="宋体"/>
          <w:b/>
          <w:bCs/>
          <w:color w:val="auto"/>
          <w:sz w:val="24"/>
          <w:szCs w:val="24"/>
          <w:highlight w:val="none"/>
        </w:rPr>
        <w:t>人有权从其他途径调剂供应，并保留追究其违约责任的权力。</w:t>
      </w:r>
    </w:p>
    <w:p w14:paraId="23AB3D79">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1、技术标准（包括质量要求）:</w:t>
      </w:r>
      <w:r>
        <w:rPr>
          <w:rFonts w:hint="eastAsia" w:ascii="仿宋_GB2312" w:hAnsi="仿宋_GB2312" w:eastAsia="仿宋_GB2312" w:cs="仿宋_GB2312"/>
          <w:b w:val="0"/>
          <w:bCs w:val="0"/>
          <w:color w:val="auto"/>
          <w:sz w:val="30"/>
          <w:szCs w:val="30"/>
          <w:highlight w:val="none"/>
          <w:lang w:val="en-US" w:eastAsia="zh-CN"/>
        </w:rPr>
        <w:t>质量必须符合交通部颁发的（JTG F40-2004）《公路沥青路面施工技术规范》的要求。</w:t>
      </w:r>
    </w:p>
    <w:p w14:paraId="2F592D22">
      <w:pPr>
        <w:keepNext w:val="0"/>
        <w:keepLines w:val="0"/>
        <w:pageBreakBefore w:val="0"/>
        <w:widowControl/>
        <w:kinsoku/>
        <w:wordWrap/>
        <w:overflowPunct/>
        <w:topLinePunct w:val="0"/>
        <w:autoSpaceDE/>
        <w:autoSpaceDN/>
        <w:bidi w:val="0"/>
        <w:adjustRightInd w:val="0"/>
        <w:snapToGrid w:val="0"/>
        <w:spacing w:line="600" w:lineRule="exact"/>
        <w:ind w:firstLine="602" w:firstLineChars="200"/>
        <w:jc w:val="both"/>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2、供货地点：</w:t>
      </w:r>
      <w:r>
        <w:rPr>
          <w:rFonts w:hint="eastAsia" w:ascii="仿宋_GB2312" w:hAnsi="仿宋_GB2312" w:eastAsia="仿宋_GB2312" w:cs="仿宋_GB2312"/>
          <w:color w:val="auto"/>
          <w:sz w:val="30"/>
          <w:szCs w:val="30"/>
          <w:highlight w:val="none"/>
          <w:lang w:val="en-US" w:eastAsia="zh-CN"/>
        </w:rPr>
        <w:t>江西省赣州市区域，具体以询价人通知为准。</w:t>
      </w:r>
    </w:p>
    <w:p w14:paraId="5BC79574">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3、供货时间：</w:t>
      </w:r>
      <w:r>
        <w:rPr>
          <w:rFonts w:hint="eastAsia" w:ascii="仿宋_GB2312" w:hAnsi="仿宋_GB2312" w:eastAsia="仿宋_GB2312" w:cs="仿宋_GB2312"/>
          <w:color w:val="auto"/>
          <w:sz w:val="30"/>
          <w:szCs w:val="30"/>
          <w:highlight w:val="none"/>
          <w:lang w:val="en-US" w:eastAsia="zh-CN"/>
        </w:rPr>
        <w:t>自合同签订之日起12个月。如遇特殊情况，经双方协商一致，供货时间可延长，延长期限最长不超过1年。供货分批次供货，具体以询价人通知的供货时间为准。工程开工前，报价人（供应商）在收到询价人通知（电话、微信、信息等）后48小时内到货。如逾期，自逾期之日起按10000元/天向询价人支付违约金，当延期供货达到5天时，询价人有权单方解除合同，并追究由此造成的损失及责任。</w:t>
      </w:r>
    </w:p>
    <w:p w14:paraId="2ABCEFBA">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4、其他要求：</w:t>
      </w:r>
    </w:p>
    <w:p w14:paraId="3FEDE24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(1)供应商供货时应提交满足上述质量标准的合格产品的质量检验报告，作为验收时的参考，但质量合格证明并不意味着询价人对货物的认可。未提交质量检验报告，询价人可以拒收。</w:t>
      </w:r>
    </w:p>
    <w:p w14:paraId="212DAAA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(2)供应商应承担因其服务、产品质量等因素导致询价人或第三方的损失，上述损失一旦发生，询价人有权在向供应商的任何一批支付款中直接扣款，并追究其责任。</w:t>
      </w:r>
    </w:p>
    <w:p w14:paraId="4417407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(3)询价人在发出中选通知书前有权对供应商的“三保能力”等相关要求进行调查，如发现中选人弄虚作假，询价人有权取消其中选资格。</w:t>
      </w:r>
    </w:p>
    <w:p w14:paraId="32C4E0D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(4) 成交供应商中标后须提供13%增值税专用发票，并在发票承诺函中承诺合法开票，因发票不合规造成询价人损失的应全额赔偿。具体发票承诺函详见附件。</w:t>
      </w:r>
    </w:p>
    <w:p w14:paraId="15CEC5F4">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21" w:name="_Toc10957"/>
      <w:r>
        <w:rPr>
          <w:rFonts w:hint="eastAsia" w:ascii="黑体" w:hAnsi="黑体" w:eastAsia="黑体" w:cs="黑体"/>
          <w:b/>
          <w:bCs w:val="0"/>
          <w:color w:val="auto"/>
          <w:sz w:val="30"/>
          <w:szCs w:val="30"/>
          <w:highlight w:val="none"/>
          <w:lang w:val="en-US" w:eastAsia="zh-CN"/>
        </w:rPr>
        <w:t>三、最高报价限价及报价要求</w:t>
      </w:r>
      <w:bookmarkEnd w:id="21"/>
    </w:p>
    <w:p w14:paraId="3E876013">
      <w:pPr>
        <w:keepNext w:val="0"/>
        <w:keepLines w:val="0"/>
        <w:pageBreakBefore w:val="0"/>
        <w:widowControl w:val="0"/>
        <w:kinsoku/>
        <w:wordWrap/>
        <w:overflowPunct/>
        <w:topLinePunct w:val="0"/>
        <w:autoSpaceDE/>
        <w:autoSpaceDN/>
        <w:bidi w:val="0"/>
        <w:adjustRightInd/>
        <w:snapToGrid/>
        <w:spacing w:line="600" w:lineRule="exact"/>
        <w:ind w:firstLine="602" w:firstLineChars="200"/>
        <w:jc w:val="left"/>
        <w:textAlignment w:val="auto"/>
        <w:rPr>
          <w:rFonts w:hint="eastAsia" w:ascii="仿宋_GB2312" w:hAnsi="仿宋_GB2312" w:eastAsia="仿宋_GB2312" w:cs="仿宋_GB2312"/>
          <w:b/>
          <w:bCs/>
          <w:color w:val="auto"/>
          <w:sz w:val="30"/>
          <w:szCs w:val="30"/>
          <w:highlight w:val="none"/>
          <w:u w:val="single"/>
          <w:lang w:val="en-US" w:eastAsia="zh-CN"/>
        </w:rPr>
      </w:pPr>
      <w:r>
        <w:rPr>
          <w:rFonts w:hint="eastAsia" w:ascii="仿宋_GB2312" w:hAnsi="仿宋_GB2312" w:eastAsia="仿宋_GB2312" w:cs="仿宋_GB2312"/>
          <w:b/>
          <w:bCs/>
          <w:color w:val="auto"/>
          <w:sz w:val="30"/>
          <w:szCs w:val="30"/>
          <w:highlight w:val="none"/>
          <w:lang w:val="en-US" w:eastAsia="zh-CN"/>
        </w:rPr>
        <w:t>（一）</w:t>
      </w:r>
      <w:r>
        <w:rPr>
          <w:rFonts w:hint="eastAsia" w:ascii="仿宋_GB2312" w:hAnsi="仿宋_GB2312" w:eastAsia="仿宋_GB2312" w:cs="仿宋_GB2312"/>
          <w:b/>
          <w:bCs/>
          <w:color w:val="auto"/>
          <w:kern w:val="0"/>
          <w:sz w:val="30"/>
          <w:szCs w:val="30"/>
          <w:highlight w:val="none"/>
          <w:lang w:val="en-US" w:eastAsia="zh-CN"/>
        </w:rPr>
        <w:t>本项目</w:t>
      </w:r>
      <w:r>
        <w:rPr>
          <w:rFonts w:hint="eastAsia" w:ascii="仿宋_GB2312" w:hAnsi="仿宋_GB2312" w:eastAsia="仿宋_GB2312" w:cs="仿宋_GB2312"/>
          <w:b/>
          <w:bCs/>
          <w:color w:val="auto"/>
          <w:kern w:val="0"/>
          <w:sz w:val="30"/>
          <w:szCs w:val="30"/>
          <w:highlight w:val="none"/>
        </w:rPr>
        <w:t>询价的</w:t>
      </w:r>
      <w:r>
        <w:rPr>
          <w:rFonts w:hint="eastAsia" w:ascii="仿宋_GB2312" w:hAnsi="仿宋_GB2312" w:eastAsia="仿宋_GB2312" w:cs="仿宋_GB2312"/>
          <w:b/>
          <w:bCs/>
          <w:color w:val="auto"/>
          <w:kern w:val="0"/>
          <w:sz w:val="30"/>
          <w:szCs w:val="30"/>
          <w:highlight w:val="none"/>
          <w:lang w:val="en-US" w:eastAsia="zh-CN"/>
        </w:rPr>
        <w:t>最高报价限价</w:t>
      </w:r>
      <w:r>
        <w:rPr>
          <w:rFonts w:hint="eastAsia" w:ascii="仿宋_GB2312" w:hAnsi="仿宋_GB2312" w:eastAsia="仿宋_GB2312" w:cs="仿宋_GB2312"/>
          <w:b/>
          <w:bCs/>
          <w:color w:val="auto"/>
          <w:kern w:val="0"/>
          <w:sz w:val="30"/>
          <w:szCs w:val="30"/>
          <w:highlight w:val="none"/>
          <w:lang w:eastAsia="zh-CN"/>
        </w:rPr>
        <w:t>：</w:t>
      </w:r>
      <w:r>
        <w:rPr>
          <w:rFonts w:hint="eastAsia" w:ascii="仿宋_GB2312" w:hAnsi="仿宋_GB2312" w:eastAsia="仿宋_GB2312" w:cs="仿宋_GB2312"/>
          <w:b/>
          <w:bCs/>
          <w:color w:val="auto"/>
          <w:sz w:val="30"/>
          <w:szCs w:val="30"/>
          <w:highlight w:val="none"/>
          <w:u w:val="single"/>
          <w:lang w:val="en-US" w:eastAsia="zh-CN"/>
        </w:rPr>
        <w:t>壹仟贰佰伍拾捌万零贰佰叁拾陆元整（￥：12580236.00元）。</w:t>
      </w:r>
    </w:p>
    <w:p w14:paraId="670DEEAE">
      <w:pPr>
        <w:keepNext w:val="0"/>
        <w:keepLines w:val="0"/>
        <w:pageBreakBefore w:val="0"/>
        <w:widowControl w:val="0"/>
        <w:kinsoku/>
        <w:wordWrap/>
        <w:overflowPunct/>
        <w:topLinePunct w:val="0"/>
        <w:autoSpaceDE/>
        <w:autoSpaceDN/>
        <w:bidi w:val="0"/>
        <w:adjustRightInd/>
        <w:snapToGrid/>
        <w:spacing w:line="600" w:lineRule="exact"/>
        <w:ind w:firstLine="602" w:firstLineChars="200"/>
        <w:jc w:val="left"/>
        <w:textAlignment w:val="auto"/>
        <w:rPr>
          <w:rFonts w:hint="default" w:ascii="仿宋_GB2312" w:hAnsi="仿宋_GB2312" w:eastAsia="仿宋_GB2312" w:cs="仿宋_GB2312"/>
          <w:b/>
          <w:bCs/>
          <w:color w:val="auto"/>
          <w:sz w:val="30"/>
          <w:szCs w:val="30"/>
          <w:highlight w:val="none"/>
          <w:u w:val="none"/>
          <w:lang w:val="en-US" w:eastAsia="zh-CN"/>
        </w:rPr>
      </w:pPr>
      <w:r>
        <w:rPr>
          <w:rFonts w:hint="eastAsia" w:ascii="仿宋_GB2312" w:hAnsi="仿宋_GB2312" w:eastAsia="仿宋_GB2312" w:cs="仿宋_GB2312"/>
          <w:b/>
          <w:bCs/>
          <w:color w:val="auto"/>
          <w:sz w:val="30"/>
          <w:szCs w:val="30"/>
          <w:highlight w:val="none"/>
          <w:u w:val="none"/>
          <w:lang w:val="en-US" w:eastAsia="zh-CN"/>
        </w:rPr>
        <w:t>最高报价限价清单如下：</w:t>
      </w:r>
    </w:p>
    <w:tbl>
      <w:tblPr>
        <w:tblStyle w:val="21"/>
        <w:tblW w:w="9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417"/>
        <w:gridCol w:w="1124"/>
        <w:gridCol w:w="1560"/>
        <w:gridCol w:w="1527"/>
        <w:gridCol w:w="1735"/>
        <w:gridCol w:w="1500"/>
      </w:tblGrid>
      <w:tr w14:paraId="13AD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586" w:type="dxa"/>
            <w:noWrap w:val="0"/>
            <w:vAlign w:val="center"/>
          </w:tcPr>
          <w:p w14:paraId="036E4BE9">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1417" w:type="dxa"/>
            <w:noWrap w:val="0"/>
            <w:vAlign w:val="center"/>
          </w:tcPr>
          <w:p w14:paraId="58D628D7">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物品名称及规格</w:t>
            </w:r>
          </w:p>
        </w:tc>
        <w:tc>
          <w:tcPr>
            <w:tcW w:w="1124" w:type="dxa"/>
            <w:noWrap w:val="0"/>
            <w:vAlign w:val="center"/>
          </w:tcPr>
          <w:p w14:paraId="7D53B8F9">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预</w:t>
            </w:r>
            <w:r>
              <w:rPr>
                <w:rFonts w:hint="eastAsia" w:ascii="宋体" w:hAnsi="宋体" w:eastAsia="宋体" w:cs="宋体"/>
                <w:b/>
                <w:bCs/>
                <w:color w:val="auto"/>
                <w:sz w:val="21"/>
                <w:szCs w:val="21"/>
                <w:highlight w:val="none"/>
                <w:lang w:val="en-US" w:eastAsia="zh-CN"/>
              </w:rPr>
              <w:t>计</w:t>
            </w:r>
            <w:r>
              <w:rPr>
                <w:rFonts w:hint="eastAsia" w:ascii="宋体" w:hAnsi="宋体" w:eastAsia="宋体" w:cs="宋体"/>
                <w:b/>
                <w:bCs/>
                <w:color w:val="auto"/>
                <w:sz w:val="21"/>
                <w:szCs w:val="21"/>
                <w:highlight w:val="none"/>
              </w:rPr>
              <w:t>数量</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吨</w:t>
            </w:r>
            <w:r>
              <w:rPr>
                <w:rFonts w:hint="eastAsia" w:ascii="宋体" w:hAnsi="宋体" w:eastAsia="宋体" w:cs="宋体"/>
                <w:b/>
                <w:bCs/>
                <w:color w:val="auto"/>
                <w:sz w:val="21"/>
                <w:szCs w:val="21"/>
                <w:highlight w:val="none"/>
                <w:lang w:eastAsia="zh-CN"/>
              </w:rPr>
              <w:t>）</w:t>
            </w:r>
          </w:p>
        </w:tc>
        <w:tc>
          <w:tcPr>
            <w:tcW w:w="1560" w:type="dxa"/>
            <w:noWrap w:val="0"/>
            <w:vAlign w:val="center"/>
          </w:tcPr>
          <w:p w14:paraId="3515D5CE">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8月平均</w:t>
            </w:r>
            <w:r>
              <w:rPr>
                <w:rFonts w:hint="eastAsia" w:ascii="宋体" w:hAnsi="宋体" w:eastAsia="宋体" w:cs="宋体"/>
                <w:b/>
                <w:bCs/>
                <w:color w:val="auto"/>
                <w:sz w:val="21"/>
                <w:szCs w:val="21"/>
                <w:highlight w:val="none"/>
                <w:lang w:val="en-US" w:eastAsia="zh-CN"/>
              </w:rPr>
              <w:t>基准单价</w:t>
            </w:r>
          </w:p>
          <w:p w14:paraId="00E2C1F1">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（元/</w:t>
            </w:r>
            <w:r>
              <w:rPr>
                <w:rFonts w:hint="eastAsia" w:ascii="宋体" w:hAnsi="宋体" w:eastAsia="宋体" w:cs="宋体"/>
                <w:b/>
                <w:bCs/>
                <w:color w:val="auto"/>
                <w:sz w:val="21"/>
                <w:szCs w:val="21"/>
                <w:highlight w:val="none"/>
              </w:rPr>
              <w:t>吨</w:t>
            </w:r>
            <w:r>
              <w:rPr>
                <w:rFonts w:hint="eastAsia" w:ascii="宋体" w:hAnsi="宋体" w:eastAsia="宋体" w:cs="宋体"/>
                <w:b/>
                <w:bCs/>
                <w:color w:val="auto"/>
                <w:sz w:val="21"/>
                <w:szCs w:val="21"/>
                <w:highlight w:val="none"/>
                <w:lang w:val="en-US" w:eastAsia="zh-CN"/>
              </w:rPr>
              <w:t>）</w:t>
            </w:r>
          </w:p>
        </w:tc>
        <w:tc>
          <w:tcPr>
            <w:tcW w:w="1527" w:type="dxa"/>
            <w:noWrap w:val="0"/>
            <w:vAlign w:val="center"/>
          </w:tcPr>
          <w:p w14:paraId="29F6AC72">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最高报价单价</w:t>
            </w:r>
          </w:p>
          <w:p w14:paraId="52048860">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leftChars="0" w:right="0" w:rightChars="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（元/</w:t>
            </w:r>
            <w:r>
              <w:rPr>
                <w:rFonts w:hint="eastAsia" w:ascii="宋体" w:hAnsi="宋体" w:eastAsia="宋体" w:cs="宋体"/>
                <w:b/>
                <w:bCs/>
                <w:color w:val="auto"/>
                <w:sz w:val="21"/>
                <w:szCs w:val="21"/>
                <w:highlight w:val="none"/>
              </w:rPr>
              <w:t>吨</w:t>
            </w:r>
            <w:r>
              <w:rPr>
                <w:rFonts w:hint="eastAsia" w:ascii="宋体" w:hAnsi="宋体" w:eastAsia="宋体" w:cs="宋体"/>
                <w:b/>
                <w:bCs/>
                <w:color w:val="auto"/>
                <w:sz w:val="21"/>
                <w:szCs w:val="21"/>
                <w:highlight w:val="none"/>
                <w:lang w:val="en-US" w:eastAsia="zh-CN"/>
              </w:rPr>
              <w:t>）</w:t>
            </w:r>
          </w:p>
        </w:tc>
        <w:tc>
          <w:tcPr>
            <w:tcW w:w="1735" w:type="dxa"/>
            <w:noWrap w:val="0"/>
            <w:vAlign w:val="center"/>
          </w:tcPr>
          <w:p w14:paraId="419BD4BE">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最高报价限价</w:t>
            </w:r>
          </w:p>
          <w:p w14:paraId="0F8C3E24">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总价</w:t>
            </w:r>
          </w:p>
          <w:p w14:paraId="49B21C94">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leftChars="0" w:right="0" w:rightChars="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（元）</w:t>
            </w:r>
          </w:p>
        </w:tc>
        <w:tc>
          <w:tcPr>
            <w:tcW w:w="1500" w:type="dxa"/>
            <w:noWrap w:val="0"/>
            <w:vAlign w:val="center"/>
          </w:tcPr>
          <w:p w14:paraId="176A0047">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leftChars="0" w:right="0" w:rightChars="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平均</w:t>
            </w:r>
            <w:r>
              <w:rPr>
                <w:rFonts w:hint="eastAsia" w:ascii="宋体" w:hAnsi="宋体" w:eastAsia="宋体" w:cs="宋体"/>
                <w:b/>
                <w:bCs/>
                <w:color w:val="auto"/>
                <w:sz w:val="21"/>
                <w:szCs w:val="21"/>
                <w:highlight w:val="none"/>
                <w:lang w:val="en-US" w:eastAsia="zh-CN"/>
              </w:rPr>
              <w:t>基准价</w:t>
            </w:r>
          </w:p>
          <w:p w14:paraId="51EA7327">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leftChars="0" w:right="0" w:rightChars="0"/>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下调</w:t>
            </w:r>
            <w:r>
              <w:rPr>
                <w:rFonts w:hint="eastAsia" w:ascii="宋体" w:hAnsi="宋体" w:cs="宋体"/>
                <w:b/>
                <w:bCs/>
                <w:color w:val="auto"/>
                <w:sz w:val="21"/>
                <w:szCs w:val="21"/>
                <w:highlight w:val="none"/>
                <w:lang w:val="en-US" w:eastAsia="zh-CN"/>
              </w:rPr>
              <w:t>比例(%)</w:t>
            </w:r>
          </w:p>
        </w:tc>
      </w:tr>
      <w:tr w14:paraId="632D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86" w:type="dxa"/>
            <w:noWrap w:val="0"/>
            <w:vAlign w:val="center"/>
          </w:tcPr>
          <w:p w14:paraId="0B83809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417" w:type="dxa"/>
            <w:noWrap w:val="0"/>
            <w:vAlign w:val="center"/>
          </w:tcPr>
          <w:p w14:paraId="0CF356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SBS改性沥青（I-D）</w:t>
            </w:r>
          </w:p>
        </w:tc>
        <w:tc>
          <w:tcPr>
            <w:tcW w:w="1124" w:type="dxa"/>
            <w:noWrap w:val="0"/>
            <w:vAlign w:val="center"/>
          </w:tcPr>
          <w:p w14:paraId="6C79FAC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1800</w:t>
            </w:r>
          </w:p>
        </w:tc>
        <w:tc>
          <w:tcPr>
            <w:tcW w:w="1560" w:type="dxa"/>
            <w:noWrap w:val="0"/>
            <w:vAlign w:val="center"/>
          </w:tcPr>
          <w:p w14:paraId="7A582053">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5991.33</w:t>
            </w:r>
          </w:p>
        </w:tc>
        <w:tc>
          <w:tcPr>
            <w:tcW w:w="1527" w:type="dxa"/>
            <w:shd w:val="clear" w:color="auto" w:fill="auto"/>
            <w:noWrap w:val="0"/>
            <w:vAlign w:val="center"/>
          </w:tcPr>
          <w:p w14:paraId="224CC0F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5619.87</w:t>
            </w:r>
          </w:p>
        </w:tc>
        <w:tc>
          <w:tcPr>
            <w:tcW w:w="1735" w:type="dxa"/>
            <w:noWrap w:val="0"/>
            <w:vAlign w:val="center"/>
          </w:tcPr>
          <w:p w14:paraId="4701AA12">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10115766.00 </w:t>
            </w:r>
          </w:p>
        </w:tc>
        <w:tc>
          <w:tcPr>
            <w:tcW w:w="1500" w:type="dxa"/>
            <w:noWrap w:val="0"/>
            <w:vAlign w:val="center"/>
          </w:tcPr>
          <w:p w14:paraId="36CD64D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6.2</w:t>
            </w:r>
          </w:p>
        </w:tc>
      </w:tr>
      <w:tr w14:paraId="2ECE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586" w:type="dxa"/>
            <w:noWrap w:val="0"/>
            <w:vAlign w:val="center"/>
          </w:tcPr>
          <w:p w14:paraId="1C78BD5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w:t>
            </w:r>
          </w:p>
        </w:tc>
        <w:tc>
          <w:tcPr>
            <w:tcW w:w="1417" w:type="dxa"/>
            <w:noWrap w:val="0"/>
            <w:vAlign w:val="center"/>
          </w:tcPr>
          <w:p w14:paraId="2710F5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重交沥青（AH-70）</w:t>
            </w:r>
          </w:p>
        </w:tc>
        <w:tc>
          <w:tcPr>
            <w:tcW w:w="1124" w:type="dxa"/>
            <w:noWrap w:val="0"/>
            <w:vAlign w:val="center"/>
          </w:tcPr>
          <w:p w14:paraId="1DDED59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500</w:t>
            </w:r>
          </w:p>
        </w:tc>
        <w:tc>
          <w:tcPr>
            <w:tcW w:w="1560" w:type="dxa"/>
            <w:noWrap w:val="0"/>
            <w:vAlign w:val="center"/>
          </w:tcPr>
          <w:p w14:paraId="41DC71E1">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5243.55</w:t>
            </w:r>
          </w:p>
        </w:tc>
        <w:tc>
          <w:tcPr>
            <w:tcW w:w="1527" w:type="dxa"/>
            <w:shd w:val="clear" w:color="auto" w:fill="auto"/>
            <w:noWrap w:val="0"/>
            <w:vAlign w:val="center"/>
          </w:tcPr>
          <w:p w14:paraId="2CCE9BC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4928.94</w:t>
            </w:r>
          </w:p>
        </w:tc>
        <w:tc>
          <w:tcPr>
            <w:tcW w:w="1735" w:type="dxa"/>
            <w:noWrap w:val="0"/>
            <w:vAlign w:val="center"/>
          </w:tcPr>
          <w:p w14:paraId="2A5F7C14">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2464470.00 </w:t>
            </w:r>
          </w:p>
        </w:tc>
        <w:tc>
          <w:tcPr>
            <w:tcW w:w="1500" w:type="dxa"/>
            <w:noWrap w:val="0"/>
            <w:vAlign w:val="center"/>
          </w:tcPr>
          <w:p w14:paraId="2A9FB93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w:t>
            </w:r>
          </w:p>
        </w:tc>
      </w:tr>
      <w:tr w14:paraId="3E0E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2003" w:type="dxa"/>
            <w:gridSpan w:val="2"/>
            <w:noWrap w:val="0"/>
            <w:vAlign w:val="center"/>
          </w:tcPr>
          <w:p w14:paraId="45A4BD6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合计</w:t>
            </w:r>
          </w:p>
        </w:tc>
        <w:tc>
          <w:tcPr>
            <w:tcW w:w="1124" w:type="dxa"/>
            <w:noWrap w:val="0"/>
            <w:vAlign w:val="center"/>
          </w:tcPr>
          <w:p w14:paraId="289DAFD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2300</w:t>
            </w:r>
          </w:p>
        </w:tc>
        <w:tc>
          <w:tcPr>
            <w:tcW w:w="1560" w:type="dxa"/>
            <w:noWrap w:val="0"/>
            <w:vAlign w:val="center"/>
          </w:tcPr>
          <w:p w14:paraId="057FFC7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527" w:type="dxa"/>
            <w:noWrap w:val="0"/>
            <w:vAlign w:val="center"/>
          </w:tcPr>
          <w:p w14:paraId="33EB767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35" w:type="dxa"/>
            <w:shd w:val="clear" w:color="auto" w:fill="auto"/>
            <w:noWrap w:val="0"/>
            <w:vAlign w:val="center"/>
          </w:tcPr>
          <w:p w14:paraId="3C09B141">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12580236.00 </w:t>
            </w:r>
          </w:p>
        </w:tc>
        <w:tc>
          <w:tcPr>
            <w:tcW w:w="1500" w:type="dxa"/>
            <w:shd w:val="clear" w:color="auto" w:fill="auto"/>
            <w:noWrap w:val="0"/>
            <w:vAlign w:val="center"/>
          </w:tcPr>
          <w:p w14:paraId="53764EF2">
            <w:pPr>
              <w:keepNext w:val="0"/>
              <w:keepLines w:val="0"/>
              <w:suppressLineNumbers w:val="0"/>
              <w:spacing w:before="0" w:beforeAutospacing="0" w:after="0" w:afterAutospacing="0"/>
              <w:ind w:left="0" w:right="0"/>
              <w:rPr>
                <w:rFonts w:hint="eastAsia" w:ascii="宋体" w:hAnsi="宋体" w:eastAsia="宋体" w:cs="宋体"/>
                <w:i w:val="0"/>
                <w:iCs w:val="0"/>
                <w:color w:val="auto"/>
                <w:kern w:val="0"/>
                <w:sz w:val="21"/>
                <w:szCs w:val="21"/>
                <w:highlight w:val="none"/>
                <w:u w:val="none"/>
                <w:lang w:val="en-US" w:eastAsia="zh-CN" w:bidi="ar"/>
              </w:rPr>
            </w:pPr>
          </w:p>
        </w:tc>
      </w:tr>
    </w:tbl>
    <w:p w14:paraId="1DC0F14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t>备注：以上价格基准价：以百川资讯网（</w:t>
      </w:r>
      <w:r>
        <w:rPr>
          <w:rFonts w:hint="default" w:ascii="宋体" w:hAnsi="宋体"/>
          <w:b/>
          <w:bCs/>
          <w:color w:val="auto"/>
          <w:sz w:val="24"/>
          <w:szCs w:val="24"/>
          <w:highlight w:val="none"/>
          <w:lang w:val="en-US" w:eastAsia="zh-CN"/>
        </w:rPr>
        <w:t>http://www.baiinfo.com/</w:t>
      </w:r>
      <w:r>
        <w:rPr>
          <w:rFonts w:hint="eastAsia" w:ascii="宋体" w:hAnsi="宋体"/>
          <w:b/>
          <w:bCs/>
          <w:color w:val="auto"/>
          <w:sz w:val="24"/>
          <w:szCs w:val="24"/>
          <w:highlight w:val="none"/>
          <w:lang w:val="en-US" w:eastAsia="zh-CN"/>
        </w:rPr>
        <w:t>）公布的</w:t>
      </w:r>
      <w:r>
        <w:rPr>
          <w:rFonts w:hint="default" w:ascii="宋体" w:hAnsi="宋体"/>
          <w:b/>
          <w:bCs/>
          <w:color w:val="auto"/>
          <w:sz w:val="24"/>
          <w:szCs w:val="24"/>
          <w:highlight w:val="none"/>
          <w:lang w:val="en-US" w:eastAsia="zh-CN"/>
        </w:rPr>
        <w:t>2026</w:t>
      </w:r>
      <w:r>
        <w:rPr>
          <w:rFonts w:hint="eastAsia" w:ascii="宋体" w:hAnsi="宋体"/>
          <w:b/>
          <w:bCs/>
          <w:color w:val="auto"/>
          <w:sz w:val="24"/>
          <w:szCs w:val="24"/>
          <w:highlight w:val="none"/>
          <w:lang w:val="en-US" w:eastAsia="zh-CN"/>
        </w:rPr>
        <w:t>年8月1日至31日挂牌平均价为基准价。结算单价价格采取价格浮动法，以供货发生当月1日至当月月末供货信息平均价，【以百川资讯网</w:t>
      </w:r>
      <w:r>
        <w:rPr>
          <w:rFonts w:hint="default" w:ascii="宋体" w:hAnsi="宋体"/>
          <w:b/>
          <w:bCs/>
          <w:color w:val="auto"/>
          <w:sz w:val="24"/>
          <w:szCs w:val="24"/>
          <w:highlight w:val="none"/>
          <w:lang w:val="en-US" w:eastAsia="zh-CN"/>
        </w:rPr>
        <w:t>http://www.baiinfo.com/</w:t>
      </w:r>
      <w:r>
        <w:rPr>
          <w:rFonts w:hint="eastAsia" w:ascii="宋体" w:hAnsi="宋体"/>
          <w:b/>
          <w:bCs/>
          <w:color w:val="auto"/>
          <w:sz w:val="24"/>
          <w:szCs w:val="24"/>
          <w:highlight w:val="none"/>
          <w:lang w:val="en-US" w:eastAsia="zh-CN"/>
        </w:rPr>
        <w:t>】公布的同规格沥青含税信息价的算术平均值作为基准单价：</w:t>
      </w:r>
    </w:p>
    <w:p w14:paraId="4F31EC05">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t>SBS改性沥青（I-D）当月供货结算单价</w:t>
      </w:r>
      <w:r>
        <w:rPr>
          <w:rFonts w:hint="default" w:ascii="宋体" w:hAnsi="宋体"/>
          <w:b/>
          <w:bCs/>
          <w:color w:val="auto"/>
          <w:sz w:val="24"/>
          <w:szCs w:val="24"/>
          <w:highlight w:val="none"/>
          <w:lang w:val="en-US" w:eastAsia="zh-CN"/>
        </w:rPr>
        <w:t>=</w:t>
      </w:r>
      <w:r>
        <w:rPr>
          <w:rFonts w:hint="eastAsia" w:ascii="宋体" w:hAnsi="宋体"/>
          <w:b/>
          <w:bCs/>
          <w:color w:val="auto"/>
          <w:sz w:val="24"/>
          <w:szCs w:val="24"/>
          <w:highlight w:val="none"/>
          <w:lang w:val="en-US" w:eastAsia="zh-CN"/>
        </w:rPr>
        <w:t>【当月供货信息均价*(1-(5991.33-合同单价)/5991.33)】；</w:t>
      </w:r>
    </w:p>
    <w:p w14:paraId="5AE433C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t>重交沥青（AH-70）当月供货结算单价</w:t>
      </w:r>
      <w:r>
        <w:rPr>
          <w:rFonts w:hint="default" w:ascii="宋体" w:hAnsi="宋体"/>
          <w:b/>
          <w:bCs/>
          <w:color w:val="auto"/>
          <w:sz w:val="24"/>
          <w:szCs w:val="24"/>
          <w:highlight w:val="none"/>
          <w:lang w:val="en-US" w:eastAsia="zh-CN"/>
        </w:rPr>
        <w:t>=</w:t>
      </w:r>
      <w:r>
        <w:rPr>
          <w:rFonts w:hint="eastAsia" w:ascii="宋体" w:hAnsi="宋体"/>
          <w:b/>
          <w:bCs/>
          <w:color w:val="auto"/>
          <w:sz w:val="24"/>
          <w:szCs w:val="24"/>
          <w:highlight w:val="none"/>
          <w:lang w:val="en-US" w:eastAsia="zh-CN"/>
        </w:rPr>
        <w:t>【当月供货信息均价*(1-(5243.55-合同单价)/5243.55)】。</w:t>
      </w:r>
    </w:p>
    <w:p w14:paraId="062DA69F">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（二）报价要求</w:t>
      </w:r>
    </w:p>
    <w:p w14:paraId="330B5D6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报价人按报价函格式（见询价文件）报价，</w:t>
      </w:r>
      <w:r>
        <w:rPr>
          <w:rFonts w:hint="eastAsia" w:ascii="仿宋_GB2312" w:hAnsi="仿宋_GB2312" w:eastAsia="仿宋_GB2312" w:cs="仿宋_GB2312"/>
          <w:b/>
          <w:bCs/>
          <w:color w:val="auto"/>
          <w:sz w:val="30"/>
          <w:szCs w:val="30"/>
          <w:highlight w:val="none"/>
          <w:lang w:val="en-US" w:eastAsia="zh-CN"/>
        </w:rPr>
        <w:t>报价单价及报价总价均不得高于控制单价及最高报价限价，</w:t>
      </w:r>
      <w:r>
        <w:rPr>
          <w:rFonts w:hint="eastAsia" w:ascii="仿宋_GB2312" w:hAnsi="仿宋_GB2312" w:eastAsia="仿宋_GB2312" w:cs="仿宋_GB2312"/>
          <w:color w:val="auto"/>
          <w:sz w:val="30"/>
          <w:szCs w:val="30"/>
          <w:highlight w:val="none"/>
          <w:lang w:val="en-US" w:eastAsia="zh-CN"/>
        </w:rPr>
        <w:t>否则视为不响应询价文件，可被询价人拒绝。报价包含场地费、材料费、加工费、人工费、设备费、运输费、仓储费、质检费（自检）、损耗、税费、保险费、利润等一切费用，询价人不再另行支付其它费用。</w:t>
      </w:r>
    </w:p>
    <w:p w14:paraId="2F1C2770">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22" w:name="_Toc32277"/>
      <w:r>
        <w:rPr>
          <w:rFonts w:hint="eastAsia" w:ascii="黑体" w:hAnsi="黑体" w:eastAsia="黑体" w:cs="黑体"/>
          <w:b/>
          <w:bCs w:val="0"/>
          <w:color w:val="auto"/>
          <w:sz w:val="30"/>
          <w:szCs w:val="30"/>
          <w:highlight w:val="none"/>
          <w:lang w:val="en-US" w:eastAsia="zh-CN"/>
        </w:rPr>
        <w:t>四、询价保证金</w:t>
      </w:r>
      <w:bookmarkEnd w:id="22"/>
    </w:p>
    <w:p w14:paraId="1AA8DDE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1、本项目询价保证金为人民币（大写）贰拾贰万元整（￥220000.00元)。</w:t>
      </w:r>
    </w:p>
    <w:p w14:paraId="75F9BD7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2、询价保证金采用现金转账形式须在递交报价文件前一日</w:t>
      </w:r>
      <w:r>
        <w:rPr>
          <w:rFonts w:hint="eastAsia" w:ascii="仿宋_GB2312" w:hAnsi="仿宋_GB2312" w:eastAsia="仿宋_GB2312" w:cs="仿宋_GB2312"/>
          <w:b/>
          <w:bCs/>
          <w:color w:val="auto"/>
          <w:sz w:val="30"/>
          <w:szCs w:val="30"/>
          <w:highlight w:val="none"/>
          <w:lang w:val="en-US" w:eastAsia="zh-CN"/>
        </w:rPr>
        <w:t>（2026年</w:t>
      </w:r>
      <w:r>
        <w:rPr>
          <w:rFonts w:hint="eastAsia" w:ascii="仿宋_GB2312" w:hAnsi="仿宋_GB2312" w:eastAsia="仿宋_GB2312" w:cs="仿宋_GB2312"/>
          <w:b/>
          <w:bCs/>
          <w:color w:val="auto"/>
          <w:sz w:val="30"/>
          <w:szCs w:val="30"/>
          <w:highlight w:val="none"/>
          <w:lang w:val="en-US" w:eastAsia="zh-CN"/>
        </w:rPr>
        <w:t>10月9日</w:t>
      </w:r>
      <w:r>
        <w:rPr>
          <w:rFonts w:hint="eastAsia" w:ascii="仿宋_GB2312" w:hAnsi="仿宋_GB2312" w:eastAsia="仿宋_GB2312" w:cs="仿宋_GB2312"/>
          <w:b/>
          <w:bCs/>
          <w:color w:val="auto"/>
          <w:sz w:val="30"/>
          <w:szCs w:val="30"/>
          <w:highlight w:val="none"/>
          <w:lang w:val="en-US" w:eastAsia="zh-CN"/>
        </w:rPr>
        <w:t>下午17:30分）</w:t>
      </w:r>
      <w:r>
        <w:rPr>
          <w:rFonts w:hint="eastAsia" w:ascii="仿宋_GB2312" w:hAnsi="仿宋_GB2312" w:eastAsia="仿宋_GB2312" w:cs="仿宋_GB2312"/>
          <w:color w:val="auto"/>
          <w:sz w:val="30"/>
          <w:szCs w:val="30"/>
          <w:highlight w:val="none"/>
          <w:lang w:val="en-US" w:eastAsia="zh-CN"/>
        </w:rPr>
        <w:t>实际到账为准。</w:t>
      </w:r>
    </w:p>
    <w:p w14:paraId="723399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账户名：赣州市交通投资集团有限责任公司</w:t>
      </w:r>
    </w:p>
    <w:p w14:paraId="74F4C53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开户行：中国银行赣州市分行营业部</w:t>
      </w:r>
    </w:p>
    <w:p w14:paraId="310B3C7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账  号：194703020088</w:t>
      </w:r>
    </w:p>
    <w:p w14:paraId="253FB6B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3、报价人可</w:t>
      </w:r>
      <w:r>
        <w:rPr>
          <w:rFonts w:hint="eastAsia" w:ascii="仿宋_GB2312" w:hAnsi="仿宋_GB2312" w:eastAsia="仿宋_GB2312" w:cs="仿宋_GB2312"/>
          <w:color w:val="auto"/>
          <w:sz w:val="30"/>
          <w:szCs w:val="30"/>
          <w:highlight w:val="none"/>
          <w:lang w:val="zh-TW" w:eastAsia="zh-CN"/>
        </w:rPr>
        <w:t>以</w:t>
      </w:r>
      <w:r>
        <w:rPr>
          <w:rFonts w:hint="eastAsia" w:ascii="仿宋_GB2312" w:hAnsi="仿宋_GB2312" w:eastAsia="仿宋_GB2312" w:cs="仿宋_GB2312"/>
          <w:color w:val="auto"/>
          <w:sz w:val="30"/>
          <w:szCs w:val="30"/>
          <w:highlight w:val="none"/>
          <w:lang w:val="en-US" w:eastAsia="zh-CN"/>
        </w:rPr>
        <w:t>转账</w:t>
      </w:r>
      <w:r>
        <w:rPr>
          <w:rFonts w:hint="eastAsia" w:ascii="仿宋_GB2312" w:hAnsi="仿宋_GB2312" w:eastAsia="仿宋_GB2312" w:cs="仿宋_GB2312"/>
          <w:color w:val="auto"/>
          <w:sz w:val="30"/>
          <w:szCs w:val="30"/>
          <w:highlight w:val="none"/>
          <w:lang w:val="zh-TW" w:eastAsia="zh-CN"/>
        </w:rPr>
        <w:t>或保函形式</w:t>
      </w:r>
      <w:r>
        <w:rPr>
          <w:rFonts w:hint="eastAsia" w:ascii="仿宋_GB2312" w:hAnsi="仿宋_GB2312" w:eastAsia="仿宋_GB2312" w:cs="仿宋_GB2312"/>
          <w:color w:val="auto"/>
          <w:sz w:val="30"/>
          <w:szCs w:val="30"/>
          <w:highlight w:val="none"/>
          <w:lang w:val="en-US" w:eastAsia="zh-CN"/>
        </w:rPr>
        <w:t>提交询价保证金</w:t>
      </w:r>
      <w:r>
        <w:rPr>
          <w:rFonts w:hint="eastAsia" w:ascii="仿宋_GB2312" w:hAnsi="仿宋_GB2312" w:eastAsia="仿宋_GB2312" w:cs="仿宋_GB2312"/>
          <w:color w:val="auto"/>
          <w:sz w:val="30"/>
          <w:szCs w:val="30"/>
          <w:highlight w:val="none"/>
          <w:lang w:val="zh-TW" w:eastAsia="zh-CN"/>
        </w:rPr>
        <w:t>。</w:t>
      </w:r>
      <w:r>
        <w:rPr>
          <w:rFonts w:hint="eastAsia" w:ascii="仿宋_GB2312" w:hAnsi="仿宋_GB2312" w:eastAsia="仿宋_GB2312" w:cs="仿宋_GB2312"/>
          <w:color w:val="auto"/>
          <w:sz w:val="30"/>
          <w:szCs w:val="30"/>
          <w:highlight w:val="none"/>
          <w:lang w:val="en-US" w:eastAsia="zh-CN"/>
        </w:rPr>
        <w:t>采取现金转账的须在上述截止日期到账为准，如采用保函则</w:t>
      </w:r>
      <w:r>
        <w:rPr>
          <w:rFonts w:hint="eastAsia" w:ascii="仿宋_GB2312" w:hAnsi="仿宋_GB2312" w:eastAsia="仿宋_GB2312" w:cs="仿宋_GB2312"/>
          <w:color w:val="auto"/>
          <w:sz w:val="30"/>
          <w:szCs w:val="30"/>
          <w:highlight w:val="none"/>
          <w:lang w:val="zh-TW" w:eastAsia="zh-CN"/>
        </w:rPr>
        <w:t>保函原件应密封在一个单独的封套内（</w:t>
      </w:r>
      <w:r>
        <w:rPr>
          <w:rFonts w:hint="eastAsia" w:ascii="仿宋_GB2312" w:hAnsi="仿宋_GB2312" w:eastAsia="仿宋_GB2312" w:cs="仿宋_GB2312"/>
          <w:color w:val="auto"/>
          <w:sz w:val="30"/>
          <w:szCs w:val="30"/>
          <w:highlight w:val="none"/>
          <w:lang w:val="en-US" w:eastAsia="zh-CN"/>
        </w:rPr>
        <w:t>保函形式：银行保函、财务公司保函、保险公司保函、第三方担保公司保函）</w:t>
      </w:r>
      <w:r>
        <w:rPr>
          <w:rFonts w:hint="eastAsia" w:ascii="仿宋_GB2312" w:hAnsi="仿宋_GB2312" w:eastAsia="仿宋_GB2312" w:cs="仿宋_GB2312"/>
          <w:color w:val="auto"/>
          <w:sz w:val="30"/>
          <w:szCs w:val="30"/>
          <w:highlight w:val="none"/>
          <w:lang w:val="zh-TW" w:eastAsia="zh-CN"/>
        </w:rPr>
        <w:t>，封套的封口处加盖报价人单位公章，在递交报价文件时一并递交给询价人，逾期不予受理。</w:t>
      </w:r>
      <w:r>
        <w:rPr>
          <w:rFonts w:hint="eastAsia" w:ascii="仿宋_GB2312" w:hAnsi="仿宋_GB2312" w:eastAsia="仿宋_GB2312" w:cs="仿宋_GB2312"/>
          <w:color w:val="auto"/>
          <w:sz w:val="30"/>
          <w:szCs w:val="30"/>
          <w:highlight w:val="none"/>
          <w:lang w:val="en-US" w:eastAsia="zh-CN"/>
        </w:rPr>
        <w:t>并备注</w:t>
      </w:r>
      <w:r>
        <w:rPr>
          <w:rFonts w:hint="eastAsia" w:ascii="仿宋_GB2312" w:hAnsi="仿宋_GB2312" w:eastAsia="仿宋_GB2312" w:cs="仿宋_GB2312"/>
          <w:b/>
          <w:bCs/>
          <w:color w:val="auto"/>
          <w:sz w:val="30"/>
          <w:szCs w:val="30"/>
          <w:highlight w:val="none"/>
          <w:lang w:val="en-US" w:eastAsia="zh-CN"/>
        </w:rPr>
        <w:t>“2026-2027年度沥青采购项目</w:t>
      </w:r>
      <w:r>
        <w:rPr>
          <w:rFonts w:hint="eastAsia" w:ascii="仿宋_GB2312" w:hAnsi="仿宋_GB2312" w:eastAsia="仿宋_GB2312" w:cs="仿宋_GB2312"/>
          <w:b/>
          <w:bCs/>
          <w:color w:val="auto"/>
          <w:sz w:val="30"/>
          <w:szCs w:val="30"/>
          <w:highlight w:val="none"/>
          <w:lang w:val="en-US" w:eastAsia="zh-CN"/>
        </w:rPr>
        <w:t>（第二次）</w:t>
      </w:r>
      <w:r>
        <w:rPr>
          <w:rFonts w:hint="eastAsia" w:ascii="仿宋_GB2312" w:hAnsi="仿宋_GB2312" w:eastAsia="仿宋_GB2312" w:cs="仿宋_GB2312"/>
          <w:b/>
          <w:bCs/>
          <w:color w:val="auto"/>
          <w:sz w:val="30"/>
          <w:szCs w:val="30"/>
          <w:highlight w:val="none"/>
          <w:lang w:val="en-US" w:eastAsia="zh-CN"/>
        </w:rPr>
        <w:t>”</w:t>
      </w:r>
      <w:r>
        <w:rPr>
          <w:rFonts w:hint="eastAsia" w:ascii="仿宋_GB2312" w:hAnsi="仿宋_GB2312" w:eastAsia="仿宋_GB2312" w:cs="仿宋_GB2312"/>
          <w:color w:val="auto"/>
          <w:sz w:val="30"/>
          <w:szCs w:val="30"/>
          <w:highlight w:val="none"/>
          <w:lang w:val="en-US" w:eastAsia="zh-CN"/>
        </w:rPr>
        <w:t>询价保证金，如未按上述两种方式提交询价保证</w:t>
      </w:r>
      <w:bookmarkStart w:id="150" w:name="_GoBack"/>
      <w:bookmarkEnd w:id="150"/>
      <w:r>
        <w:rPr>
          <w:rFonts w:hint="eastAsia" w:ascii="仿宋_GB2312" w:hAnsi="仿宋_GB2312" w:eastAsia="仿宋_GB2312" w:cs="仿宋_GB2312"/>
          <w:color w:val="auto"/>
          <w:sz w:val="30"/>
          <w:szCs w:val="30"/>
          <w:highlight w:val="none"/>
          <w:lang w:val="en-US" w:eastAsia="zh-CN"/>
        </w:rPr>
        <w:t>金，询价人有权拒绝其报价文件。</w:t>
      </w:r>
    </w:p>
    <w:p w14:paraId="650C4A4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4、询价保证金必须按上述的时限、密封要求递交，否则其询价保证金无效，询价人有权拒绝其报价文件。</w:t>
      </w:r>
    </w:p>
    <w:p w14:paraId="14CED3B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5、询价保证金的退还：待询价结束且报价人未出现违约行为的情况下，未中标单位的保证金如是保函需退还的可当场退还，如是转账在询价结束后七个工作日内无息退还。中选单位的询价保证金在合同签订后一次性退还，如中选单位拒绝签订合同，询价人有权拒绝退还中选单位的询价保证金。</w:t>
      </w:r>
    </w:p>
    <w:p w14:paraId="077FADA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6、若报价人在报价文件的递交截止时间后要求撤回报价文件、拒绝二次报价或出现第二轮报价高于第一轮报价的情况，询价人有权拒绝退还报价人的询价保证金。</w:t>
      </w:r>
    </w:p>
    <w:p w14:paraId="74C51EF6">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23" w:name="_Toc22450"/>
      <w:r>
        <w:rPr>
          <w:rFonts w:hint="eastAsia" w:ascii="黑体" w:hAnsi="黑体" w:eastAsia="黑体" w:cs="黑体"/>
          <w:b/>
          <w:bCs w:val="0"/>
          <w:color w:val="auto"/>
          <w:sz w:val="30"/>
          <w:szCs w:val="30"/>
          <w:highlight w:val="none"/>
          <w:lang w:val="en-US" w:eastAsia="zh-CN"/>
        </w:rPr>
        <w:t>五、履约担保</w:t>
      </w:r>
      <w:bookmarkEnd w:id="23"/>
    </w:p>
    <w:p w14:paraId="3CD8D69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1、在询价人发出成交通知书后14天内成交人应向询价人提交履约担保并签订合同，履约保证金的金额：签约合同价的10%。</w:t>
      </w:r>
    </w:p>
    <w:p w14:paraId="3EA417A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2、履约担保的形式：履约保函（银行保函、财务公司保函、保险公司保函、第三方担保公司保函）或现金保证金。</w:t>
      </w:r>
    </w:p>
    <w:p w14:paraId="73C0B66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若采用银行保函，出具履约保证金的银行级别：成交人所在地的国有商业银行或股份制商业银行的支行及以上级别且具有相应担保能力；</w:t>
      </w:r>
    </w:p>
    <w:p w14:paraId="65A4784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若采用财务公司保函、保险公司保函或第三方担保公司保函，应经询价人认可；</w:t>
      </w:r>
    </w:p>
    <w:p w14:paraId="6B85445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若采用现金，成交人应从其基本账户以转账或电汇形式一次性转入合同签订人指定的银行账户内（退还时不计利息）。</w:t>
      </w:r>
    </w:p>
    <w:p w14:paraId="47217C5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3、在供货完成并经询价人验收合格且无遗留问题后30天内将履约担保无息退还成交人。</w:t>
      </w:r>
    </w:p>
    <w:p w14:paraId="4E8BFEA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4、履约担保采用本询价文件中履约担保的格式。</w:t>
      </w:r>
    </w:p>
    <w:p w14:paraId="5783379C">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default" w:ascii="黑体" w:hAnsi="黑体" w:eastAsia="黑体" w:cs="黑体"/>
          <w:b/>
          <w:bCs w:val="0"/>
          <w:color w:val="auto"/>
          <w:sz w:val="30"/>
          <w:szCs w:val="30"/>
          <w:highlight w:val="none"/>
          <w:lang w:val="en-US" w:eastAsia="zh-CN"/>
        </w:rPr>
      </w:pPr>
      <w:bookmarkStart w:id="24" w:name="_Toc66900288"/>
      <w:bookmarkStart w:id="25" w:name="_Toc300"/>
      <w:r>
        <w:rPr>
          <w:rFonts w:hint="eastAsia" w:ascii="黑体" w:hAnsi="黑体" w:eastAsia="黑体" w:cs="黑体"/>
          <w:b/>
          <w:bCs w:val="0"/>
          <w:color w:val="auto"/>
          <w:sz w:val="30"/>
          <w:szCs w:val="30"/>
          <w:highlight w:val="none"/>
          <w:lang w:val="en-US" w:eastAsia="zh-CN"/>
        </w:rPr>
        <w:t>六、</w:t>
      </w:r>
      <w:bookmarkEnd w:id="24"/>
      <w:r>
        <w:rPr>
          <w:rFonts w:hint="eastAsia" w:ascii="黑体" w:hAnsi="黑体" w:eastAsia="黑体" w:cs="黑体"/>
          <w:b/>
          <w:bCs w:val="0"/>
          <w:color w:val="auto"/>
          <w:sz w:val="30"/>
          <w:szCs w:val="30"/>
          <w:highlight w:val="none"/>
          <w:lang w:val="en-US" w:eastAsia="zh-CN"/>
        </w:rPr>
        <w:t>货款结算及付款方式</w:t>
      </w:r>
      <w:bookmarkEnd w:id="25"/>
    </w:p>
    <w:p w14:paraId="42B0B97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（一）实际支付按验收合格的实际采购数量进行结算。</w:t>
      </w:r>
    </w:p>
    <w:p w14:paraId="79AF339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二）货物供货完毕，乙方凭甲方或甲方授权人员签认的收货凭证，甲方按乙方实际提供的合格货物数量，以本合同约定的含税单价与乙方办理最终货款结算，经结算确认的价款是甲方支付乙方最终合同价款的唯一依据。</w:t>
      </w:r>
    </w:p>
    <w:p w14:paraId="0F301E2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三）本项目按月对账结算，结算周期为每月1日至当月最后一日，以沥青货物运抵甲方指定地点，并经甲方验收合格日期归入对应结算月份，出厂、运输时间不作为判定依据。结算基准单价取该结算当月1日至当月月末供货信息平均价。乙方应于每月5日前提交上月经甲方验收合格的供货计量资料与甲方对账，双方签署对账确认单后办理结算。</w:t>
      </w:r>
    </w:p>
    <w:p w14:paraId="1AE8119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（四）支付方式：分期支付</w:t>
      </w:r>
    </w:p>
    <w:p w14:paraId="6982EAA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00" w:firstLineChars="200"/>
        <w:jc w:val="both"/>
        <w:textAlignment w:val="auto"/>
        <w:rPr>
          <w:rFonts w:hint="default" w:ascii="仿宋_GB2312" w:hAnsi="仿宋_GB2312" w:eastAsia="仿宋_GB2312" w:cs="仿宋_GB2312"/>
          <w:color w:val="auto"/>
          <w:kern w:val="2"/>
          <w:sz w:val="30"/>
          <w:szCs w:val="30"/>
          <w:highlight w:val="none"/>
          <w:lang w:val="en-US" w:eastAsia="zh-CN" w:bidi="ar-SA"/>
        </w:rPr>
      </w:pPr>
      <w:r>
        <w:rPr>
          <w:rFonts w:hint="default" w:ascii="仿宋_GB2312" w:hAnsi="仿宋_GB2312" w:eastAsia="仿宋_GB2312" w:cs="仿宋_GB2312"/>
          <w:color w:val="auto"/>
          <w:kern w:val="2"/>
          <w:sz w:val="30"/>
          <w:szCs w:val="30"/>
          <w:highlight w:val="none"/>
          <w:lang w:val="en-US" w:eastAsia="zh-CN" w:bidi="ar-SA"/>
        </w:rPr>
        <w:t>中选人凭双方签认的验收资料办理结算。当累计供货满足以下条件之一时，方可申请付款：</w:t>
      </w:r>
    </w:p>
    <w:p w14:paraId="051DD1A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00" w:firstLineChars="200"/>
        <w:jc w:val="both"/>
        <w:textAlignment w:val="auto"/>
        <w:rPr>
          <w:rFonts w:hint="default" w:ascii="仿宋_GB2312" w:hAnsi="仿宋_GB2312" w:eastAsia="仿宋_GB2312" w:cs="仿宋_GB2312"/>
          <w:color w:val="auto"/>
          <w:kern w:val="2"/>
          <w:sz w:val="30"/>
          <w:szCs w:val="30"/>
          <w:highlight w:val="none"/>
          <w:lang w:val="en-US" w:eastAsia="zh-CN" w:bidi="ar-SA"/>
        </w:rPr>
      </w:pPr>
      <w:r>
        <w:rPr>
          <w:rFonts w:hint="default" w:ascii="仿宋_GB2312" w:hAnsi="仿宋_GB2312" w:eastAsia="仿宋_GB2312" w:cs="仿宋_GB2312"/>
          <w:color w:val="auto"/>
          <w:kern w:val="2"/>
          <w:sz w:val="30"/>
          <w:szCs w:val="30"/>
          <w:highlight w:val="none"/>
          <w:lang w:val="en-US" w:eastAsia="zh-CN" w:bidi="ar-SA"/>
        </w:rPr>
        <w:t>1.SBS改性沥青累计供货≥100吨；</w:t>
      </w:r>
    </w:p>
    <w:p w14:paraId="442F9A0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00" w:firstLineChars="200"/>
        <w:jc w:val="both"/>
        <w:textAlignment w:val="auto"/>
        <w:rPr>
          <w:rFonts w:hint="default" w:ascii="仿宋_GB2312" w:hAnsi="仿宋_GB2312" w:eastAsia="仿宋_GB2312" w:cs="仿宋_GB2312"/>
          <w:color w:val="auto"/>
          <w:kern w:val="2"/>
          <w:sz w:val="30"/>
          <w:szCs w:val="30"/>
          <w:highlight w:val="none"/>
          <w:lang w:val="en-US" w:eastAsia="zh-CN" w:bidi="ar-SA"/>
        </w:rPr>
      </w:pPr>
      <w:r>
        <w:rPr>
          <w:rFonts w:hint="default" w:ascii="仿宋_GB2312" w:hAnsi="仿宋_GB2312" w:eastAsia="仿宋_GB2312" w:cs="仿宋_GB2312"/>
          <w:color w:val="auto"/>
          <w:kern w:val="2"/>
          <w:sz w:val="30"/>
          <w:szCs w:val="30"/>
          <w:highlight w:val="none"/>
          <w:lang w:val="en-US" w:eastAsia="zh-CN" w:bidi="ar-SA"/>
        </w:rPr>
        <w:t>2.重交沥青累计供货≥50吨。</w:t>
      </w:r>
    </w:p>
    <w:p w14:paraId="7B7112F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00" w:firstLineChars="200"/>
        <w:jc w:val="both"/>
        <w:textAlignment w:val="auto"/>
        <w:rPr>
          <w:rFonts w:hint="default" w:ascii="仿宋_GB2312" w:hAnsi="仿宋_GB2312" w:eastAsia="仿宋_GB2312" w:cs="仿宋_GB2312"/>
          <w:color w:val="auto"/>
          <w:kern w:val="2"/>
          <w:sz w:val="30"/>
          <w:szCs w:val="30"/>
          <w:highlight w:val="none"/>
          <w:lang w:val="en-US" w:eastAsia="zh-CN" w:bidi="ar-SA"/>
        </w:rPr>
      </w:pPr>
      <w:r>
        <w:rPr>
          <w:rFonts w:hint="default" w:ascii="仿宋_GB2312" w:hAnsi="仿宋_GB2312" w:eastAsia="仿宋_GB2312" w:cs="仿宋_GB2312"/>
          <w:color w:val="auto"/>
          <w:kern w:val="2"/>
          <w:sz w:val="30"/>
          <w:szCs w:val="30"/>
          <w:highlight w:val="none"/>
          <w:lang w:val="en-US" w:eastAsia="zh-CN" w:bidi="ar-SA"/>
        </w:rPr>
        <w:t>中选人按询价人确认的结算金额开具13%增值税专用发票，询价人签收合规发票之日起90日内，支付该期结算金额的97%。</w:t>
      </w:r>
    </w:p>
    <w:p w14:paraId="7028EF4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00" w:firstLineChars="200"/>
        <w:jc w:val="both"/>
        <w:textAlignment w:val="auto"/>
        <w:rPr>
          <w:rFonts w:hint="default"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剩余货款在</w:t>
      </w:r>
      <w:r>
        <w:rPr>
          <w:rFonts w:hint="default" w:ascii="仿宋_GB2312" w:hAnsi="仿宋_GB2312" w:eastAsia="仿宋_GB2312" w:cs="仿宋_GB2312"/>
          <w:color w:val="auto"/>
          <w:kern w:val="2"/>
          <w:sz w:val="30"/>
          <w:szCs w:val="30"/>
          <w:highlight w:val="none"/>
          <w:lang w:val="en-US" w:eastAsia="zh-CN" w:bidi="ar-SA"/>
        </w:rPr>
        <w:t>合同期届满后30日内，在货物无质量争议、质量问题已处理完毕的前提下，询价人扣除应付未付及应扣款项（如有）后</w:t>
      </w:r>
      <w:r>
        <w:rPr>
          <w:rFonts w:hint="eastAsia" w:ascii="仿宋_GB2312" w:hAnsi="仿宋_GB2312" w:eastAsia="仿宋_GB2312" w:cs="仿宋_GB2312"/>
          <w:color w:val="auto"/>
          <w:sz w:val="30"/>
          <w:szCs w:val="30"/>
          <w:highlight w:val="none"/>
          <w:lang w:val="en-US" w:eastAsia="zh-CN"/>
        </w:rPr>
        <w:t>不计息全部付清给中选人。</w:t>
      </w:r>
    </w:p>
    <w:p w14:paraId="4FD6D814">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26" w:name="_Toc4023"/>
      <w:r>
        <w:rPr>
          <w:rFonts w:hint="eastAsia" w:ascii="黑体" w:hAnsi="黑体" w:eastAsia="黑体" w:cs="黑体"/>
          <w:b/>
          <w:bCs w:val="0"/>
          <w:color w:val="auto"/>
          <w:sz w:val="30"/>
          <w:szCs w:val="30"/>
          <w:highlight w:val="none"/>
          <w:lang w:val="en-US" w:eastAsia="zh-CN"/>
        </w:rPr>
        <w:t>七、报价人资格要求</w:t>
      </w:r>
      <w:bookmarkEnd w:id="26"/>
    </w:p>
    <w:p w14:paraId="71BB626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1、具有独立法人资格，持有有效的营业执照。</w:t>
      </w:r>
    </w:p>
    <w:p w14:paraId="39D16DD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报价人应提供报价人所属社保机构出具的拟投入的项目负责人最近一年内任意一个月的社保缴费证明或其他能够证明拟委任的项目负责人参加社保的有效证明材料复印件（社保证明材料的社保缴纳单位名称需与报价人单位名称一致）。</w:t>
      </w:r>
    </w:p>
    <w:p w14:paraId="05B3E28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3、与询价人存在利害关系可能影响询价公正性的单位，不得参加报价。单位负责人为同一人或存在控股、管理关系的不同单位，不得同时参加本项目报价，否则，相关报价文件均无效。</w:t>
      </w:r>
    </w:p>
    <w:p w14:paraId="339875A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4、被人民法院列入失信被执行人的单位不得参与竞价。（以“信用中国”官网</w:t>
      </w:r>
      <w:r>
        <w:rPr>
          <w:rFonts w:hint="eastAsia" w:ascii="仿宋_GB2312" w:hAnsi="仿宋_GB2312" w:eastAsia="仿宋_GB2312" w:cs="仿宋_GB2312"/>
          <w:color w:val="auto"/>
          <w:sz w:val="30"/>
          <w:szCs w:val="30"/>
          <w:highlight w:val="none"/>
          <w:lang w:val="en-US" w:eastAsia="zh-CN"/>
        </w:rPr>
        <w:fldChar w:fldCharType="begin"/>
      </w:r>
      <w:r>
        <w:rPr>
          <w:rFonts w:hint="eastAsia" w:ascii="仿宋_GB2312" w:hAnsi="仿宋_GB2312" w:eastAsia="仿宋_GB2312" w:cs="仿宋_GB2312"/>
          <w:color w:val="auto"/>
          <w:sz w:val="30"/>
          <w:szCs w:val="30"/>
          <w:highlight w:val="none"/>
          <w:lang w:val="en-US" w:eastAsia="zh-CN"/>
        </w:rPr>
        <w:instrText xml:space="preserve"> HYPERLINK "http://www.creditchina.gov.cn" </w:instrText>
      </w:r>
      <w:r>
        <w:rPr>
          <w:rFonts w:hint="eastAsia" w:ascii="仿宋_GB2312" w:hAnsi="仿宋_GB2312" w:eastAsia="仿宋_GB2312" w:cs="仿宋_GB2312"/>
          <w:color w:val="auto"/>
          <w:sz w:val="30"/>
          <w:szCs w:val="30"/>
          <w:highlight w:val="none"/>
          <w:lang w:val="en-US" w:eastAsia="zh-CN"/>
        </w:rPr>
        <w:fldChar w:fldCharType="separate"/>
      </w:r>
      <w:r>
        <w:rPr>
          <w:rFonts w:hint="eastAsia" w:ascii="仿宋_GB2312" w:hAnsi="仿宋_GB2312" w:eastAsia="仿宋_GB2312" w:cs="仿宋_GB2312"/>
          <w:color w:val="auto"/>
          <w:sz w:val="30"/>
          <w:szCs w:val="30"/>
          <w:highlight w:val="none"/>
          <w:lang w:val="en-US" w:eastAsia="zh-CN"/>
        </w:rPr>
        <w:t>http://www.creditchina.gov.cn</w:t>
      </w:r>
      <w:r>
        <w:rPr>
          <w:rFonts w:hint="eastAsia" w:ascii="仿宋_GB2312" w:hAnsi="仿宋_GB2312" w:eastAsia="仿宋_GB2312" w:cs="仿宋_GB2312"/>
          <w:color w:val="auto"/>
          <w:sz w:val="30"/>
          <w:szCs w:val="30"/>
          <w:highlight w:val="none"/>
          <w:lang w:val="en-US" w:eastAsia="zh-CN"/>
        </w:rPr>
        <w:fldChar w:fldCharType="end"/>
      </w:r>
      <w:r>
        <w:rPr>
          <w:rFonts w:hint="eastAsia" w:ascii="仿宋_GB2312" w:hAnsi="仿宋_GB2312" w:eastAsia="仿宋_GB2312" w:cs="仿宋_GB2312"/>
          <w:color w:val="auto"/>
          <w:sz w:val="30"/>
          <w:szCs w:val="30"/>
          <w:highlight w:val="none"/>
          <w:lang w:val="en-US" w:eastAsia="zh-CN"/>
        </w:rPr>
        <w:t>查询为准）。</w:t>
      </w:r>
    </w:p>
    <w:p w14:paraId="2B468F9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5、在国家企业信用信息公示系统（http://www.gsxt.gov.cn/）中被列入严重违法失信企业名单的投标人，不得参与竞价。</w:t>
      </w:r>
    </w:p>
    <w:p w14:paraId="211B24C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6、报价人应具备三保能力，即“保质、保量、保供”</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val="en-US" w:eastAsia="zh-CN"/>
        </w:rPr>
        <w:t>详见</w:t>
      </w:r>
      <w:r>
        <w:rPr>
          <w:rFonts w:hint="eastAsia" w:ascii="仿宋_GB2312" w:hAnsi="仿宋_GB2312" w:eastAsia="仿宋_GB2312" w:cs="仿宋_GB2312"/>
          <w:color w:val="auto"/>
          <w:sz w:val="30"/>
          <w:szCs w:val="30"/>
          <w:highlight w:val="none"/>
        </w:rPr>
        <w:t>承诺函</w:t>
      </w:r>
      <w:r>
        <w:rPr>
          <w:rFonts w:hint="eastAsia" w:ascii="仿宋_GB2312" w:hAnsi="仿宋_GB2312" w:eastAsia="仿宋_GB2312" w:cs="仿宋_GB2312"/>
          <w:color w:val="auto"/>
          <w:sz w:val="30"/>
          <w:szCs w:val="30"/>
          <w:highlight w:val="none"/>
          <w:lang w:val="en-US" w:eastAsia="zh-CN"/>
        </w:rPr>
        <w:t>格式</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val="en-US" w:eastAsia="zh-CN"/>
        </w:rPr>
        <w:t>。</w:t>
      </w:r>
    </w:p>
    <w:p w14:paraId="161170B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7、上述所有材料均须在报价文件中提供相应的证明资料，且须加盖单位公章。</w:t>
      </w:r>
    </w:p>
    <w:p w14:paraId="214B860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ascii="宋体" w:hAnsi="宋体" w:cs="宋体"/>
          <w:color w:val="auto"/>
          <w:highlight w:val="none"/>
        </w:rPr>
      </w:pPr>
      <w:r>
        <w:rPr>
          <w:rFonts w:hint="eastAsia" w:ascii="仿宋_GB2312" w:hAnsi="仿宋_GB2312" w:eastAsia="仿宋_GB2312" w:cs="仿宋_GB2312"/>
          <w:color w:val="auto"/>
          <w:sz w:val="30"/>
          <w:szCs w:val="30"/>
          <w:highlight w:val="none"/>
          <w:lang w:val="en-US" w:eastAsia="zh-CN"/>
        </w:rPr>
        <w:t>8、本次询价不接受联合体投标。</w:t>
      </w:r>
      <w:r>
        <w:rPr>
          <w:rFonts w:hint="eastAsia" w:ascii="宋体" w:hAnsi="宋体" w:cs="宋体"/>
          <w:color w:val="auto"/>
          <w:sz w:val="30"/>
          <w:szCs w:val="30"/>
          <w:highlight w:val="none"/>
        </w:rPr>
        <w:t xml:space="preserve">         </w:t>
      </w:r>
    </w:p>
    <w:p w14:paraId="5064E24D">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27" w:name="_Toc31073"/>
      <w:r>
        <w:rPr>
          <w:rFonts w:hint="eastAsia" w:ascii="黑体" w:hAnsi="黑体" w:eastAsia="黑体" w:cs="黑体"/>
          <w:b/>
          <w:bCs w:val="0"/>
          <w:color w:val="auto"/>
          <w:sz w:val="30"/>
          <w:szCs w:val="30"/>
          <w:highlight w:val="none"/>
          <w:lang w:val="en-US" w:eastAsia="zh-CN"/>
        </w:rPr>
        <w:t>八、报价文件组成</w:t>
      </w:r>
      <w:bookmarkEnd w:id="27"/>
    </w:p>
    <w:p w14:paraId="75D1EBD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1、授权委托书或法人代表证明(含授权人、被授权人身份证复印件)；</w:t>
      </w:r>
    </w:p>
    <w:p w14:paraId="1A36E3C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2、报价函；</w:t>
      </w:r>
    </w:p>
    <w:p w14:paraId="21979D6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3、发票承诺函；</w:t>
      </w:r>
    </w:p>
    <w:p w14:paraId="205B201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4、信誉承诺表；</w:t>
      </w:r>
    </w:p>
    <w:p w14:paraId="71EC169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5、三保能力承诺函；</w:t>
      </w:r>
    </w:p>
    <w:p w14:paraId="5924CC0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6、其它资料（</w:t>
      </w:r>
      <w:r>
        <w:rPr>
          <w:rFonts w:hint="eastAsia" w:ascii="宋体" w:hAnsi="宋体" w:eastAsia="宋体" w:cs="宋体"/>
          <w:i w:val="0"/>
          <w:iCs w:val="0"/>
          <w:caps w:val="0"/>
          <w:color w:val="000000"/>
          <w:spacing w:val="0"/>
          <w:sz w:val="24"/>
          <w:szCs w:val="24"/>
          <w:highlight w:val="none"/>
          <w:shd w:val="clear" w:fill="FFFFFF"/>
        </w:rPr>
        <w:t>营业执照、询价保证</w:t>
      </w:r>
      <w:r>
        <w:rPr>
          <w:rFonts w:hint="eastAsia" w:ascii="宋体" w:hAnsi="宋体" w:eastAsia="宋体" w:cs="宋体"/>
          <w:i w:val="0"/>
          <w:iCs w:val="0"/>
          <w:caps w:val="0"/>
          <w:color w:val="000000"/>
          <w:spacing w:val="0"/>
          <w:sz w:val="24"/>
          <w:szCs w:val="24"/>
          <w:highlight w:val="none"/>
          <w:shd w:val="clear" w:fill="FFFFFF"/>
          <w:lang w:val="en-US" w:eastAsia="zh-CN"/>
        </w:rPr>
        <w:t>金转账记录</w:t>
      </w:r>
      <w:r>
        <w:rPr>
          <w:rFonts w:hint="eastAsia" w:ascii="宋体" w:hAnsi="宋体" w:eastAsia="宋体" w:cs="宋体"/>
          <w:i w:val="0"/>
          <w:iCs w:val="0"/>
          <w:caps w:val="0"/>
          <w:color w:val="000000"/>
          <w:spacing w:val="0"/>
          <w:sz w:val="24"/>
          <w:szCs w:val="24"/>
          <w:highlight w:val="none"/>
          <w:shd w:val="clear" w:fill="FFFFFF"/>
        </w:rPr>
        <w:t>（如有）</w:t>
      </w:r>
      <w:r>
        <w:rPr>
          <w:rFonts w:hint="eastAsia" w:ascii="宋体" w:hAnsi="宋体" w:cs="宋体"/>
          <w:i w:val="0"/>
          <w:iCs w:val="0"/>
          <w:caps w:val="0"/>
          <w:color w:val="000000"/>
          <w:spacing w:val="0"/>
          <w:sz w:val="24"/>
          <w:szCs w:val="24"/>
          <w:highlight w:val="none"/>
          <w:shd w:val="clear" w:fill="FFFFFF"/>
          <w:lang w:val="en-US" w:eastAsia="zh-CN"/>
        </w:rPr>
        <w:t>及其他</w:t>
      </w:r>
      <w:r>
        <w:rPr>
          <w:rFonts w:hint="eastAsia" w:ascii="宋体" w:hAnsi="宋体" w:eastAsia="宋体" w:cs="宋体"/>
          <w:i w:val="0"/>
          <w:iCs w:val="0"/>
          <w:caps w:val="0"/>
          <w:color w:val="000000"/>
          <w:spacing w:val="0"/>
          <w:sz w:val="24"/>
          <w:szCs w:val="24"/>
          <w:highlight w:val="none"/>
          <w:shd w:val="clear" w:fill="FFFFFF"/>
        </w:rPr>
        <w:t>资料等</w:t>
      </w:r>
      <w:r>
        <w:rPr>
          <w:rFonts w:hint="eastAsia" w:ascii="仿宋_GB2312" w:hAnsi="仿宋_GB2312" w:eastAsia="仿宋_GB2312" w:cs="仿宋_GB2312"/>
          <w:color w:val="auto"/>
          <w:sz w:val="30"/>
          <w:szCs w:val="30"/>
          <w:highlight w:val="none"/>
          <w:lang w:val="en-US" w:eastAsia="zh-CN"/>
        </w:rPr>
        <w:t>）。</w:t>
      </w:r>
    </w:p>
    <w:p w14:paraId="0F3A84CA">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以上资料均应逐页签字和加盖单位公章并装订成册，不得活页。报价文件一式两份（其中正本一份，副本一份），并标明正副本（正本与副本内容不一致的，以正本为准）。</w:t>
      </w:r>
    </w:p>
    <w:p w14:paraId="55EF9967">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28" w:name="_Toc6648"/>
      <w:bookmarkStart w:id="29" w:name="_Toc12368"/>
      <w:r>
        <w:rPr>
          <w:rFonts w:hint="eastAsia" w:ascii="黑体" w:hAnsi="黑体" w:eastAsia="黑体" w:cs="黑体"/>
          <w:b/>
          <w:bCs w:val="0"/>
          <w:color w:val="auto"/>
          <w:sz w:val="30"/>
          <w:szCs w:val="30"/>
          <w:highlight w:val="none"/>
          <w:lang w:val="en-US" w:eastAsia="zh-CN"/>
        </w:rPr>
        <w:t>九、公告媒介、询价文件获取时间及方式</w:t>
      </w:r>
      <w:bookmarkEnd w:id="28"/>
      <w:bookmarkEnd w:id="29"/>
    </w:p>
    <w:p w14:paraId="37BDA8C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bookmarkStart w:id="30" w:name="_Toc2665"/>
      <w:bookmarkStart w:id="31" w:name="_Toc23141"/>
      <w:r>
        <w:rPr>
          <w:rFonts w:hint="eastAsia" w:ascii="仿宋_GB2312" w:hAnsi="仿宋_GB2312" w:eastAsia="仿宋_GB2312" w:cs="仿宋_GB2312"/>
          <w:color w:val="auto"/>
          <w:sz w:val="30"/>
          <w:szCs w:val="30"/>
          <w:highlight w:val="none"/>
          <w:lang w:val="en-US" w:eastAsia="zh-CN"/>
        </w:rPr>
        <w:t>有意向的报价人请于报价文件的递交截止时间前，自行在赣州交通控股集团有限公司官方网站（http://www.gzjtkgjt.com/）和江西省招标投标网（http://www.jxtb.org.cn/）查阅询价公告，在赣州交通控股集团有限公司官方网站（http://www.gzjtkgjt.com/）下载询价文件，本项目询价如有补遗，将于报价文件递交截止时间前2天在赣州交通控股集团有限公司官方网站（http://www.gzjtkgjt.com/）发布，报价人应随时关注该网站，及时下载，询价人不再另行通知。</w:t>
      </w:r>
    </w:p>
    <w:bookmarkEnd w:id="30"/>
    <w:bookmarkEnd w:id="31"/>
    <w:p w14:paraId="64FE04B2">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32" w:name="_Toc12957"/>
      <w:bookmarkStart w:id="33" w:name="_Toc1823"/>
      <w:r>
        <w:rPr>
          <w:rFonts w:hint="eastAsia" w:ascii="黑体" w:hAnsi="黑体" w:eastAsia="黑体" w:cs="黑体"/>
          <w:b/>
          <w:bCs w:val="0"/>
          <w:color w:val="auto"/>
          <w:sz w:val="30"/>
          <w:szCs w:val="30"/>
          <w:highlight w:val="none"/>
          <w:lang w:val="en-US" w:eastAsia="zh-CN"/>
        </w:rPr>
        <w:t>十、报价文件的密封和标识</w:t>
      </w:r>
      <w:bookmarkEnd w:id="32"/>
      <w:bookmarkEnd w:id="33"/>
    </w:p>
    <w:p w14:paraId="519EEA9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报价文件应密封包装。封套的封口处加盖报价人单位章或由报价人的法定代表人或其委托代理人签字。</w:t>
      </w:r>
      <w:r>
        <w:rPr>
          <w:rFonts w:hint="eastAsia" w:ascii="仿宋_GB2312" w:hAnsi="仿宋_GB2312" w:eastAsia="仿宋_GB2312" w:cs="仿宋_GB2312"/>
          <w:color w:val="auto"/>
          <w:sz w:val="30"/>
          <w:szCs w:val="30"/>
          <w:highlight w:val="none"/>
        </w:rPr>
        <w:t>未按要求密封的报价文件，询价人将予以拒收。</w:t>
      </w:r>
    </w:p>
    <w:p w14:paraId="216896AA">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34" w:name="_Toc25035"/>
      <w:bookmarkStart w:id="35" w:name="_Toc23506"/>
      <w:r>
        <w:rPr>
          <w:rFonts w:hint="eastAsia" w:ascii="黑体" w:hAnsi="黑体" w:eastAsia="黑体" w:cs="黑体"/>
          <w:b/>
          <w:bCs w:val="0"/>
          <w:color w:val="auto"/>
          <w:sz w:val="30"/>
          <w:szCs w:val="30"/>
          <w:highlight w:val="none"/>
          <w:lang w:val="en-US" w:eastAsia="zh-CN"/>
        </w:rPr>
        <w:t>十一、报价文件的递交及相关事宜</w:t>
      </w:r>
      <w:bookmarkEnd w:id="34"/>
      <w:bookmarkEnd w:id="35"/>
    </w:p>
    <w:p w14:paraId="4227902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报价文件的递交截止时间：2026年</w:t>
      </w:r>
      <w:r>
        <w:rPr>
          <w:rFonts w:hint="eastAsia" w:ascii="仿宋_GB2312" w:hAnsi="仿宋_GB2312" w:eastAsia="仿宋_GB2312" w:cs="仿宋_GB2312"/>
          <w:color w:val="auto"/>
          <w:sz w:val="30"/>
          <w:szCs w:val="30"/>
          <w:highlight w:val="none"/>
          <w:lang w:val="en-US" w:eastAsia="zh-CN"/>
        </w:rPr>
        <w:t>10月10日9:00</w:t>
      </w:r>
      <w:r>
        <w:rPr>
          <w:rFonts w:hint="eastAsia" w:ascii="仿宋_GB2312" w:hAnsi="仿宋_GB2312" w:eastAsia="仿宋_GB2312" w:cs="仿宋_GB2312"/>
          <w:color w:val="auto"/>
          <w:sz w:val="30"/>
          <w:szCs w:val="30"/>
          <w:highlight w:val="none"/>
          <w:lang w:val="en-US" w:eastAsia="zh-CN"/>
        </w:rPr>
        <w:t>分。</w:t>
      </w:r>
    </w:p>
    <w:p w14:paraId="75B7B38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递交地址：赣州市章贡区沙河镇赣州东收费站出口旁赣州交通控股集团有限公司2楼开标室。询价人将拒绝接受在递交截止时间后送达的报价文件。</w:t>
      </w:r>
    </w:p>
    <w:p w14:paraId="38D0E1D8">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color w:val="auto"/>
          <w:sz w:val="30"/>
          <w:szCs w:val="30"/>
          <w:highlight w:val="none"/>
          <w:lang w:val="en-US" w:eastAsia="zh-CN"/>
        </w:rPr>
      </w:pPr>
      <w:bookmarkStart w:id="36" w:name="_Toc6569"/>
      <w:bookmarkStart w:id="37" w:name="_Toc5683"/>
      <w:r>
        <w:rPr>
          <w:rFonts w:hint="eastAsia" w:ascii="仿宋_GB2312" w:hAnsi="仿宋_GB2312" w:eastAsia="仿宋_GB2312" w:cs="仿宋_GB2312"/>
          <w:b/>
          <w:bCs/>
          <w:color w:val="auto"/>
          <w:sz w:val="30"/>
          <w:szCs w:val="30"/>
          <w:highlight w:val="none"/>
          <w:lang w:val="en-US" w:eastAsia="zh-CN"/>
        </w:rPr>
        <w:t>请各报价人委派授权代理人携带身份证原件（或电子身份证）及授权书原件</w:t>
      </w:r>
      <w:r>
        <w:rPr>
          <w:rFonts w:hint="eastAsia" w:ascii="仿宋_GB2312" w:hAnsi="仿宋_GB2312" w:eastAsia="仿宋_GB2312" w:cs="仿宋_GB2312"/>
          <w:b/>
          <w:bCs/>
          <w:color w:val="auto"/>
          <w:sz w:val="30"/>
          <w:szCs w:val="30"/>
          <w:highlight w:val="none"/>
        </w:rPr>
        <w:t>（若是单位负责人或法定代表人参加询价只需携带身份证原件</w:t>
      </w:r>
      <w:r>
        <w:rPr>
          <w:rFonts w:hint="eastAsia" w:ascii="仿宋_GB2312" w:hAnsi="仿宋_GB2312" w:eastAsia="仿宋_GB2312" w:cs="仿宋_GB2312"/>
          <w:b/>
          <w:bCs/>
          <w:color w:val="auto"/>
          <w:sz w:val="30"/>
          <w:szCs w:val="30"/>
          <w:highlight w:val="none"/>
          <w:lang w:val="en-US" w:eastAsia="zh-CN"/>
        </w:rPr>
        <w:t>（或电子身份证）</w:t>
      </w:r>
      <w:r>
        <w:rPr>
          <w:rFonts w:hint="eastAsia" w:ascii="仿宋_GB2312" w:hAnsi="仿宋_GB2312" w:eastAsia="仿宋_GB2312" w:cs="仿宋_GB2312"/>
          <w:b/>
          <w:bCs/>
          <w:color w:val="auto"/>
          <w:sz w:val="30"/>
          <w:szCs w:val="30"/>
          <w:highlight w:val="none"/>
        </w:rPr>
        <w:t>及相关证明资料复印件并加盖单位公章），</w:t>
      </w:r>
      <w:r>
        <w:rPr>
          <w:rFonts w:hint="eastAsia" w:ascii="仿宋_GB2312" w:hAnsi="仿宋_GB2312" w:eastAsia="仿宋_GB2312" w:cs="仿宋_GB2312"/>
          <w:b/>
          <w:bCs/>
          <w:color w:val="auto"/>
          <w:sz w:val="30"/>
          <w:szCs w:val="30"/>
          <w:highlight w:val="none"/>
          <w:lang w:val="en-US" w:eastAsia="zh-CN"/>
        </w:rPr>
        <w:t>递交报价文件及参加本次询价活动，询价人将对各报价人委派的授权代理人进行现场身份核查，如报价人递交报价文件时未能提供上述资料，询价人将对其报价文件予以拒收。</w:t>
      </w:r>
      <w:bookmarkEnd w:id="36"/>
      <w:bookmarkEnd w:id="37"/>
    </w:p>
    <w:p w14:paraId="0F7E5CB8">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38" w:name="_Toc1846"/>
      <w:bookmarkStart w:id="39" w:name="_Toc11891"/>
      <w:r>
        <w:rPr>
          <w:rFonts w:hint="eastAsia" w:ascii="黑体" w:hAnsi="黑体" w:eastAsia="黑体" w:cs="黑体"/>
          <w:b/>
          <w:bCs w:val="0"/>
          <w:color w:val="auto"/>
          <w:sz w:val="30"/>
          <w:szCs w:val="30"/>
          <w:highlight w:val="none"/>
          <w:lang w:val="en-US" w:eastAsia="zh-CN"/>
        </w:rPr>
        <w:t>十二、报价文件的开启程序</w:t>
      </w:r>
      <w:bookmarkEnd w:id="38"/>
      <w:bookmarkEnd w:id="39"/>
    </w:p>
    <w:p w14:paraId="593D613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1、公布在截止时间前递交报价文件的报价人数量，当递交报价文件的单位少于3家（不含）时，需重新组织询价；</w:t>
      </w:r>
    </w:p>
    <w:p w14:paraId="5F93595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2、报价人代表现场检查报价文件密封情况，未按要求密封的报价文件，询价人将予以拒收；</w:t>
      </w:r>
    </w:p>
    <w:p w14:paraId="55D3163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3、开启报价文件,公布报价人名称、报价等，结束后报价人及询价小组签字确认。</w:t>
      </w:r>
    </w:p>
    <w:p w14:paraId="74314B8A">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40" w:name="_Toc5332"/>
      <w:bookmarkStart w:id="41" w:name="_Toc16005"/>
      <w:bookmarkStart w:id="42" w:name="_Toc8386"/>
      <w:r>
        <w:rPr>
          <w:rFonts w:hint="eastAsia" w:ascii="黑体" w:hAnsi="黑体" w:eastAsia="黑体" w:cs="黑体"/>
          <w:b/>
          <w:bCs w:val="0"/>
          <w:color w:val="auto"/>
          <w:sz w:val="30"/>
          <w:szCs w:val="30"/>
          <w:highlight w:val="none"/>
          <w:lang w:val="en-US" w:eastAsia="zh-CN"/>
        </w:rPr>
        <w:t>十三、结果公示</w:t>
      </w:r>
      <w:bookmarkEnd w:id="40"/>
      <w:bookmarkEnd w:id="41"/>
      <w:bookmarkEnd w:id="42"/>
    </w:p>
    <w:p w14:paraId="01A48B4D">
      <w:pPr>
        <w:keepNext w:val="0"/>
        <w:keepLines w:val="0"/>
        <w:pageBreakBefore w:val="0"/>
        <w:widowControl w:val="0"/>
        <w:kinsoku/>
        <w:wordWrap/>
        <w:overflowPunct/>
        <w:topLinePunct w:val="0"/>
        <w:autoSpaceDE/>
        <w:autoSpaceDN/>
        <w:bidi w:val="0"/>
        <w:adjustRightInd/>
        <w:snapToGrid/>
        <w:spacing w:line="600" w:lineRule="exact"/>
        <w:ind w:firstLine="576" w:firstLineChars="200"/>
        <w:textAlignment w:val="auto"/>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询价结束后3日内，在江西省招标投标网（http://www.jxtb.org.cn）、赣州交通控股集团有限公司网站（http://www.gzjtkgjt.com）上对候选人进行公示，公示期3天。</w:t>
      </w:r>
    </w:p>
    <w:p w14:paraId="46F95A84">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43" w:name="_Toc5526"/>
      <w:bookmarkStart w:id="44" w:name="_Toc8344"/>
      <w:r>
        <w:rPr>
          <w:rFonts w:hint="eastAsia" w:ascii="黑体" w:hAnsi="黑体" w:eastAsia="黑体" w:cs="黑体"/>
          <w:b/>
          <w:bCs w:val="0"/>
          <w:color w:val="auto"/>
          <w:sz w:val="30"/>
          <w:szCs w:val="30"/>
          <w:highlight w:val="none"/>
          <w:lang w:val="en-US" w:eastAsia="zh-CN"/>
        </w:rPr>
        <w:t>十四、地址及联系方式</w:t>
      </w:r>
      <w:bookmarkEnd w:id="43"/>
      <w:bookmarkEnd w:id="44"/>
    </w:p>
    <w:p w14:paraId="3296CDD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bookmarkStart w:id="45" w:name="_Toc16628"/>
      <w:bookmarkStart w:id="46" w:name="_Toc19651"/>
      <w:r>
        <w:rPr>
          <w:rFonts w:hint="eastAsia" w:ascii="仿宋_GB2312" w:hAnsi="仿宋_GB2312" w:eastAsia="仿宋_GB2312" w:cs="仿宋_GB2312"/>
          <w:color w:val="auto"/>
          <w:sz w:val="30"/>
          <w:szCs w:val="30"/>
          <w:highlight w:val="none"/>
          <w:lang w:val="en-US" w:eastAsia="zh-CN"/>
        </w:rPr>
        <w:t>询价人名称：赣州市交通投资集团有限责任公司</w:t>
      </w:r>
      <w:bookmarkEnd w:id="45"/>
      <w:bookmarkEnd w:id="46"/>
    </w:p>
    <w:p w14:paraId="251881E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pacing w:val="-20"/>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询价人地址：</w:t>
      </w:r>
      <w:r>
        <w:rPr>
          <w:rFonts w:hint="eastAsia" w:ascii="仿宋_GB2312" w:hAnsi="仿宋_GB2312" w:eastAsia="仿宋_GB2312" w:cs="仿宋_GB2312"/>
          <w:color w:val="auto"/>
          <w:spacing w:val="-20"/>
          <w:sz w:val="30"/>
          <w:szCs w:val="30"/>
          <w:highlight w:val="none"/>
          <w:lang w:val="en-US" w:eastAsia="zh-CN"/>
        </w:rPr>
        <w:t>赣州市章贡区区章江南大道18号豪德银座A座18楼</w:t>
      </w:r>
    </w:p>
    <w:p w14:paraId="48340BF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联系人：陈先生</w:t>
      </w:r>
    </w:p>
    <w:p w14:paraId="6EFD7A0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电  话：15970920906</w:t>
      </w:r>
    </w:p>
    <w:p w14:paraId="7F11569D">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outlineLvl w:val="1"/>
        <w:rPr>
          <w:rFonts w:hint="eastAsia" w:ascii="黑体" w:hAnsi="黑体" w:eastAsia="黑体" w:cs="黑体"/>
          <w:b/>
          <w:bCs w:val="0"/>
          <w:color w:val="auto"/>
          <w:sz w:val="30"/>
          <w:szCs w:val="30"/>
          <w:highlight w:val="none"/>
          <w:lang w:val="en-US" w:eastAsia="zh-CN"/>
        </w:rPr>
      </w:pPr>
      <w:bookmarkStart w:id="47" w:name="_Toc19348"/>
      <w:bookmarkStart w:id="48" w:name="_Toc9807"/>
      <w:bookmarkStart w:id="49" w:name="_Toc20248"/>
      <w:bookmarkStart w:id="50" w:name="_Toc20921"/>
      <w:r>
        <w:rPr>
          <w:rFonts w:hint="eastAsia" w:ascii="黑体" w:hAnsi="黑体" w:eastAsia="黑体" w:cs="黑体"/>
          <w:b/>
          <w:bCs w:val="0"/>
          <w:color w:val="auto"/>
          <w:sz w:val="30"/>
          <w:szCs w:val="30"/>
          <w:highlight w:val="none"/>
          <w:lang w:val="en-US" w:eastAsia="zh-CN"/>
        </w:rPr>
        <w:t>十五、监督部门及联系方式</w:t>
      </w:r>
      <w:bookmarkEnd w:id="47"/>
      <w:bookmarkEnd w:id="48"/>
      <w:bookmarkEnd w:id="49"/>
      <w:bookmarkEnd w:id="50"/>
    </w:p>
    <w:p w14:paraId="7815F71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监督部门：赣州市交通投资集团有限责任公司综合事务部（风控法务部）</w:t>
      </w:r>
    </w:p>
    <w:p w14:paraId="5EC56DD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pacing w:val="-17"/>
          <w:sz w:val="30"/>
          <w:szCs w:val="30"/>
          <w:highlight w:val="none"/>
          <w:lang w:val="en-US" w:eastAsia="zh-CN"/>
        </w:rPr>
      </w:pPr>
      <w:bookmarkStart w:id="51" w:name="_Toc13310"/>
      <w:bookmarkStart w:id="52" w:name="_Toc30864"/>
      <w:r>
        <w:rPr>
          <w:rFonts w:hint="eastAsia" w:ascii="仿宋_GB2312" w:hAnsi="仿宋_GB2312" w:eastAsia="仿宋_GB2312" w:cs="仿宋_GB2312"/>
          <w:color w:val="auto"/>
          <w:sz w:val="30"/>
          <w:szCs w:val="30"/>
          <w:highlight w:val="none"/>
          <w:lang w:val="en-US" w:eastAsia="zh-CN"/>
        </w:rPr>
        <w:t>地    址：</w:t>
      </w:r>
      <w:r>
        <w:rPr>
          <w:rFonts w:hint="eastAsia" w:ascii="仿宋_GB2312" w:hAnsi="仿宋_GB2312" w:eastAsia="仿宋_GB2312" w:cs="仿宋_GB2312"/>
          <w:color w:val="auto"/>
          <w:spacing w:val="-17"/>
          <w:sz w:val="30"/>
          <w:szCs w:val="30"/>
          <w:highlight w:val="none"/>
          <w:lang w:val="en-US" w:eastAsia="zh-CN"/>
        </w:rPr>
        <w:t>赣州市章贡区章江南大道18号豪德银座A座18楼</w:t>
      </w:r>
      <w:bookmarkEnd w:id="51"/>
      <w:bookmarkEnd w:id="52"/>
    </w:p>
    <w:p w14:paraId="527743C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 xml:space="preserve">电    话：0797-8198191        </w:t>
      </w:r>
    </w:p>
    <w:p w14:paraId="3D05FBC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邮政编码：341000</w:t>
      </w:r>
    </w:p>
    <w:p w14:paraId="6E86B0D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p>
    <w:p w14:paraId="13EF695D">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赣州市交通投资集团有限责任公司</w:t>
      </w:r>
      <w:bookmarkStart w:id="53" w:name="_Toc6692"/>
      <w:bookmarkStart w:id="54" w:name="_Toc23253"/>
    </w:p>
    <w:p w14:paraId="5475D436">
      <w:pPr>
        <w:keepNext w:val="0"/>
        <w:keepLines w:val="0"/>
        <w:pageBreakBefore w:val="0"/>
        <w:widowControl w:val="0"/>
        <w:kinsoku/>
        <w:wordWrap/>
        <w:overflowPunct/>
        <w:topLinePunct w:val="0"/>
        <w:autoSpaceDE/>
        <w:autoSpaceDN/>
        <w:bidi w:val="0"/>
        <w:adjustRightInd/>
        <w:snapToGrid/>
        <w:spacing w:line="600" w:lineRule="exact"/>
        <w:ind w:firstLine="4800" w:firstLineChars="16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2026年</w:t>
      </w:r>
      <w:r>
        <w:rPr>
          <w:rFonts w:hint="eastAsia" w:ascii="仿宋_GB2312" w:hAnsi="仿宋_GB2312" w:eastAsia="仿宋_GB2312" w:cs="仿宋_GB2312"/>
          <w:color w:val="auto"/>
          <w:sz w:val="30"/>
          <w:szCs w:val="30"/>
          <w:highlight w:val="none"/>
          <w:lang w:val="en-US" w:eastAsia="zh-CN"/>
        </w:rPr>
        <w:t>9月29日</w:t>
      </w:r>
      <w:bookmarkEnd w:id="53"/>
      <w:bookmarkEnd w:id="54"/>
    </w:p>
    <w:bookmarkEnd w:id="14"/>
    <w:bookmarkEnd w:id="15"/>
    <w:bookmarkEnd w:id="19"/>
    <w:bookmarkEnd w:id="20"/>
    <w:p w14:paraId="4FF9528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bookmarkStart w:id="55" w:name="_Toc17664"/>
      <w:bookmarkStart w:id="56" w:name="_Toc527708263"/>
      <w:r>
        <w:rPr>
          <w:rFonts w:hint="eastAsia" w:ascii="黑体" w:hAnsi="黑体" w:eastAsia="黑体" w:cs="黑体"/>
          <w:b/>
          <w:bCs w:val="0"/>
          <w:color w:val="auto"/>
          <w:sz w:val="44"/>
          <w:szCs w:val="44"/>
          <w:highlight w:val="none"/>
          <w:lang w:val="en-US" w:eastAsia="zh-CN"/>
        </w:rPr>
        <w:t>第二章  评审办法</w:t>
      </w:r>
      <w:bookmarkEnd w:id="55"/>
    </w:p>
    <w:p w14:paraId="677C9635">
      <w:pPr>
        <w:spacing w:line="420" w:lineRule="exact"/>
        <w:ind w:firstLine="482" w:firstLineChars="200"/>
        <w:outlineLvl w:val="1"/>
        <w:rPr>
          <w:rFonts w:hint="eastAsia" w:ascii="仿宋_GB2312" w:hAnsi="仿宋_GB2312" w:eastAsia="仿宋_GB2312" w:cs="仿宋_GB2312"/>
          <w:b/>
          <w:color w:val="auto"/>
          <w:sz w:val="24"/>
          <w:szCs w:val="24"/>
          <w:highlight w:val="none"/>
        </w:rPr>
      </w:pPr>
      <w:bookmarkStart w:id="57" w:name="_Toc28941"/>
      <w:bookmarkStart w:id="58" w:name="_Toc14447"/>
      <w:bookmarkStart w:id="59" w:name="_Toc22888"/>
    </w:p>
    <w:p w14:paraId="1F273809">
      <w:pPr>
        <w:keepNext w:val="0"/>
        <w:keepLines w:val="0"/>
        <w:pageBreakBefore w:val="0"/>
        <w:widowControl w:val="0"/>
        <w:kinsoku/>
        <w:wordWrap/>
        <w:overflowPunct/>
        <w:topLinePunct w:val="0"/>
        <w:autoSpaceDE/>
        <w:autoSpaceDN/>
        <w:bidi w:val="0"/>
        <w:adjustRightInd/>
        <w:snapToGrid/>
        <w:spacing w:line="240" w:lineRule="auto"/>
        <w:ind w:firstLine="602" w:firstLineChars="200"/>
        <w:textAlignment w:val="auto"/>
        <w:outlineLvl w:val="1"/>
        <w:rPr>
          <w:rFonts w:hint="eastAsia" w:ascii="黑体" w:hAnsi="黑体" w:eastAsia="黑体" w:cs="黑体"/>
          <w:b/>
          <w:bCs w:val="0"/>
          <w:color w:val="auto"/>
          <w:sz w:val="30"/>
          <w:szCs w:val="30"/>
          <w:highlight w:val="none"/>
          <w:lang w:eastAsia="zh-CN"/>
        </w:rPr>
      </w:pPr>
      <w:bookmarkStart w:id="60" w:name="_Toc31225"/>
      <w:r>
        <w:rPr>
          <w:rFonts w:hint="eastAsia" w:ascii="黑体" w:hAnsi="黑体" w:eastAsia="黑体" w:cs="黑体"/>
          <w:b/>
          <w:bCs w:val="0"/>
          <w:color w:val="auto"/>
          <w:sz w:val="30"/>
          <w:szCs w:val="30"/>
          <w:highlight w:val="none"/>
          <w:lang w:eastAsia="zh-CN"/>
        </w:rPr>
        <w:t>一、评审方法</w:t>
      </w:r>
      <w:bookmarkEnd w:id="57"/>
      <w:bookmarkEnd w:id="58"/>
      <w:bookmarkEnd w:id="59"/>
      <w:bookmarkEnd w:id="60"/>
    </w:p>
    <w:p w14:paraId="63BB825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本次询价采用经评审的二次报价最低价法。</w:t>
      </w:r>
    </w:p>
    <w:p w14:paraId="7CB13AD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询价人根据询价项目的需求组成询价小组（由询价人相关部门代表组成，成员不少于3人），对报价文件进行评审。</w:t>
      </w:r>
    </w:p>
    <w:p w14:paraId="02050D1E">
      <w:pPr>
        <w:keepNext w:val="0"/>
        <w:keepLines w:val="0"/>
        <w:pageBreakBefore w:val="0"/>
        <w:widowControl w:val="0"/>
        <w:kinsoku/>
        <w:wordWrap/>
        <w:overflowPunct/>
        <w:topLinePunct w:val="0"/>
        <w:autoSpaceDE/>
        <w:autoSpaceDN/>
        <w:bidi w:val="0"/>
        <w:adjustRightInd/>
        <w:snapToGrid/>
        <w:spacing w:line="240" w:lineRule="auto"/>
        <w:ind w:firstLine="602" w:firstLineChars="200"/>
        <w:textAlignment w:val="auto"/>
        <w:outlineLvl w:val="1"/>
        <w:rPr>
          <w:rFonts w:hint="eastAsia" w:ascii="黑体" w:hAnsi="黑体" w:eastAsia="黑体" w:cs="黑体"/>
          <w:b/>
          <w:bCs w:val="0"/>
          <w:color w:val="auto"/>
          <w:sz w:val="30"/>
          <w:szCs w:val="30"/>
          <w:highlight w:val="none"/>
          <w:lang w:eastAsia="zh-CN"/>
        </w:rPr>
      </w:pPr>
      <w:bookmarkStart w:id="61" w:name="_Toc23811"/>
      <w:bookmarkStart w:id="62" w:name="_Toc18774"/>
      <w:bookmarkStart w:id="63" w:name="_Toc13481"/>
      <w:bookmarkStart w:id="64" w:name="_Toc715"/>
      <w:r>
        <w:rPr>
          <w:rFonts w:hint="eastAsia" w:ascii="黑体" w:hAnsi="黑体" w:eastAsia="黑体" w:cs="黑体"/>
          <w:b/>
          <w:bCs w:val="0"/>
          <w:color w:val="auto"/>
          <w:sz w:val="30"/>
          <w:szCs w:val="30"/>
          <w:highlight w:val="none"/>
          <w:lang w:eastAsia="zh-CN"/>
        </w:rPr>
        <w:t>二、形式、响应及资格评审标准</w:t>
      </w:r>
      <w:bookmarkEnd w:id="61"/>
      <w:bookmarkEnd w:id="62"/>
      <w:bookmarkEnd w:id="63"/>
      <w:bookmarkEnd w:id="64"/>
    </w:p>
    <w:p w14:paraId="29AC7D0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bookmarkStart w:id="65" w:name="_Toc23854"/>
      <w:bookmarkStart w:id="66" w:name="_Toc31197"/>
      <w:bookmarkStart w:id="67" w:name="_Toc3210"/>
      <w:bookmarkStart w:id="68" w:name="_Toc19590"/>
      <w:r>
        <w:rPr>
          <w:rFonts w:hint="eastAsia" w:ascii="仿宋_GB2312" w:hAnsi="仿宋_GB2312" w:eastAsia="仿宋_GB2312" w:cs="仿宋_GB2312"/>
          <w:color w:val="auto"/>
          <w:sz w:val="28"/>
          <w:szCs w:val="28"/>
          <w:highlight w:val="none"/>
          <w:lang w:val="en-US" w:eastAsia="zh-CN"/>
        </w:rPr>
        <w:t>1、报价文件按询价采购文件规定的格式、内容填写，字迹清晰可辨；</w:t>
      </w:r>
    </w:p>
    <w:p w14:paraId="19896D4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2、报价文件上法定代表人、单位负责人或其委托代理人的签字、单位章盖章齐全，符合询价采购文件规定；</w:t>
      </w:r>
    </w:p>
    <w:p w14:paraId="0BF442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3、报价文件对询价采购文件的实质性要求和条件作出响应；</w:t>
      </w:r>
    </w:p>
    <w:p w14:paraId="70B9DBB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4、权利义务符合询价采购文件规定；</w:t>
      </w:r>
    </w:p>
    <w:p w14:paraId="4246277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5、具备有效的营业执照，业绩等资质条件符合询价文件规定；</w:t>
      </w:r>
    </w:p>
    <w:p w14:paraId="7DBB789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发票</w:t>
      </w:r>
      <w:r>
        <w:rPr>
          <w:rFonts w:hint="eastAsia" w:ascii="仿宋_GB2312" w:hAnsi="仿宋_GB2312" w:eastAsia="仿宋_GB2312" w:cs="仿宋_GB2312"/>
          <w:color w:val="auto"/>
          <w:sz w:val="28"/>
          <w:szCs w:val="28"/>
          <w:highlight w:val="none"/>
          <w:lang w:val="en-US" w:eastAsia="zh-CN"/>
        </w:rPr>
        <w:t>承诺</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信誉符合询价文件规定；</w:t>
      </w:r>
    </w:p>
    <w:p w14:paraId="29038C7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7、其他资料符合询价文件规定。</w:t>
      </w:r>
    </w:p>
    <w:p w14:paraId="05725499">
      <w:pPr>
        <w:keepNext w:val="0"/>
        <w:keepLines w:val="0"/>
        <w:pageBreakBefore w:val="0"/>
        <w:widowControl w:val="0"/>
        <w:kinsoku/>
        <w:wordWrap/>
        <w:overflowPunct/>
        <w:topLinePunct w:val="0"/>
        <w:autoSpaceDE/>
        <w:autoSpaceDN/>
        <w:bidi w:val="0"/>
        <w:adjustRightInd/>
        <w:snapToGrid/>
        <w:spacing w:line="240" w:lineRule="auto"/>
        <w:ind w:firstLine="602" w:firstLineChars="200"/>
        <w:textAlignment w:val="auto"/>
        <w:outlineLvl w:val="1"/>
        <w:rPr>
          <w:rFonts w:hint="eastAsia" w:ascii="黑体" w:hAnsi="黑体" w:eastAsia="黑体" w:cs="黑体"/>
          <w:b/>
          <w:bCs w:val="0"/>
          <w:color w:val="auto"/>
          <w:sz w:val="30"/>
          <w:szCs w:val="30"/>
          <w:highlight w:val="none"/>
          <w:lang w:eastAsia="zh-CN"/>
        </w:rPr>
      </w:pPr>
      <w:bookmarkStart w:id="69" w:name="_Toc15601"/>
      <w:r>
        <w:rPr>
          <w:rFonts w:hint="eastAsia" w:ascii="黑体" w:hAnsi="黑体" w:eastAsia="黑体" w:cs="黑体"/>
          <w:b/>
          <w:bCs w:val="0"/>
          <w:color w:val="auto"/>
          <w:sz w:val="30"/>
          <w:szCs w:val="30"/>
          <w:highlight w:val="none"/>
          <w:lang w:eastAsia="zh-CN"/>
        </w:rPr>
        <w:t>三、评审程序</w:t>
      </w:r>
      <w:bookmarkEnd w:id="65"/>
      <w:bookmarkEnd w:id="66"/>
      <w:bookmarkEnd w:id="67"/>
      <w:bookmarkEnd w:id="68"/>
      <w:bookmarkEnd w:id="69"/>
    </w:p>
    <w:p w14:paraId="57B8827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本次询价采取二轮报价。</w:t>
      </w:r>
    </w:p>
    <w:p w14:paraId="341671D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一）第一轮报价：询价人现场当众开启报价文件，询价小组依据本章第二条形式、响应及资格评审标准对报价文件进行形式、响应及资格评审。有一项不符合评审标准的，将不通过评审。通过评审的报价文件，取报价最低的前5名进入第二轮报价（如未满5家，则全部进入第二轮报价）。最终通过评审的单位少于3家时，询价失败，询价活动终止；</w:t>
      </w:r>
    </w:p>
    <w:p w14:paraId="33A0C6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二）第二轮报价：在第一轮报价的基础上进行二次报价。报价单位现场填写《第二轮报价表》当众报价，第二轮报价不得高于第一轮报价，经法人代表或授权代理人签字生效，报价最低者将被确定为第一成交人。</w:t>
      </w:r>
    </w:p>
    <w:p w14:paraId="3A9BF13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如有2个及以上单位的报价一致且均为最低价时，询价人将采用逐个谈判的方式确定签约单位。逐个谈判后仍有2个及以上单位的报价一致且均为最低价时，将采用现场抽签的方式确定签约单位，抽签顺序按照提交报价文件的先后顺序确定，先提交者优先抽签。</w:t>
      </w:r>
    </w:p>
    <w:p w14:paraId="75AAF5F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（三）评审结果</w:t>
      </w:r>
    </w:p>
    <w:p w14:paraId="61CC284E">
      <w:pPr>
        <w:pStyle w:val="32"/>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color w:val="auto"/>
          <w:sz w:val="28"/>
          <w:szCs w:val="28"/>
          <w:highlight w:val="none"/>
        </w:rPr>
        <w:t>询价人按报价人的最终报价计算出的“排序报价”由低到高的顺序推荐候选人3名。</w:t>
      </w:r>
    </w:p>
    <w:p w14:paraId="0B81477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bookmarkStart w:id="70" w:name="_Toc6506"/>
      <w:bookmarkStart w:id="71" w:name="_Toc13740"/>
    </w:p>
    <w:p w14:paraId="364CAF0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627087F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1AF9E8C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3D20120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35E9CB0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03511C9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1245D58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5095B22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5B1DD5A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33DDB81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4882F51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p>
    <w:p w14:paraId="08BDBC56">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bookmarkStart w:id="72" w:name="_Toc5431"/>
    </w:p>
    <w:p w14:paraId="7BF334F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44"/>
          <w:szCs w:val="44"/>
          <w:highlight w:val="none"/>
          <w:lang w:val="en-US" w:eastAsia="zh-CN"/>
        </w:rPr>
      </w:pPr>
      <w:r>
        <w:rPr>
          <w:rFonts w:hint="eastAsia" w:ascii="黑体" w:hAnsi="黑体" w:eastAsia="黑体" w:cs="黑体"/>
          <w:b/>
          <w:bCs w:val="0"/>
          <w:color w:val="auto"/>
          <w:sz w:val="44"/>
          <w:szCs w:val="44"/>
          <w:highlight w:val="none"/>
          <w:lang w:val="en-US" w:eastAsia="zh-CN"/>
        </w:rPr>
        <w:t>第三章  报价文件格式</w:t>
      </w:r>
      <w:bookmarkEnd w:id="70"/>
      <w:bookmarkEnd w:id="71"/>
      <w:bookmarkEnd w:id="72"/>
    </w:p>
    <w:p w14:paraId="734A0F6F">
      <w:pPr>
        <w:pStyle w:val="4"/>
        <w:jc w:val="center"/>
        <w:rPr>
          <w:rFonts w:hint="eastAsia" w:ascii="仿宋_GB2312" w:hAnsi="仿宋_GB2312" w:eastAsia="仿宋_GB2312" w:cs="仿宋_GB2312"/>
          <w:color w:val="auto"/>
          <w:highlight w:val="none"/>
        </w:rPr>
      </w:pPr>
      <w:bookmarkStart w:id="73" w:name="_Toc4271"/>
      <w:bookmarkStart w:id="74" w:name="_Toc3870"/>
      <w:bookmarkStart w:id="75" w:name="_Toc11267"/>
      <w:bookmarkStart w:id="76" w:name="_Toc537"/>
      <w:bookmarkStart w:id="77" w:name="_Toc23215"/>
      <w:bookmarkStart w:id="78" w:name="_Toc3997"/>
      <w:bookmarkStart w:id="79" w:name="_Toc10920"/>
      <w:bookmarkStart w:id="80" w:name="_Toc7319"/>
      <w:bookmarkStart w:id="81" w:name="_Toc24167"/>
      <w:bookmarkStart w:id="82" w:name="_Toc29517"/>
      <w:bookmarkStart w:id="83" w:name="_Toc16453"/>
      <w:r>
        <w:rPr>
          <w:rFonts w:hint="eastAsia" w:ascii="仿宋_GB2312" w:hAnsi="仿宋_GB2312" w:eastAsia="仿宋_GB2312" w:cs="仿宋_GB2312"/>
          <w:color w:val="auto"/>
          <w:highlight w:val="none"/>
        </w:rPr>
        <w:t>（封面、授权委托书、报价函、发票承诺函、信誉承诺表、</w:t>
      </w:r>
      <w:r>
        <w:rPr>
          <w:rFonts w:hint="eastAsia" w:ascii="仿宋_GB2312" w:hAnsi="仿宋_GB2312" w:eastAsia="仿宋_GB2312" w:cs="仿宋_GB2312"/>
          <w:color w:val="auto"/>
          <w:sz w:val="30"/>
          <w:szCs w:val="30"/>
          <w:highlight w:val="none"/>
          <w:lang w:val="en-US" w:eastAsia="zh-CN"/>
        </w:rPr>
        <w:t>三保能力</w:t>
      </w:r>
      <w:r>
        <w:rPr>
          <w:rFonts w:hint="eastAsia" w:ascii="仿宋_GB2312" w:hAnsi="仿宋_GB2312" w:eastAsia="仿宋_GB2312" w:cs="仿宋_GB2312"/>
          <w:color w:val="auto"/>
          <w:highlight w:val="none"/>
        </w:rPr>
        <w:t>承诺函、其它资料等格式）</w:t>
      </w:r>
      <w:bookmarkEnd w:id="73"/>
      <w:bookmarkEnd w:id="74"/>
      <w:bookmarkEnd w:id="75"/>
      <w:bookmarkEnd w:id="76"/>
      <w:bookmarkEnd w:id="77"/>
      <w:bookmarkEnd w:id="78"/>
      <w:bookmarkEnd w:id="79"/>
      <w:bookmarkEnd w:id="80"/>
    </w:p>
    <w:p w14:paraId="12466E8A">
      <w:pPr>
        <w:spacing w:line="360" w:lineRule="auto"/>
        <w:jc w:val="center"/>
        <w:outlineLvl w:val="1"/>
        <w:rPr>
          <w:rFonts w:hint="eastAsia" w:ascii="仿宋_GB2312" w:hAnsi="仿宋_GB2312" w:eastAsia="仿宋_GB2312" w:cs="仿宋_GB2312"/>
          <w:color w:val="auto"/>
          <w:sz w:val="30"/>
          <w:szCs w:val="30"/>
          <w:highlight w:val="none"/>
        </w:rPr>
      </w:pPr>
    </w:p>
    <w:p w14:paraId="308643B0">
      <w:pPr>
        <w:spacing w:line="360" w:lineRule="auto"/>
        <w:jc w:val="center"/>
        <w:outlineLvl w:val="1"/>
        <w:rPr>
          <w:rFonts w:hint="eastAsia" w:ascii="仿宋_GB2312" w:hAnsi="仿宋_GB2312" w:eastAsia="仿宋_GB2312" w:cs="仿宋_GB2312"/>
          <w:color w:val="auto"/>
          <w:sz w:val="30"/>
          <w:szCs w:val="30"/>
          <w:highlight w:val="none"/>
        </w:rPr>
      </w:pPr>
    </w:p>
    <w:p w14:paraId="4F7A735F">
      <w:pPr>
        <w:spacing w:line="360" w:lineRule="auto"/>
        <w:jc w:val="center"/>
        <w:outlineLvl w:val="1"/>
        <w:rPr>
          <w:rFonts w:hint="eastAsia" w:ascii="仿宋_GB2312" w:hAnsi="仿宋_GB2312" w:eastAsia="仿宋_GB2312" w:cs="仿宋_GB2312"/>
          <w:color w:val="auto"/>
          <w:sz w:val="30"/>
          <w:szCs w:val="30"/>
          <w:highlight w:val="none"/>
        </w:rPr>
      </w:pPr>
    </w:p>
    <w:p w14:paraId="1E1B2587">
      <w:pPr>
        <w:spacing w:line="360" w:lineRule="auto"/>
        <w:jc w:val="center"/>
        <w:outlineLvl w:val="1"/>
        <w:rPr>
          <w:rFonts w:hint="eastAsia" w:ascii="仿宋_GB2312" w:hAnsi="仿宋_GB2312" w:eastAsia="仿宋_GB2312" w:cs="仿宋_GB2312"/>
          <w:color w:val="auto"/>
          <w:sz w:val="30"/>
          <w:szCs w:val="30"/>
          <w:highlight w:val="none"/>
        </w:rPr>
      </w:pPr>
    </w:p>
    <w:p w14:paraId="2FD04946">
      <w:pPr>
        <w:spacing w:line="360" w:lineRule="auto"/>
        <w:jc w:val="center"/>
        <w:outlineLvl w:val="1"/>
        <w:rPr>
          <w:rFonts w:hint="eastAsia" w:ascii="仿宋_GB2312" w:hAnsi="仿宋_GB2312" w:eastAsia="仿宋_GB2312" w:cs="仿宋_GB2312"/>
          <w:color w:val="auto"/>
          <w:sz w:val="30"/>
          <w:szCs w:val="30"/>
          <w:highlight w:val="none"/>
        </w:rPr>
      </w:pPr>
    </w:p>
    <w:p w14:paraId="4CD4C469">
      <w:pPr>
        <w:spacing w:line="360" w:lineRule="auto"/>
        <w:jc w:val="center"/>
        <w:outlineLvl w:val="1"/>
        <w:rPr>
          <w:rFonts w:hint="eastAsia" w:ascii="仿宋_GB2312" w:hAnsi="仿宋_GB2312" w:eastAsia="仿宋_GB2312" w:cs="仿宋_GB2312"/>
          <w:color w:val="auto"/>
          <w:sz w:val="30"/>
          <w:szCs w:val="30"/>
          <w:highlight w:val="none"/>
        </w:rPr>
      </w:pPr>
    </w:p>
    <w:p w14:paraId="64C22F53">
      <w:pPr>
        <w:spacing w:line="360" w:lineRule="auto"/>
        <w:jc w:val="center"/>
        <w:outlineLvl w:val="1"/>
        <w:rPr>
          <w:rFonts w:hint="eastAsia" w:ascii="仿宋_GB2312" w:hAnsi="仿宋_GB2312" w:eastAsia="仿宋_GB2312" w:cs="仿宋_GB2312"/>
          <w:color w:val="auto"/>
          <w:sz w:val="30"/>
          <w:szCs w:val="30"/>
          <w:highlight w:val="none"/>
        </w:rPr>
      </w:pPr>
    </w:p>
    <w:p w14:paraId="25A498FB">
      <w:pPr>
        <w:spacing w:line="360" w:lineRule="auto"/>
        <w:jc w:val="center"/>
        <w:outlineLvl w:val="1"/>
        <w:rPr>
          <w:rFonts w:hint="eastAsia" w:ascii="仿宋_GB2312" w:hAnsi="仿宋_GB2312" w:eastAsia="仿宋_GB2312" w:cs="仿宋_GB2312"/>
          <w:color w:val="auto"/>
          <w:sz w:val="30"/>
          <w:szCs w:val="30"/>
          <w:highlight w:val="none"/>
        </w:rPr>
      </w:pPr>
    </w:p>
    <w:p w14:paraId="25EA25F8">
      <w:pPr>
        <w:spacing w:line="360" w:lineRule="auto"/>
        <w:jc w:val="center"/>
        <w:outlineLvl w:val="1"/>
        <w:rPr>
          <w:rFonts w:hint="eastAsia" w:ascii="仿宋_GB2312" w:hAnsi="仿宋_GB2312" w:eastAsia="仿宋_GB2312" w:cs="仿宋_GB2312"/>
          <w:color w:val="auto"/>
          <w:sz w:val="30"/>
          <w:szCs w:val="30"/>
          <w:highlight w:val="none"/>
        </w:rPr>
      </w:pPr>
    </w:p>
    <w:p w14:paraId="4C11BC4E">
      <w:pPr>
        <w:pStyle w:val="2"/>
        <w:rPr>
          <w:rFonts w:hint="eastAsia" w:ascii="仿宋_GB2312" w:hAnsi="仿宋_GB2312" w:eastAsia="仿宋_GB2312" w:cs="仿宋_GB2312"/>
          <w:color w:val="auto"/>
          <w:sz w:val="30"/>
          <w:szCs w:val="30"/>
          <w:highlight w:val="none"/>
        </w:rPr>
      </w:pPr>
    </w:p>
    <w:p w14:paraId="114FA405">
      <w:pPr>
        <w:rPr>
          <w:rFonts w:hint="eastAsia"/>
          <w:highlight w:val="none"/>
        </w:rPr>
      </w:pPr>
    </w:p>
    <w:p w14:paraId="34B53504">
      <w:pPr>
        <w:spacing w:line="360" w:lineRule="auto"/>
        <w:jc w:val="center"/>
        <w:outlineLvl w:val="1"/>
        <w:rPr>
          <w:rFonts w:hint="eastAsia" w:ascii="仿宋_GB2312" w:hAnsi="仿宋_GB2312" w:eastAsia="仿宋_GB2312" w:cs="仿宋_GB2312"/>
          <w:color w:val="auto"/>
          <w:sz w:val="30"/>
          <w:szCs w:val="30"/>
          <w:highlight w:val="none"/>
        </w:rPr>
      </w:pPr>
    </w:p>
    <w:p w14:paraId="39A5A377">
      <w:pPr>
        <w:spacing w:line="360" w:lineRule="auto"/>
        <w:jc w:val="center"/>
        <w:outlineLvl w:val="1"/>
        <w:rPr>
          <w:rFonts w:hint="eastAsia" w:ascii="仿宋_GB2312" w:hAnsi="仿宋_GB2312" w:eastAsia="仿宋_GB2312" w:cs="仿宋_GB2312"/>
          <w:color w:val="auto"/>
          <w:sz w:val="30"/>
          <w:szCs w:val="30"/>
          <w:highlight w:val="none"/>
        </w:rPr>
      </w:pPr>
    </w:p>
    <w:p w14:paraId="6ED3A7C1">
      <w:pPr>
        <w:spacing w:line="360" w:lineRule="auto"/>
        <w:jc w:val="center"/>
        <w:outlineLvl w:val="1"/>
        <w:rPr>
          <w:rFonts w:hint="eastAsia" w:ascii="仿宋_GB2312" w:hAnsi="仿宋_GB2312" w:eastAsia="仿宋_GB2312" w:cs="仿宋_GB2312"/>
          <w:color w:val="auto"/>
          <w:sz w:val="30"/>
          <w:szCs w:val="30"/>
          <w:highlight w:val="none"/>
        </w:rPr>
      </w:pPr>
    </w:p>
    <w:p w14:paraId="1FD15FE6">
      <w:pPr>
        <w:spacing w:line="360" w:lineRule="auto"/>
        <w:jc w:val="center"/>
        <w:outlineLvl w:val="1"/>
        <w:rPr>
          <w:rFonts w:hint="eastAsia" w:ascii="仿宋_GB2312" w:hAnsi="仿宋_GB2312" w:eastAsia="仿宋_GB2312" w:cs="仿宋_GB2312"/>
          <w:color w:val="auto"/>
          <w:sz w:val="30"/>
          <w:szCs w:val="30"/>
          <w:highlight w:val="none"/>
        </w:rPr>
      </w:pPr>
    </w:p>
    <w:p w14:paraId="59E1E462">
      <w:pPr>
        <w:spacing w:line="360" w:lineRule="auto"/>
        <w:jc w:val="center"/>
        <w:outlineLvl w:val="1"/>
        <w:rPr>
          <w:rFonts w:hint="eastAsia" w:ascii="仿宋_GB2312" w:hAnsi="仿宋_GB2312" w:eastAsia="仿宋_GB2312" w:cs="仿宋_GB2312"/>
          <w:color w:val="auto"/>
          <w:sz w:val="30"/>
          <w:szCs w:val="30"/>
          <w:highlight w:val="none"/>
        </w:rPr>
      </w:pPr>
    </w:p>
    <w:p w14:paraId="4CBCDACA">
      <w:pPr>
        <w:spacing w:line="360" w:lineRule="auto"/>
        <w:jc w:val="center"/>
        <w:outlineLvl w:val="1"/>
        <w:rPr>
          <w:rFonts w:hint="eastAsia" w:ascii="仿宋_GB2312" w:hAnsi="仿宋_GB2312" w:eastAsia="仿宋_GB2312" w:cs="仿宋_GB2312"/>
          <w:color w:val="auto"/>
          <w:sz w:val="30"/>
          <w:szCs w:val="30"/>
          <w:highlight w:val="none"/>
        </w:rPr>
      </w:pPr>
    </w:p>
    <w:p w14:paraId="6E6C13B8">
      <w:pPr>
        <w:spacing w:line="360" w:lineRule="auto"/>
        <w:jc w:val="center"/>
        <w:outlineLvl w:val="1"/>
        <w:rPr>
          <w:rFonts w:hint="eastAsia" w:ascii="仿宋_GB2312" w:hAnsi="仿宋_GB2312" w:eastAsia="仿宋_GB2312" w:cs="仿宋_GB2312"/>
          <w:color w:val="auto"/>
          <w:sz w:val="30"/>
          <w:szCs w:val="30"/>
          <w:highlight w:val="none"/>
        </w:rPr>
      </w:pPr>
    </w:p>
    <w:p w14:paraId="69646F1D">
      <w:pPr>
        <w:spacing w:line="360" w:lineRule="auto"/>
        <w:jc w:val="center"/>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highlight w:val="none"/>
        </w:rPr>
        <mc:AlternateContent>
          <mc:Choice Requires="wps">
            <w:drawing>
              <wp:anchor distT="0" distB="0" distL="114300" distR="114300" simplePos="0" relativeHeight="251659264" behindDoc="0" locked="0" layoutInCell="1" allowOverlap="1">
                <wp:simplePos x="0" y="0"/>
                <wp:positionH relativeFrom="column">
                  <wp:posOffset>4605655</wp:posOffset>
                </wp:positionH>
                <wp:positionV relativeFrom="paragraph">
                  <wp:posOffset>21590</wp:posOffset>
                </wp:positionV>
                <wp:extent cx="1092200" cy="475615"/>
                <wp:effectExtent l="19050" t="19050" r="31750" b="19685"/>
                <wp:wrapNone/>
                <wp:docPr id="1" name="文本框 18"/>
                <wp:cNvGraphicFramePr/>
                <a:graphic xmlns:a="http://schemas.openxmlformats.org/drawingml/2006/main">
                  <a:graphicData uri="http://schemas.microsoft.com/office/word/2010/wordprocessingShape">
                    <wps:wsp>
                      <wps:cNvSpPr txBox="1"/>
                      <wps:spPr>
                        <a:xfrm>
                          <a:off x="0" y="0"/>
                          <a:ext cx="1092200" cy="475615"/>
                        </a:xfrm>
                        <a:prstGeom prst="rect">
                          <a:avLst/>
                        </a:prstGeom>
                        <a:solidFill>
                          <a:srgbClr val="FFFFFF"/>
                        </a:solidFill>
                        <a:ln w="38100" cap="flat" cmpd="sng">
                          <a:solidFill>
                            <a:srgbClr val="000000"/>
                          </a:solidFill>
                          <a:prstDash val="solid"/>
                          <a:miter/>
                          <a:headEnd type="none" w="med" len="med"/>
                          <a:tailEnd type="none" w="med" len="med"/>
                        </a:ln>
                      </wps:spPr>
                      <wps:txbx>
                        <w:txbxContent>
                          <w:p w14:paraId="0C9DF062">
                            <w:pPr>
                              <w:jc w:val="center"/>
                              <w:rPr>
                                <w:b/>
                                <w:bCs/>
                                <w:sz w:val="30"/>
                                <w:szCs w:val="30"/>
                              </w:rPr>
                            </w:pPr>
                            <w:r>
                              <w:rPr>
                                <w:rFonts w:hint="eastAsia"/>
                                <w:b/>
                                <w:bCs/>
                                <w:sz w:val="30"/>
                                <w:szCs w:val="30"/>
                              </w:rPr>
                              <w:t>正</w:t>
                            </w:r>
                            <w:r>
                              <w:rPr>
                                <w:rFonts w:hint="eastAsia"/>
                                <w:b/>
                                <w:bCs/>
                                <w:sz w:val="30"/>
                                <w:szCs w:val="30"/>
                                <w:lang w:eastAsia="zh-CN"/>
                              </w:rPr>
                              <w:t>（</w:t>
                            </w:r>
                            <w:r>
                              <w:rPr>
                                <w:rFonts w:hint="eastAsia"/>
                                <w:b/>
                                <w:bCs/>
                                <w:sz w:val="30"/>
                                <w:szCs w:val="30"/>
                              </w:rPr>
                              <w:t>副</w:t>
                            </w:r>
                            <w:r>
                              <w:rPr>
                                <w:rFonts w:hint="eastAsia"/>
                                <w:b/>
                                <w:bCs/>
                                <w:sz w:val="30"/>
                                <w:szCs w:val="30"/>
                                <w:lang w:eastAsia="zh-CN"/>
                              </w:rPr>
                              <w:t>）</w:t>
                            </w:r>
                            <w:r>
                              <w:rPr>
                                <w:rFonts w:hint="eastAsia"/>
                                <w:b/>
                                <w:bCs/>
                                <w:sz w:val="30"/>
                                <w:szCs w:val="30"/>
                              </w:rPr>
                              <w:t>本</w:t>
                            </w:r>
                          </w:p>
                        </w:txbxContent>
                      </wps:txbx>
                      <wps:bodyPr wrap="square" upright="1"/>
                    </wps:wsp>
                  </a:graphicData>
                </a:graphic>
              </wp:anchor>
            </w:drawing>
          </mc:Choice>
          <mc:Fallback>
            <w:pict>
              <v:shape id="文本框 18" o:spid="_x0000_s1026" o:spt="202" type="#_x0000_t202" style="position:absolute;left:0pt;margin-left:362.65pt;margin-top:1.7pt;height:37.45pt;width:86pt;z-index:251659264;mso-width-relative:page;mso-height-relative:page;" fillcolor="#FFFFFF" filled="t" stroked="t" coordsize="21600,21600" o:gfxdata="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PMwvP1gAAAAgBAAAPAAAAAAAA&#10;AAEAIAAAACIAAABkcnMvZG93bnJldi54bWxQSwECFAAUAAAACACHTuJAD7UuIhQCAABGBAAADgAA&#10;AAAAAAABACAAAAAlAQAAZHJzL2Uyb0RvYy54bWxQSwUGAAAAAAYABgBZAQAAqwUAAAAA&#10;">
                <v:fill on="t" focussize="0,0"/>
                <v:stroke weight="3pt" color="#000000" joinstyle="miter"/>
                <v:imagedata o:title=""/>
                <o:lock v:ext="edit" aspectratio="f"/>
                <v:textbox>
                  <w:txbxContent>
                    <w:p w14:paraId="0C9DF062">
                      <w:pPr>
                        <w:jc w:val="center"/>
                        <w:rPr>
                          <w:b/>
                          <w:bCs/>
                          <w:sz w:val="30"/>
                          <w:szCs w:val="30"/>
                        </w:rPr>
                      </w:pPr>
                      <w:r>
                        <w:rPr>
                          <w:rFonts w:hint="eastAsia"/>
                          <w:b/>
                          <w:bCs/>
                          <w:sz w:val="30"/>
                          <w:szCs w:val="30"/>
                        </w:rPr>
                        <w:t>正</w:t>
                      </w:r>
                      <w:r>
                        <w:rPr>
                          <w:rFonts w:hint="eastAsia"/>
                          <w:b/>
                          <w:bCs/>
                          <w:sz w:val="30"/>
                          <w:szCs w:val="30"/>
                          <w:lang w:eastAsia="zh-CN"/>
                        </w:rPr>
                        <w:t>（</w:t>
                      </w:r>
                      <w:r>
                        <w:rPr>
                          <w:rFonts w:hint="eastAsia"/>
                          <w:b/>
                          <w:bCs/>
                          <w:sz w:val="30"/>
                          <w:szCs w:val="30"/>
                        </w:rPr>
                        <w:t>副</w:t>
                      </w:r>
                      <w:r>
                        <w:rPr>
                          <w:rFonts w:hint="eastAsia"/>
                          <w:b/>
                          <w:bCs/>
                          <w:sz w:val="30"/>
                          <w:szCs w:val="30"/>
                          <w:lang w:eastAsia="zh-CN"/>
                        </w:rPr>
                        <w:t>）</w:t>
                      </w:r>
                      <w:r>
                        <w:rPr>
                          <w:rFonts w:hint="eastAsia"/>
                          <w:b/>
                          <w:bCs/>
                          <w:sz w:val="30"/>
                          <w:szCs w:val="30"/>
                        </w:rPr>
                        <w:t>本</w:t>
                      </w:r>
                    </w:p>
                  </w:txbxContent>
                </v:textbox>
              </v:shape>
            </w:pict>
          </mc:Fallback>
        </mc:AlternateContent>
      </w:r>
    </w:p>
    <w:p w14:paraId="7ADE1F1D">
      <w:pPr>
        <w:pStyle w:val="9"/>
        <w:jc w:val="center"/>
        <w:rPr>
          <w:rFonts w:hint="eastAsia" w:ascii="仿宋_GB2312" w:hAnsi="仿宋_GB2312" w:eastAsia="仿宋_GB2312" w:cs="仿宋_GB2312"/>
          <w:b/>
          <w:bCs/>
          <w:color w:val="auto"/>
          <w:sz w:val="44"/>
          <w:szCs w:val="44"/>
          <w:highlight w:val="none"/>
          <w:lang w:val="en-US" w:eastAsia="zh-CN"/>
        </w:rPr>
      </w:pPr>
    </w:p>
    <w:p w14:paraId="1649BD64">
      <w:pPr>
        <w:pStyle w:val="9"/>
        <w:jc w:val="center"/>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lang w:val="en-US" w:eastAsia="zh-CN"/>
        </w:rPr>
        <w:t>赣州市交通投资集团</w:t>
      </w:r>
      <w:r>
        <w:rPr>
          <w:rFonts w:hint="eastAsia" w:ascii="仿宋_GB2312" w:hAnsi="仿宋_GB2312" w:eastAsia="仿宋_GB2312" w:cs="仿宋_GB2312"/>
          <w:b/>
          <w:bCs/>
          <w:color w:val="auto"/>
          <w:sz w:val="44"/>
          <w:szCs w:val="44"/>
          <w:highlight w:val="none"/>
        </w:rPr>
        <w:t>有限</w:t>
      </w:r>
      <w:r>
        <w:rPr>
          <w:rFonts w:hint="eastAsia" w:ascii="仿宋_GB2312" w:hAnsi="仿宋_GB2312" w:eastAsia="仿宋_GB2312" w:cs="仿宋_GB2312"/>
          <w:b/>
          <w:bCs/>
          <w:color w:val="auto"/>
          <w:sz w:val="44"/>
          <w:szCs w:val="44"/>
          <w:highlight w:val="none"/>
          <w:lang w:val="en-US" w:eastAsia="zh-CN"/>
        </w:rPr>
        <w:t>责任</w:t>
      </w:r>
      <w:r>
        <w:rPr>
          <w:rFonts w:hint="eastAsia" w:ascii="仿宋_GB2312" w:hAnsi="仿宋_GB2312" w:eastAsia="仿宋_GB2312" w:cs="仿宋_GB2312"/>
          <w:b/>
          <w:bCs/>
          <w:color w:val="auto"/>
          <w:sz w:val="44"/>
          <w:szCs w:val="44"/>
          <w:highlight w:val="none"/>
        </w:rPr>
        <w:t>公司</w:t>
      </w:r>
    </w:p>
    <w:p w14:paraId="0A419617">
      <w:pPr>
        <w:pStyle w:val="9"/>
        <w:jc w:val="center"/>
        <w:rPr>
          <w:rFonts w:hint="eastAsia" w:ascii="仿宋_GB2312" w:hAnsi="仿宋_GB2312" w:eastAsia="仿宋_GB2312" w:cs="仿宋_GB2312"/>
          <w:b/>
          <w:color w:val="auto"/>
          <w:kern w:val="2"/>
          <w:sz w:val="44"/>
          <w:szCs w:val="44"/>
          <w:highlight w:val="none"/>
          <w:lang w:val="en-US" w:eastAsia="zh-CN" w:bidi="ar-SA"/>
        </w:rPr>
      </w:pPr>
    </w:p>
    <w:p w14:paraId="31309601">
      <w:pPr>
        <w:pStyle w:val="9"/>
        <w:jc w:val="center"/>
        <w:rPr>
          <w:rFonts w:hint="eastAsia" w:ascii="仿宋_GB2312" w:hAnsi="仿宋_GB2312" w:eastAsia="仿宋_GB2312" w:cs="仿宋_GB2312"/>
          <w:b/>
          <w:color w:val="auto"/>
          <w:sz w:val="48"/>
          <w:szCs w:val="48"/>
          <w:highlight w:val="none"/>
        </w:rPr>
      </w:pPr>
      <w:r>
        <w:rPr>
          <w:rFonts w:hint="eastAsia" w:ascii="仿宋_GB2312" w:hAnsi="仿宋_GB2312" w:eastAsia="仿宋_GB2312" w:cs="仿宋_GB2312"/>
          <w:b/>
          <w:color w:val="auto"/>
          <w:kern w:val="2"/>
          <w:sz w:val="44"/>
          <w:szCs w:val="44"/>
          <w:highlight w:val="none"/>
          <w:lang w:val="en-US" w:eastAsia="zh-CN" w:bidi="ar-SA"/>
        </w:rPr>
        <w:t>2026-2027年度沥青采购项目</w:t>
      </w:r>
    </w:p>
    <w:p w14:paraId="1656F26F">
      <w:pPr>
        <w:pStyle w:val="2"/>
        <w:rPr>
          <w:rFonts w:hint="eastAsia" w:ascii="仿宋_GB2312" w:hAnsi="仿宋_GB2312" w:eastAsia="仿宋_GB2312" w:cs="仿宋_GB2312"/>
          <w:color w:val="auto"/>
          <w:highlight w:val="none"/>
        </w:rPr>
      </w:pPr>
    </w:p>
    <w:p w14:paraId="519E79B3">
      <w:pPr>
        <w:spacing w:line="360" w:lineRule="auto"/>
        <w:jc w:val="center"/>
        <w:outlineLvl w:val="1"/>
        <w:rPr>
          <w:rFonts w:hint="eastAsia" w:ascii="仿宋_GB2312" w:hAnsi="仿宋_GB2312" w:eastAsia="仿宋_GB2312" w:cs="仿宋_GB2312"/>
          <w:color w:val="auto"/>
          <w:sz w:val="30"/>
          <w:szCs w:val="30"/>
          <w:highlight w:val="none"/>
        </w:rPr>
      </w:pPr>
    </w:p>
    <w:p w14:paraId="4B42EA40">
      <w:pPr>
        <w:pStyle w:val="2"/>
        <w:rPr>
          <w:rFonts w:hint="eastAsia" w:ascii="仿宋_GB2312" w:hAnsi="仿宋_GB2312" w:eastAsia="仿宋_GB2312" w:cs="仿宋_GB2312"/>
          <w:color w:val="auto"/>
          <w:sz w:val="30"/>
          <w:szCs w:val="30"/>
          <w:highlight w:val="none"/>
        </w:rPr>
      </w:pPr>
    </w:p>
    <w:p w14:paraId="1240BD63">
      <w:pPr>
        <w:rPr>
          <w:rFonts w:hint="eastAsia" w:ascii="仿宋_GB2312" w:hAnsi="仿宋_GB2312" w:eastAsia="仿宋_GB2312" w:cs="仿宋_GB2312"/>
          <w:color w:val="auto"/>
          <w:highlight w:val="none"/>
        </w:rPr>
      </w:pPr>
    </w:p>
    <w:p w14:paraId="1F8CE67F">
      <w:pPr>
        <w:rPr>
          <w:rFonts w:hint="eastAsia" w:ascii="仿宋_GB2312" w:hAnsi="仿宋_GB2312" w:eastAsia="仿宋_GB2312" w:cs="仿宋_GB2312"/>
          <w:color w:val="auto"/>
          <w:highlight w:val="none"/>
        </w:rPr>
      </w:pPr>
    </w:p>
    <w:p w14:paraId="06151A7F">
      <w:pPr>
        <w:spacing w:line="360" w:lineRule="auto"/>
        <w:jc w:val="center"/>
        <w:outlineLvl w:val="1"/>
        <w:rPr>
          <w:rFonts w:hint="eastAsia" w:ascii="仿宋_GB2312" w:hAnsi="仿宋_GB2312" w:eastAsia="仿宋_GB2312" w:cs="仿宋_GB2312"/>
          <w:color w:val="auto"/>
          <w:sz w:val="30"/>
          <w:szCs w:val="30"/>
          <w:highlight w:val="none"/>
        </w:rPr>
      </w:pPr>
    </w:p>
    <w:p w14:paraId="0FCB2EF5">
      <w:pPr>
        <w:spacing w:line="360" w:lineRule="auto"/>
        <w:jc w:val="center"/>
        <w:outlineLvl w:val="1"/>
        <w:rPr>
          <w:rFonts w:hint="eastAsia" w:ascii="仿宋_GB2312" w:hAnsi="仿宋_GB2312" w:eastAsia="仿宋_GB2312" w:cs="仿宋_GB2312"/>
          <w:color w:val="auto"/>
          <w:sz w:val="96"/>
          <w:szCs w:val="96"/>
          <w:highlight w:val="none"/>
        </w:rPr>
      </w:pPr>
      <w:bookmarkStart w:id="84" w:name="_Toc30801"/>
      <w:bookmarkStart w:id="85" w:name="_Toc29200"/>
      <w:bookmarkStart w:id="86" w:name="_Toc19396"/>
      <w:bookmarkStart w:id="87" w:name="_Toc10336"/>
      <w:bookmarkStart w:id="88" w:name="_Toc17517"/>
      <w:bookmarkStart w:id="89" w:name="_Toc11268"/>
      <w:bookmarkStart w:id="90" w:name="_Toc18251"/>
      <w:bookmarkStart w:id="91" w:name="_Toc4841"/>
      <w:r>
        <w:rPr>
          <w:rFonts w:hint="eastAsia" w:ascii="仿宋_GB2312" w:hAnsi="仿宋_GB2312" w:eastAsia="仿宋_GB2312" w:cs="仿宋_GB2312"/>
          <w:color w:val="auto"/>
          <w:sz w:val="96"/>
          <w:szCs w:val="96"/>
          <w:highlight w:val="none"/>
        </w:rPr>
        <w:t>报价文件</w:t>
      </w:r>
      <w:bookmarkEnd w:id="84"/>
      <w:bookmarkEnd w:id="85"/>
      <w:bookmarkEnd w:id="86"/>
      <w:bookmarkEnd w:id="87"/>
      <w:bookmarkEnd w:id="88"/>
      <w:bookmarkEnd w:id="89"/>
      <w:bookmarkEnd w:id="90"/>
      <w:bookmarkEnd w:id="91"/>
    </w:p>
    <w:p w14:paraId="3FD852B3">
      <w:pPr>
        <w:spacing w:line="360" w:lineRule="auto"/>
        <w:jc w:val="center"/>
        <w:outlineLvl w:val="1"/>
        <w:rPr>
          <w:rFonts w:hint="eastAsia" w:ascii="仿宋_GB2312" w:hAnsi="仿宋_GB2312" w:eastAsia="仿宋_GB2312" w:cs="仿宋_GB2312"/>
          <w:color w:val="auto"/>
          <w:sz w:val="30"/>
          <w:szCs w:val="30"/>
          <w:highlight w:val="none"/>
        </w:rPr>
      </w:pPr>
    </w:p>
    <w:p w14:paraId="15367157">
      <w:pPr>
        <w:spacing w:line="360" w:lineRule="auto"/>
        <w:jc w:val="center"/>
        <w:outlineLvl w:val="1"/>
        <w:rPr>
          <w:rFonts w:hint="eastAsia" w:ascii="仿宋_GB2312" w:hAnsi="仿宋_GB2312" w:eastAsia="仿宋_GB2312" w:cs="仿宋_GB2312"/>
          <w:color w:val="auto"/>
          <w:sz w:val="30"/>
          <w:szCs w:val="30"/>
          <w:highlight w:val="none"/>
        </w:rPr>
      </w:pPr>
    </w:p>
    <w:p w14:paraId="4D0B2F5A">
      <w:pPr>
        <w:spacing w:line="360" w:lineRule="auto"/>
        <w:jc w:val="center"/>
        <w:outlineLvl w:val="1"/>
        <w:rPr>
          <w:rFonts w:hint="eastAsia" w:ascii="仿宋_GB2312" w:hAnsi="仿宋_GB2312" w:eastAsia="仿宋_GB2312" w:cs="仿宋_GB2312"/>
          <w:color w:val="auto"/>
          <w:sz w:val="30"/>
          <w:szCs w:val="30"/>
          <w:highlight w:val="none"/>
        </w:rPr>
      </w:pPr>
    </w:p>
    <w:p w14:paraId="3232DC57">
      <w:pPr>
        <w:spacing w:line="360" w:lineRule="auto"/>
        <w:jc w:val="center"/>
        <w:outlineLvl w:val="1"/>
        <w:rPr>
          <w:rFonts w:hint="eastAsia" w:ascii="仿宋_GB2312" w:hAnsi="仿宋_GB2312" w:eastAsia="仿宋_GB2312" w:cs="仿宋_GB2312"/>
          <w:color w:val="auto"/>
          <w:sz w:val="30"/>
          <w:szCs w:val="30"/>
          <w:highlight w:val="none"/>
        </w:rPr>
      </w:pPr>
    </w:p>
    <w:p w14:paraId="483BB10C">
      <w:pPr>
        <w:pStyle w:val="2"/>
        <w:rPr>
          <w:rFonts w:hint="eastAsia" w:ascii="仿宋_GB2312" w:hAnsi="仿宋_GB2312" w:eastAsia="仿宋_GB2312" w:cs="仿宋_GB2312"/>
          <w:color w:val="auto"/>
          <w:highlight w:val="none"/>
        </w:rPr>
      </w:pPr>
    </w:p>
    <w:p w14:paraId="74AE8DD8">
      <w:pPr>
        <w:spacing w:line="360" w:lineRule="auto"/>
        <w:jc w:val="center"/>
        <w:outlineLvl w:val="1"/>
        <w:rPr>
          <w:rFonts w:hint="eastAsia" w:ascii="仿宋_GB2312" w:hAnsi="仿宋_GB2312" w:eastAsia="仿宋_GB2312" w:cs="仿宋_GB2312"/>
          <w:color w:val="auto"/>
          <w:sz w:val="30"/>
          <w:szCs w:val="30"/>
          <w:highlight w:val="none"/>
        </w:rPr>
      </w:pPr>
    </w:p>
    <w:p w14:paraId="3F7D034D">
      <w:pPr>
        <w:spacing w:line="360" w:lineRule="auto"/>
        <w:jc w:val="center"/>
        <w:outlineLvl w:val="1"/>
        <w:rPr>
          <w:rFonts w:hint="eastAsia" w:ascii="仿宋_GB2312" w:hAnsi="仿宋_GB2312" w:eastAsia="仿宋_GB2312" w:cs="仿宋_GB2312"/>
          <w:color w:val="auto"/>
          <w:sz w:val="30"/>
          <w:szCs w:val="30"/>
          <w:highlight w:val="none"/>
        </w:rPr>
      </w:pPr>
      <w:bookmarkStart w:id="92" w:name="_Toc2344"/>
      <w:bookmarkStart w:id="93" w:name="_Toc21906"/>
      <w:bookmarkStart w:id="94" w:name="_Toc15129"/>
      <w:bookmarkStart w:id="95" w:name="_Toc27290"/>
      <w:bookmarkStart w:id="96" w:name="_Toc15508"/>
      <w:bookmarkStart w:id="97" w:name="_Toc27141"/>
      <w:bookmarkStart w:id="98" w:name="_Toc15555"/>
      <w:bookmarkStart w:id="99" w:name="_Toc25241"/>
      <w:r>
        <w:rPr>
          <w:rFonts w:hint="eastAsia" w:ascii="仿宋_GB2312" w:hAnsi="仿宋_GB2312" w:eastAsia="仿宋_GB2312" w:cs="仿宋_GB2312"/>
          <w:color w:val="auto"/>
          <w:sz w:val="30"/>
          <w:szCs w:val="30"/>
          <w:highlight w:val="none"/>
        </w:rPr>
        <w:t>报价人：</w:t>
      </w:r>
      <w:r>
        <w:rPr>
          <w:rFonts w:hint="eastAsia" w:ascii="仿宋_GB2312" w:hAnsi="仿宋_GB2312" w:eastAsia="仿宋_GB2312" w:cs="仿宋_GB2312"/>
          <w:color w:val="auto"/>
          <w:sz w:val="30"/>
          <w:szCs w:val="30"/>
          <w:highlight w:val="none"/>
          <w:u w:val="single"/>
        </w:rPr>
        <w:t xml:space="preserve">                      </w:t>
      </w:r>
      <w:r>
        <w:rPr>
          <w:rFonts w:hint="eastAsia" w:ascii="仿宋_GB2312" w:hAnsi="仿宋_GB2312" w:eastAsia="仿宋_GB2312" w:cs="仿宋_GB2312"/>
          <w:color w:val="auto"/>
          <w:sz w:val="30"/>
          <w:szCs w:val="30"/>
          <w:highlight w:val="none"/>
        </w:rPr>
        <w:t xml:space="preserve"> （盖章）</w:t>
      </w:r>
      <w:bookmarkEnd w:id="92"/>
      <w:bookmarkEnd w:id="93"/>
      <w:bookmarkEnd w:id="94"/>
      <w:bookmarkEnd w:id="95"/>
      <w:bookmarkEnd w:id="96"/>
      <w:bookmarkEnd w:id="97"/>
      <w:bookmarkEnd w:id="98"/>
      <w:bookmarkEnd w:id="99"/>
    </w:p>
    <w:p w14:paraId="672F6751">
      <w:pPr>
        <w:spacing w:line="360" w:lineRule="auto"/>
        <w:jc w:val="center"/>
        <w:outlineLvl w:val="1"/>
        <w:rPr>
          <w:rFonts w:hint="eastAsia" w:ascii="仿宋_GB2312" w:hAnsi="仿宋_GB2312" w:eastAsia="仿宋_GB2312" w:cs="仿宋_GB2312"/>
          <w:color w:val="auto"/>
          <w:sz w:val="30"/>
          <w:szCs w:val="30"/>
          <w:highlight w:val="none"/>
        </w:rPr>
      </w:pPr>
      <w:bookmarkStart w:id="100" w:name="_Toc32404"/>
      <w:bookmarkStart w:id="101" w:name="_Toc450"/>
      <w:bookmarkStart w:id="102" w:name="_Toc30826"/>
      <w:bookmarkStart w:id="103" w:name="_Toc22319"/>
      <w:bookmarkStart w:id="104" w:name="_Toc10121"/>
      <w:bookmarkStart w:id="105" w:name="_Toc24625"/>
      <w:bookmarkStart w:id="106" w:name="_Toc3825"/>
      <w:bookmarkStart w:id="107" w:name="_Toc9239"/>
      <w:r>
        <w:rPr>
          <w:rFonts w:hint="eastAsia" w:ascii="仿宋_GB2312" w:hAnsi="仿宋_GB2312" w:eastAsia="仿宋_GB2312" w:cs="仿宋_GB2312"/>
          <w:color w:val="auto"/>
          <w:sz w:val="30"/>
          <w:szCs w:val="30"/>
          <w:highlight w:val="none"/>
        </w:rPr>
        <w:t>日期：202  年   月   日</w:t>
      </w:r>
      <w:bookmarkEnd w:id="100"/>
      <w:bookmarkEnd w:id="101"/>
      <w:bookmarkEnd w:id="102"/>
      <w:bookmarkEnd w:id="103"/>
      <w:bookmarkEnd w:id="104"/>
      <w:bookmarkEnd w:id="105"/>
      <w:bookmarkEnd w:id="106"/>
      <w:bookmarkEnd w:id="107"/>
    </w:p>
    <w:p w14:paraId="280B65C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02273C6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3E347456">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default" w:ascii="黑体" w:hAnsi="黑体" w:eastAsia="黑体" w:cs="黑体"/>
          <w:b/>
          <w:bCs w:val="0"/>
          <w:color w:val="auto"/>
          <w:sz w:val="32"/>
          <w:szCs w:val="32"/>
          <w:highlight w:val="none"/>
          <w:lang w:val="en-US" w:eastAsia="zh-CN"/>
        </w:rPr>
      </w:pPr>
      <w:bookmarkStart w:id="108" w:name="_Toc29149"/>
      <w:r>
        <w:rPr>
          <w:rFonts w:hint="eastAsia" w:ascii="黑体" w:hAnsi="黑体" w:eastAsia="黑体" w:cs="黑体"/>
          <w:b/>
          <w:bCs w:val="0"/>
          <w:color w:val="auto"/>
          <w:sz w:val="32"/>
          <w:szCs w:val="32"/>
          <w:highlight w:val="none"/>
          <w:lang w:val="en-US" w:eastAsia="zh-CN"/>
        </w:rPr>
        <w:t>目  录</w:t>
      </w:r>
      <w:bookmarkEnd w:id="108"/>
    </w:p>
    <w:p w14:paraId="64520B11">
      <w:pPr>
        <w:keepNext w:val="0"/>
        <w:keepLines w:val="0"/>
        <w:pageBreakBefore w:val="0"/>
        <w:widowControl w:val="0"/>
        <w:kinsoku/>
        <w:wordWrap/>
        <w:overflowPunct/>
        <w:topLinePunct w:val="0"/>
        <w:autoSpaceDE/>
        <w:autoSpaceDN/>
        <w:bidi w:val="0"/>
        <w:adjustRightInd/>
        <w:snapToGrid/>
        <w:spacing w:line="240" w:lineRule="auto"/>
        <w:ind w:firstLine="300" w:firstLineChars="100"/>
        <w:jc w:val="both"/>
        <w:textAlignment w:val="auto"/>
        <w:outlineLvl w:val="1"/>
        <w:rPr>
          <w:rFonts w:hint="eastAsia" w:ascii="仿宋_GB2312" w:hAnsi="仿宋_GB2312" w:eastAsia="仿宋_GB2312" w:cs="仿宋_GB2312"/>
          <w:color w:val="auto"/>
          <w:sz w:val="30"/>
          <w:szCs w:val="30"/>
          <w:highlight w:val="none"/>
          <w:lang w:val="en-US" w:eastAsia="zh-CN"/>
        </w:rPr>
      </w:pPr>
    </w:p>
    <w:p w14:paraId="3835F4BC">
      <w:pPr>
        <w:keepNext w:val="0"/>
        <w:keepLines w:val="0"/>
        <w:pageBreakBefore w:val="0"/>
        <w:widowControl w:val="0"/>
        <w:kinsoku/>
        <w:wordWrap/>
        <w:overflowPunct/>
        <w:topLinePunct w:val="0"/>
        <w:autoSpaceDE/>
        <w:autoSpaceDN/>
        <w:bidi w:val="0"/>
        <w:adjustRightInd/>
        <w:snapToGrid/>
        <w:spacing w:line="240" w:lineRule="auto"/>
        <w:ind w:firstLine="300" w:firstLineChars="100"/>
        <w:jc w:val="both"/>
        <w:textAlignment w:val="auto"/>
        <w:outlineLvl w:val="1"/>
        <w:rPr>
          <w:rFonts w:hint="eastAsia" w:ascii="仿宋_GB2312" w:hAnsi="仿宋_GB2312" w:eastAsia="仿宋_GB2312" w:cs="仿宋_GB2312"/>
          <w:color w:val="auto"/>
          <w:sz w:val="30"/>
          <w:szCs w:val="30"/>
          <w:highlight w:val="none"/>
          <w:lang w:val="en-US" w:eastAsia="zh-CN"/>
        </w:rPr>
      </w:pPr>
      <w:bookmarkStart w:id="109" w:name="_Toc3441"/>
      <w:r>
        <w:rPr>
          <w:rFonts w:hint="eastAsia" w:ascii="仿宋_GB2312" w:hAnsi="仿宋_GB2312" w:eastAsia="仿宋_GB2312" w:cs="仿宋_GB2312"/>
          <w:color w:val="auto"/>
          <w:sz w:val="30"/>
          <w:szCs w:val="30"/>
          <w:highlight w:val="none"/>
          <w:lang w:val="en-US" w:eastAsia="zh-CN"/>
        </w:rPr>
        <w:t>一、授权委托书</w:t>
      </w:r>
      <w:bookmarkEnd w:id="109"/>
    </w:p>
    <w:p w14:paraId="46663B0A">
      <w:pPr>
        <w:keepNext w:val="0"/>
        <w:keepLines w:val="0"/>
        <w:pageBreakBefore w:val="0"/>
        <w:widowControl w:val="0"/>
        <w:kinsoku/>
        <w:wordWrap/>
        <w:overflowPunct/>
        <w:topLinePunct w:val="0"/>
        <w:autoSpaceDE/>
        <w:autoSpaceDN/>
        <w:bidi w:val="0"/>
        <w:adjustRightInd/>
        <w:snapToGrid/>
        <w:spacing w:line="240" w:lineRule="auto"/>
        <w:ind w:firstLine="300" w:firstLineChars="100"/>
        <w:jc w:val="both"/>
        <w:textAlignment w:val="auto"/>
        <w:outlineLvl w:val="1"/>
        <w:rPr>
          <w:rFonts w:hint="eastAsia" w:ascii="仿宋_GB2312" w:hAnsi="仿宋_GB2312" w:eastAsia="仿宋_GB2312" w:cs="仿宋_GB2312"/>
          <w:color w:val="auto"/>
          <w:sz w:val="30"/>
          <w:szCs w:val="30"/>
          <w:highlight w:val="none"/>
          <w:lang w:val="en-US" w:eastAsia="zh-CN"/>
        </w:rPr>
      </w:pPr>
      <w:bookmarkStart w:id="110" w:name="_Toc14603"/>
      <w:r>
        <w:rPr>
          <w:rFonts w:hint="eastAsia" w:ascii="仿宋_GB2312" w:hAnsi="仿宋_GB2312" w:eastAsia="仿宋_GB2312" w:cs="仿宋_GB2312"/>
          <w:color w:val="auto"/>
          <w:sz w:val="30"/>
          <w:szCs w:val="30"/>
          <w:highlight w:val="none"/>
          <w:lang w:val="en-US" w:eastAsia="zh-CN"/>
        </w:rPr>
        <w:t>二、报价函</w:t>
      </w:r>
      <w:bookmarkEnd w:id="110"/>
    </w:p>
    <w:p w14:paraId="09AD823A">
      <w:pPr>
        <w:keepNext w:val="0"/>
        <w:keepLines w:val="0"/>
        <w:pageBreakBefore w:val="0"/>
        <w:widowControl w:val="0"/>
        <w:kinsoku/>
        <w:wordWrap/>
        <w:overflowPunct/>
        <w:topLinePunct w:val="0"/>
        <w:autoSpaceDE/>
        <w:autoSpaceDN/>
        <w:bidi w:val="0"/>
        <w:adjustRightInd/>
        <w:snapToGrid/>
        <w:spacing w:line="240" w:lineRule="auto"/>
        <w:ind w:firstLine="300" w:firstLineChars="100"/>
        <w:jc w:val="both"/>
        <w:textAlignment w:val="auto"/>
        <w:outlineLvl w:val="1"/>
        <w:rPr>
          <w:rFonts w:hint="eastAsia" w:ascii="仿宋_GB2312" w:hAnsi="仿宋_GB2312" w:eastAsia="仿宋_GB2312" w:cs="仿宋_GB2312"/>
          <w:color w:val="auto"/>
          <w:sz w:val="30"/>
          <w:szCs w:val="30"/>
          <w:highlight w:val="none"/>
          <w:lang w:val="en-US" w:eastAsia="zh-CN"/>
        </w:rPr>
      </w:pPr>
      <w:bookmarkStart w:id="111" w:name="_Toc14256"/>
      <w:r>
        <w:rPr>
          <w:rFonts w:hint="eastAsia" w:ascii="仿宋_GB2312" w:hAnsi="仿宋_GB2312" w:eastAsia="仿宋_GB2312" w:cs="仿宋_GB2312"/>
          <w:color w:val="auto"/>
          <w:sz w:val="30"/>
          <w:szCs w:val="30"/>
          <w:highlight w:val="none"/>
          <w:lang w:val="en-US" w:eastAsia="zh-CN"/>
        </w:rPr>
        <w:t>三、</w:t>
      </w:r>
      <w:bookmarkEnd w:id="111"/>
      <w:r>
        <w:rPr>
          <w:rFonts w:hint="eastAsia" w:ascii="仿宋_GB2312" w:hAnsi="仿宋_GB2312" w:eastAsia="仿宋_GB2312" w:cs="仿宋_GB2312"/>
          <w:color w:val="auto"/>
          <w:sz w:val="30"/>
          <w:szCs w:val="30"/>
          <w:highlight w:val="none"/>
          <w:lang w:val="en-US" w:eastAsia="zh-CN"/>
        </w:rPr>
        <w:t>发票承诺函</w:t>
      </w:r>
    </w:p>
    <w:p w14:paraId="1BD9EE09">
      <w:pPr>
        <w:keepNext w:val="0"/>
        <w:keepLines w:val="0"/>
        <w:pageBreakBefore w:val="0"/>
        <w:widowControl w:val="0"/>
        <w:kinsoku/>
        <w:wordWrap/>
        <w:overflowPunct/>
        <w:topLinePunct w:val="0"/>
        <w:autoSpaceDE/>
        <w:autoSpaceDN/>
        <w:bidi w:val="0"/>
        <w:adjustRightInd/>
        <w:snapToGrid/>
        <w:spacing w:line="240" w:lineRule="auto"/>
        <w:ind w:firstLine="300" w:firstLineChars="100"/>
        <w:jc w:val="both"/>
        <w:textAlignment w:val="auto"/>
        <w:outlineLvl w:val="1"/>
        <w:rPr>
          <w:rFonts w:hint="eastAsia" w:ascii="仿宋_GB2312" w:hAnsi="仿宋_GB2312" w:eastAsia="仿宋_GB2312" w:cs="仿宋_GB2312"/>
          <w:color w:val="auto"/>
          <w:sz w:val="30"/>
          <w:szCs w:val="30"/>
          <w:highlight w:val="none"/>
          <w:lang w:val="en-US" w:eastAsia="zh-CN"/>
        </w:rPr>
      </w:pPr>
      <w:bookmarkStart w:id="112" w:name="_Toc536"/>
      <w:r>
        <w:rPr>
          <w:rFonts w:hint="eastAsia" w:ascii="仿宋_GB2312" w:hAnsi="仿宋_GB2312" w:eastAsia="仿宋_GB2312" w:cs="仿宋_GB2312"/>
          <w:color w:val="auto"/>
          <w:sz w:val="30"/>
          <w:szCs w:val="30"/>
          <w:highlight w:val="none"/>
          <w:lang w:val="en-US" w:eastAsia="zh-CN"/>
        </w:rPr>
        <w:t>四、</w:t>
      </w:r>
      <w:bookmarkEnd w:id="112"/>
      <w:r>
        <w:rPr>
          <w:rFonts w:hint="eastAsia" w:ascii="仿宋_GB2312" w:hAnsi="仿宋_GB2312" w:eastAsia="仿宋_GB2312" w:cs="仿宋_GB2312"/>
          <w:color w:val="auto"/>
          <w:sz w:val="30"/>
          <w:szCs w:val="30"/>
          <w:highlight w:val="none"/>
          <w:lang w:val="en-US" w:eastAsia="zh-CN"/>
        </w:rPr>
        <w:t>信誉承诺表</w:t>
      </w:r>
    </w:p>
    <w:p w14:paraId="66997972">
      <w:pPr>
        <w:keepNext w:val="0"/>
        <w:keepLines w:val="0"/>
        <w:pageBreakBefore w:val="0"/>
        <w:widowControl w:val="0"/>
        <w:kinsoku/>
        <w:wordWrap/>
        <w:overflowPunct/>
        <w:topLinePunct w:val="0"/>
        <w:autoSpaceDE/>
        <w:autoSpaceDN/>
        <w:bidi w:val="0"/>
        <w:adjustRightInd/>
        <w:snapToGrid/>
        <w:spacing w:line="240" w:lineRule="auto"/>
        <w:ind w:firstLine="300" w:firstLineChars="100"/>
        <w:jc w:val="both"/>
        <w:textAlignment w:val="auto"/>
        <w:outlineLvl w:val="1"/>
        <w:rPr>
          <w:rFonts w:hint="eastAsia" w:ascii="仿宋_GB2312" w:hAnsi="仿宋_GB2312" w:eastAsia="仿宋_GB2312" w:cs="仿宋_GB2312"/>
          <w:color w:val="auto"/>
          <w:sz w:val="30"/>
          <w:szCs w:val="30"/>
          <w:highlight w:val="none"/>
          <w:lang w:val="en-US" w:eastAsia="zh-CN"/>
        </w:rPr>
      </w:pPr>
      <w:bookmarkStart w:id="113" w:name="_Toc12232"/>
      <w:r>
        <w:rPr>
          <w:rFonts w:hint="eastAsia" w:ascii="仿宋_GB2312" w:hAnsi="仿宋_GB2312" w:eastAsia="仿宋_GB2312" w:cs="仿宋_GB2312"/>
          <w:color w:val="auto"/>
          <w:sz w:val="30"/>
          <w:szCs w:val="30"/>
          <w:highlight w:val="none"/>
          <w:lang w:val="en-US" w:eastAsia="zh-CN"/>
        </w:rPr>
        <w:t>五、</w:t>
      </w:r>
      <w:bookmarkEnd w:id="113"/>
      <w:r>
        <w:rPr>
          <w:rFonts w:hint="eastAsia" w:ascii="仿宋_GB2312" w:hAnsi="仿宋_GB2312" w:eastAsia="仿宋_GB2312" w:cs="仿宋_GB2312"/>
          <w:color w:val="auto"/>
          <w:sz w:val="30"/>
          <w:szCs w:val="30"/>
          <w:highlight w:val="none"/>
          <w:lang w:val="en-US" w:eastAsia="zh-CN"/>
        </w:rPr>
        <w:t>三保能力承诺函</w:t>
      </w:r>
    </w:p>
    <w:p w14:paraId="21222E0F">
      <w:pPr>
        <w:keepNext w:val="0"/>
        <w:keepLines w:val="0"/>
        <w:pageBreakBefore w:val="0"/>
        <w:widowControl w:val="0"/>
        <w:kinsoku/>
        <w:wordWrap/>
        <w:overflowPunct/>
        <w:topLinePunct w:val="0"/>
        <w:autoSpaceDE/>
        <w:autoSpaceDN/>
        <w:bidi w:val="0"/>
        <w:adjustRightInd/>
        <w:snapToGrid/>
        <w:spacing w:line="240" w:lineRule="auto"/>
        <w:ind w:firstLine="300" w:firstLineChars="100"/>
        <w:jc w:val="both"/>
        <w:textAlignment w:val="auto"/>
        <w:outlineLvl w:val="1"/>
        <w:rPr>
          <w:rFonts w:hint="eastAsia" w:ascii="仿宋_GB2312" w:hAnsi="仿宋_GB2312" w:eastAsia="仿宋_GB2312" w:cs="仿宋_GB2312"/>
          <w:color w:val="auto"/>
          <w:sz w:val="30"/>
          <w:szCs w:val="30"/>
          <w:highlight w:val="none"/>
          <w:lang w:val="en-US" w:eastAsia="zh-CN"/>
        </w:rPr>
      </w:pPr>
      <w:bookmarkStart w:id="114" w:name="_Toc8233"/>
      <w:r>
        <w:rPr>
          <w:rFonts w:hint="eastAsia" w:ascii="仿宋_GB2312" w:hAnsi="仿宋_GB2312" w:eastAsia="仿宋_GB2312" w:cs="仿宋_GB2312"/>
          <w:color w:val="auto"/>
          <w:sz w:val="30"/>
          <w:szCs w:val="30"/>
          <w:highlight w:val="none"/>
          <w:lang w:val="en-US" w:eastAsia="zh-CN"/>
        </w:rPr>
        <w:t>六、</w:t>
      </w:r>
      <w:bookmarkEnd w:id="114"/>
      <w:r>
        <w:rPr>
          <w:rFonts w:hint="eastAsia" w:ascii="仿宋_GB2312" w:hAnsi="仿宋_GB2312" w:eastAsia="仿宋_GB2312" w:cs="仿宋_GB2312"/>
          <w:color w:val="auto"/>
          <w:sz w:val="30"/>
          <w:szCs w:val="30"/>
          <w:highlight w:val="none"/>
          <w:lang w:val="en-US" w:eastAsia="zh-CN"/>
        </w:rPr>
        <w:t>其它资料（</w:t>
      </w:r>
      <w:r>
        <w:rPr>
          <w:rFonts w:hint="eastAsia" w:ascii="宋体" w:hAnsi="宋体" w:eastAsia="宋体" w:cs="宋体"/>
          <w:i w:val="0"/>
          <w:iCs w:val="0"/>
          <w:caps w:val="0"/>
          <w:color w:val="000000"/>
          <w:spacing w:val="0"/>
          <w:sz w:val="24"/>
          <w:szCs w:val="24"/>
          <w:highlight w:val="none"/>
          <w:shd w:val="clear" w:fill="FFFFFF"/>
        </w:rPr>
        <w:t>营业执照、询价保证</w:t>
      </w:r>
      <w:r>
        <w:rPr>
          <w:rFonts w:hint="eastAsia" w:ascii="宋体" w:hAnsi="宋体" w:eastAsia="宋体" w:cs="宋体"/>
          <w:i w:val="0"/>
          <w:iCs w:val="0"/>
          <w:caps w:val="0"/>
          <w:color w:val="000000"/>
          <w:spacing w:val="0"/>
          <w:sz w:val="24"/>
          <w:szCs w:val="24"/>
          <w:highlight w:val="none"/>
          <w:shd w:val="clear" w:fill="FFFFFF"/>
          <w:lang w:val="en-US" w:eastAsia="zh-CN"/>
        </w:rPr>
        <w:t>金转账记录</w:t>
      </w:r>
      <w:r>
        <w:rPr>
          <w:rFonts w:hint="eastAsia" w:ascii="宋体" w:hAnsi="宋体" w:eastAsia="宋体" w:cs="宋体"/>
          <w:i w:val="0"/>
          <w:iCs w:val="0"/>
          <w:caps w:val="0"/>
          <w:color w:val="000000"/>
          <w:spacing w:val="0"/>
          <w:sz w:val="24"/>
          <w:szCs w:val="24"/>
          <w:highlight w:val="none"/>
          <w:shd w:val="clear" w:fill="FFFFFF"/>
        </w:rPr>
        <w:t>（如有）等资料复印件</w:t>
      </w:r>
      <w:r>
        <w:rPr>
          <w:rFonts w:hint="eastAsia" w:ascii="仿宋_GB2312" w:hAnsi="仿宋_GB2312" w:eastAsia="仿宋_GB2312" w:cs="仿宋_GB2312"/>
          <w:color w:val="auto"/>
          <w:sz w:val="30"/>
          <w:szCs w:val="30"/>
          <w:highlight w:val="none"/>
          <w:lang w:val="en-US" w:eastAsia="zh-CN"/>
        </w:rPr>
        <w:t>）</w:t>
      </w:r>
    </w:p>
    <w:p w14:paraId="377480B5">
      <w:pPr>
        <w:pStyle w:val="5"/>
        <w:rPr>
          <w:rFonts w:hint="eastAsia"/>
          <w:color w:val="auto"/>
          <w:highlight w:val="none"/>
          <w:lang w:val="en-US" w:eastAsia="zh-CN"/>
        </w:rPr>
      </w:pPr>
    </w:p>
    <w:p w14:paraId="770522E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36E35A6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5FE304F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2C70662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73D0A34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594623A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49E0DA8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0BAE0AF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4C36B1E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7E00D7B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537BC5B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p>
    <w:p w14:paraId="600758E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bookmarkStart w:id="115" w:name="_Toc32557"/>
      <w:r>
        <w:rPr>
          <w:rFonts w:hint="eastAsia" w:ascii="黑体" w:hAnsi="黑体" w:eastAsia="黑体" w:cs="黑体"/>
          <w:b/>
          <w:bCs w:val="0"/>
          <w:color w:val="auto"/>
          <w:sz w:val="32"/>
          <w:szCs w:val="32"/>
          <w:highlight w:val="none"/>
          <w:lang w:val="en-US" w:eastAsia="zh-CN"/>
        </w:rPr>
        <w:t>一、授权委托书</w:t>
      </w:r>
      <w:bookmarkEnd w:id="81"/>
      <w:bookmarkEnd w:id="82"/>
      <w:bookmarkEnd w:id="83"/>
      <w:bookmarkEnd w:id="115"/>
    </w:p>
    <w:p w14:paraId="2BA24476">
      <w:pPr>
        <w:pStyle w:val="9"/>
        <w:spacing w:line="420" w:lineRule="exact"/>
        <w:rPr>
          <w:rFonts w:hint="eastAsia" w:ascii="仿宋_GB2312" w:hAnsi="仿宋_GB2312" w:eastAsia="仿宋_GB2312" w:cs="仿宋_GB2312"/>
          <w:color w:val="auto"/>
          <w:sz w:val="24"/>
          <w:szCs w:val="24"/>
          <w:highlight w:val="none"/>
        </w:rPr>
      </w:pPr>
    </w:p>
    <w:p w14:paraId="3A166F5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本人</w:t>
      </w:r>
      <w:r>
        <w:rPr>
          <w:rFonts w:hint="eastAsia" w:ascii="仿宋_GB2312" w:hAnsi="仿宋_GB2312" w:eastAsia="仿宋_GB2312" w:cs="仿宋_GB2312"/>
          <w:color w:val="auto"/>
          <w:sz w:val="28"/>
          <w:szCs w:val="28"/>
          <w:highlight w:val="none"/>
          <w:u w:val="single"/>
          <w:lang w:val="en-US" w:eastAsia="zh-CN"/>
        </w:rPr>
        <w:t xml:space="preserve">  （姓名）  </w:t>
      </w:r>
      <w:r>
        <w:rPr>
          <w:rFonts w:hint="eastAsia" w:ascii="仿宋_GB2312" w:hAnsi="仿宋_GB2312" w:eastAsia="仿宋_GB2312" w:cs="仿宋_GB2312"/>
          <w:color w:val="auto"/>
          <w:sz w:val="28"/>
          <w:szCs w:val="28"/>
          <w:highlight w:val="none"/>
          <w:lang w:val="en-US" w:eastAsia="zh-CN"/>
        </w:rPr>
        <w:t>系</w:t>
      </w:r>
      <w:r>
        <w:rPr>
          <w:rFonts w:hint="eastAsia" w:ascii="仿宋_GB2312" w:hAnsi="仿宋_GB2312" w:eastAsia="仿宋_GB2312" w:cs="仿宋_GB2312"/>
          <w:color w:val="auto"/>
          <w:sz w:val="28"/>
          <w:szCs w:val="28"/>
          <w:highlight w:val="none"/>
          <w:u w:val="single"/>
          <w:lang w:val="en-US" w:eastAsia="zh-CN"/>
        </w:rPr>
        <w:t xml:space="preserve">  （报价人名称）    </w:t>
      </w:r>
      <w:r>
        <w:rPr>
          <w:rFonts w:hint="eastAsia" w:ascii="仿宋_GB2312" w:hAnsi="仿宋_GB2312" w:eastAsia="仿宋_GB2312" w:cs="仿宋_GB2312"/>
          <w:color w:val="auto"/>
          <w:sz w:val="28"/>
          <w:szCs w:val="28"/>
          <w:highlight w:val="none"/>
          <w:lang w:val="en-US" w:eastAsia="zh-CN"/>
        </w:rPr>
        <w:t>的法定代表人/单位负责人，现委托</w:t>
      </w:r>
      <w:r>
        <w:rPr>
          <w:rFonts w:hint="eastAsia" w:ascii="仿宋_GB2312" w:hAnsi="仿宋_GB2312" w:eastAsia="仿宋_GB2312" w:cs="仿宋_GB2312"/>
          <w:color w:val="auto"/>
          <w:sz w:val="28"/>
          <w:szCs w:val="28"/>
          <w:highlight w:val="none"/>
          <w:u w:val="single"/>
          <w:lang w:val="en-US" w:eastAsia="zh-CN"/>
        </w:rPr>
        <w:t xml:space="preserve">  （姓名）  </w:t>
      </w:r>
      <w:r>
        <w:rPr>
          <w:rFonts w:hint="eastAsia" w:ascii="仿宋_GB2312" w:hAnsi="仿宋_GB2312" w:eastAsia="仿宋_GB2312" w:cs="仿宋_GB2312"/>
          <w:color w:val="auto"/>
          <w:sz w:val="28"/>
          <w:szCs w:val="28"/>
          <w:highlight w:val="none"/>
          <w:lang w:val="en-US" w:eastAsia="zh-CN"/>
        </w:rPr>
        <w:t>为我方代理人。代理人根据授权，以我方名义签署、澄清、确认、递交、撤回、修改</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30"/>
          <w:szCs w:val="30"/>
          <w:highlight w:val="none"/>
          <w:u w:val="single"/>
          <w:lang w:val="en-US" w:eastAsia="zh-CN"/>
        </w:rPr>
        <w:t>赣州市交通投资集团</w:t>
      </w:r>
      <w:r>
        <w:rPr>
          <w:rFonts w:hint="eastAsia" w:ascii="仿宋_GB2312" w:hAnsi="仿宋_GB2312" w:eastAsia="仿宋_GB2312" w:cs="仿宋_GB2312"/>
          <w:color w:val="auto"/>
          <w:sz w:val="30"/>
          <w:szCs w:val="30"/>
          <w:highlight w:val="none"/>
          <w:u w:val="single"/>
          <w:lang w:eastAsia="zh-CN"/>
        </w:rPr>
        <w:t>有限</w:t>
      </w:r>
      <w:r>
        <w:rPr>
          <w:rFonts w:hint="eastAsia" w:ascii="仿宋_GB2312" w:hAnsi="仿宋_GB2312" w:eastAsia="仿宋_GB2312" w:cs="仿宋_GB2312"/>
          <w:color w:val="auto"/>
          <w:sz w:val="30"/>
          <w:szCs w:val="30"/>
          <w:highlight w:val="none"/>
          <w:u w:val="single"/>
          <w:lang w:val="en-US" w:eastAsia="zh-CN"/>
        </w:rPr>
        <w:t>责任</w:t>
      </w:r>
      <w:r>
        <w:rPr>
          <w:rFonts w:hint="eastAsia" w:ascii="仿宋_GB2312" w:hAnsi="仿宋_GB2312" w:eastAsia="仿宋_GB2312" w:cs="仿宋_GB2312"/>
          <w:color w:val="auto"/>
          <w:sz w:val="30"/>
          <w:szCs w:val="30"/>
          <w:highlight w:val="none"/>
          <w:u w:val="single"/>
          <w:lang w:eastAsia="zh-CN"/>
        </w:rPr>
        <w:t>公司</w:t>
      </w:r>
      <w:r>
        <w:rPr>
          <w:rFonts w:hint="eastAsia" w:ascii="仿宋_GB2312" w:hAnsi="仿宋_GB2312" w:eastAsia="仿宋_GB2312" w:cs="仿宋_GB2312"/>
          <w:color w:val="auto"/>
          <w:sz w:val="30"/>
          <w:szCs w:val="30"/>
          <w:highlight w:val="none"/>
          <w:u w:val="single"/>
          <w:lang w:val="en-US" w:eastAsia="zh-CN"/>
        </w:rPr>
        <w:t>2026-2027年度</w:t>
      </w:r>
      <w:r>
        <w:rPr>
          <w:rFonts w:hint="eastAsia" w:ascii="仿宋_GB2312" w:hAnsi="仿宋_GB2312" w:eastAsia="仿宋_GB2312" w:cs="仿宋_GB2312"/>
          <w:color w:val="auto"/>
          <w:sz w:val="30"/>
          <w:szCs w:val="30"/>
          <w:highlight w:val="none"/>
          <w:u w:val="single"/>
          <w:lang w:eastAsia="zh-CN"/>
        </w:rPr>
        <w:t>沥青</w:t>
      </w:r>
      <w:r>
        <w:rPr>
          <w:rFonts w:hint="eastAsia" w:ascii="仿宋_GB2312" w:hAnsi="仿宋_GB2312" w:eastAsia="仿宋_GB2312" w:cs="仿宋_GB2312"/>
          <w:color w:val="auto"/>
          <w:sz w:val="30"/>
          <w:szCs w:val="30"/>
          <w:highlight w:val="none"/>
          <w:u w:val="single"/>
          <w:lang w:val="en-US" w:eastAsia="zh-CN"/>
        </w:rPr>
        <w:t>采购项目</w:t>
      </w:r>
      <w:r>
        <w:rPr>
          <w:rFonts w:hint="eastAsia" w:ascii="仿宋_GB2312" w:hAnsi="仿宋_GB2312" w:eastAsia="仿宋_GB2312" w:cs="仿宋_GB2312"/>
          <w:color w:val="auto"/>
          <w:sz w:val="28"/>
          <w:szCs w:val="28"/>
          <w:highlight w:val="none"/>
          <w:lang w:val="en-US" w:eastAsia="zh-CN"/>
        </w:rPr>
        <w:t>报价文件、签订合同和处理有关事宜，其法律后果由我方承担。</w:t>
      </w:r>
    </w:p>
    <w:p w14:paraId="3965B40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委托期限：</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年</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月</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日至</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年</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月</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日。</w:t>
      </w:r>
    </w:p>
    <w:p w14:paraId="0FA3E6F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代理人无转委托权。</w:t>
      </w:r>
    </w:p>
    <w:p w14:paraId="526F6CB1">
      <w:pPr>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附：法定代表人/单位负责人身份证复印件及委托代理人身份证复印件，并加盖公章。</w:t>
      </w:r>
    </w:p>
    <w:p w14:paraId="635DFC46">
      <w:pPr>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_GB2312" w:hAnsi="仿宋_GB2312" w:eastAsia="仿宋_GB2312" w:cs="仿宋_GB2312"/>
          <w:color w:val="auto"/>
          <w:sz w:val="28"/>
          <w:szCs w:val="28"/>
          <w:highlight w:val="none"/>
        </w:rPr>
      </w:pPr>
    </w:p>
    <w:p w14:paraId="053E077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注：本授权委托书需由报价人加盖单位公章并由其法定代表人/单位负责人签字。</w:t>
      </w:r>
    </w:p>
    <w:p w14:paraId="14A8DF09">
      <w:pPr>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_GB2312" w:hAnsi="仿宋_GB2312" w:eastAsia="仿宋_GB2312" w:cs="仿宋_GB2312"/>
          <w:color w:val="auto"/>
          <w:sz w:val="28"/>
          <w:szCs w:val="28"/>
          <w:highlight w:val="none"/>
        </w:rPr>
      </w:pPr>
    </w:p>
    <w:p w14:paraId="4E8E0DA7">
      <w:pPr>
        <w:keepNext w:val="0"/>
        <w:keepLines w:val="0"/>
        <w:pageBreakBefore w:val="0"/>
        <w:widowControl w:val="0"/>
        <w:kinsoku/>
        <w:wordWrap/>
        <w:overflowPunct/>
        <w:topLinePunct w:val="0"/>
        <w:autoSpaceDE/>
        <w:autoSpaceDN/>
        <w:bidi w:val="0"/>
        <w:adjustRightInd/>
        <w:snapToGrid/>
        <w:spacing w:line="500" w:lineRule="exact"/>
        <w:ind w:firstLine="1960" w:firstLineChars="700"/>
        <w:jc w:val="both"/>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报价人（单位公章）：</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 xml:space="preserve"> </w:t>
      </w:r>
    </w:p>
    <w:p w14:paraId="160A6FA8">
      <w:pPr>
        <w:keepNext w:val="0"/>
        <w:keepLines w:val="0"/>
        <w:pageBreakBefore w:val="0"/>
        <w:widowControl w:val="0"/>
        <w:kinsoku/>
        <w:wordWrap/>
        <w:overflowPunct/>
        <w:topLinePunct w:val="0"/>
        <w:autoSpaceDE/>
        <w:autoSpaceDN/>
        <w:bidi w:val="0"/>
        <w:adjustRightInd/>
        <w:snapToGrid/>
        <w:spacing w:line="500" w:lineRule="exact"/>
        <w:ind w:firstLine="1960" w:firstLineChars="700"/>
        <w:jc w:val="both"/>
        <w:textAlignment w:val="auto"/>
        <w:rPr>
          <w:rFonts w:hint="default"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法定代表人/单位负责人（签字）：</w:t>
      </w:r>
      <w:r>
        <w:rPr>
          <w:rFonts w:hint="eastAsia" w:ascii="仿宋_GB2312" w:hAnsi="仿宋_GB2312" w:eastAsia="仿宋_GB2312" w:cs="仿宋_GB2312"/>
          <w:color w:val="auto"/>
          <w:sz w:val="28"/>
          <w:szCs w:val="28"/>
          <w:highlight w:val="none"/>
          <w:u w:val="single"/>
          <w:lang w:val="en-US" w:eastAsia="zh-CN"/>
        </w:rPr>
        <w:t xml:space="preserve">              </w:t>
      </w:r>
    </w:p>
    <w:p w14:paraId="39B04315">
      <w:pPr>
        <w:keepNext w:val="0"/>
        <w:keepLines w:val="0"/>
        <w:pageBreakBefore w:val="0"/>
        <w:widowControl w:val="0"/>
        <w:kinsoku/>
        <w:wordWrap/>
        <w:overflowPunct/>
        <w:topLinePunct w:val="0"/>
        <w:autoSpaceDE/>
        <w:autoSpaceDN/>
        <w:bidi w:val="0"/>
        <w:adjustRightInd/>
        <w:snapToGrid/>
        <w:spacing w:line="500" w:lineRule="exact"/>
        <w:ind w:firstLine="1960" w:firstLineChars="700"/>
        <w:jc w:val="both"/>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委托代理人（签字）：</w:t>
      </w:r>
      <w:r>
        <w:rPr>
          <w:rFonts w:hint="eastAsia" w:ascii="仿宋_GB2312" w:hAnsi="仿宋_GB2312" w:eastAsia="仿宋_GB2312" w:cs="仿宋_GB2312"/>
          <w:color w:val="auto"/>
          <w:sz w:val="28"/>
          <w:szCs w:val="28"/>
          <w:highlight w:val="none"/>
          <w:u w:val="single"/>
          <w:lang w:val="en-US" w:eastAsia="zh-CN"/>
        </w:rPr>
        <w:t xml:space="preserve">                         </w:t>
      </w:r>
    </w:p>
    <w:p w14:paraId="32D1A4E9">
      <w:pPr>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日</w:t>
      </w:r>
    </w:p>
    <w:p w14:paraId="30AC3068">
      <w:pPr>
        <w:pStyle w:val="2"/>
        <w:rPr>
          <w:rFonts w:hint="eastAsia"/>
          <w:color w:val="auto"/>
          <w:highlight w:val="none"/>
        </w:rPr>
      </w:pPr>
    </w:p>
    <w:p w14:paraId="57BBB9B9">
      <w:pPr>
        <w:keepNext w:val="0"/>
        <w:keepLines w:val="0"/>
        <w:pageBreakBefore w:val="0"/>
        <w:widowControl w:val="0"/>
        <w:kinsoku/>
        <w:wordWrap/>
        <w:overflowPunct/>
        <w:topLinePunct w:val="0"/>
        <w:autoSpaceDE/>
        <w:autoSpaceDN/>
        <w:bidi w:val="0"/>
        <w:adjustRightInd/>
        <w:snapToGrid/>
        <w:spacing w:line="460" w:lineRule="exact"/>
        <w:ind w:firstLine="480"/>
        <w:jc w:val="both"/>
        <w:textAlignment w:val="auto"/>
        <w:rPr>
          <w:rFonts w:hint="eastAsia" w:asciiTheme="minorEastAsia" w:hAnsiTheme="minorEastAsia" w:eastAsiaTheme="minorEastAsia" w:cstheme="minorEastAsia"/>
          <w:b/>
          <w:bCs/>
          <w:color w:val="auto"/>
          <w:sz w:val="24"/>
          <w:szCs w:val="24"/>
          <w:highlight w:val="none"/>
        </w:rPr>
      </w:pPr>
    </w:p>
    <w:p w14:paraId="593D4233">
      <w:pPr>
        <w:pStyle w:val="2"/>
        <w:rPr>
          <w:rFonts w:hint="eastAsia"/>
          <w:color w:val="auto"/>
          <w:highlight w:val="none"/>
        </w:rPr>
      </w:pPr>
    </w:p>
    <w:p w14:paraId="4B0FB791">
      <w:pPr>
        <w:keepNext w:val="0"/>
        <w:keepLines w:val="0"/>
        <w:pageBreakBefore w:val="0"/>
        <w:widowControl w:val="0"/>
        <w:kinsoku/>
        <w:wordWrap/>
        <w:overflowPunct/>
        <w:topLinePunct w:val="0"/>
        <w:autoSpaceDE/>
        <w:autoSpaceDN/>
        <w:bidi w:val="0"/>
        <w:adjustRightInd/>
        <w:snapToGrid/>
        <w:spacing w:line="460" w:lineRule="exact"/>
        <w:ind w:firstLine="480"/>
        <w:jc w:val="both"/>
        <w:textAlignment w:val="auto"/>
        <w:rPr>
          <w:rFonts w:hint="eastAsia" w:asciiTheme="minorEastAsia" w:hAnsiTheme="minorEastAsia" w:eastAsiaTheme="minorEastAsia" w:cstheme="minorEastAsia"/>
          <w:b/>
          <w:bCs/>
          <w:color w:val="auto"/>
          <w:sz w:val="24"/>
          <w:szCs w:val="24"/>
          <w:highlight w:val="none"/>
        </w:rPr>
      </w:pPr>
    </w:p>
    <w:p w14:paraId="1E607ED3">
      <w:pPr>
        <w:keepNext w:val="0"/>
        <w:keepLines w:val="0"/>
        <w:pageBreakBefore w:val="0"/>
        <w:widowControl w:val="0"/>
        <w:kinsoku/>
        <w:wordWrap/>
        <w:overflowPunct/>
        <w:topLinePunct w:val="0"/>
        <w:autoSpaceDE/>
        <w:autoSpaceDN/>
        <w:bidi w:val="0"/>
        <w:adjustRightInd/>
        <w:snapToGrid/>
        <w:spacing w:line="460" w:lineRule="exact"/>
        <w:ind w:firstLine="48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注：如报价人法定代表人/单位负责人参加采购行为，只需附其身份证复印件、法人代表相关证明等复印件并加盖单位公章。</w:t>
      </w:r>
    </w:p>
    <w:p w14:paraId="3F2DAA2A">
      <w:pPr>
        <w:pStyle w:val="2"/>
        <w:rPr>
          <w:rFonts w:hint="eastAsia"/>
          <w:color w:val="auto"/>
          <w:highlight w:val="none"/>
        </w:rPr>
      </w:pPr>
    </w:p>
    <w:p w14:paraId="3CFF8F0B">
      <w:pPr>
        <w:rPr>
          <w:rFonts w:hint="eastAsia" w:ascii="仿宋_GB2312" w:hAnsi="仿宋_GB2312" w:eastAsia="仿宋_GB2312" w:cs="仿宋_GB2312"/>
          <w:color w:val="auto"/>
          <w:highlight w:val="none"/>
        </w:rPr>
      </w:pPr>
      <w:bookmarkStart w:id="116" w:name="_Toc7050"/>
    </w:p>
    <w:p w14:paraId="0A08A920">
      <w:pPr>
        <w:spacing w:line="420" w:lineRule="exact"/>
        <w:jc w:val="center"/>
        <w:outlineLvl w:val="1"/>
        <w:rPr>
          <w:rFonts w:hint="eastAsia" w:ascii="黑体" w:hAnsi="黑体" w:eastAsia="黑体" w:cs="黑体"/>
          <w:b/>
          <w:bCs w:val="0"/>
          <w:color w:val="auto"/>
          <w:sz w:val="32"/>
          <w:szCs w:val="32"/>
          <w:highlight w:val="none"/>
          <w:lang w:val="en-US" w:eastAsia="zh-CN"/>
        </w:rPr>
      </w:pPr>
      <w:bookmarkStart w:id="117" w:name="_Toc23347"/>
    </w:p>
    <w:bookmarkEnd w:id="117"/>
    <w:p w14:paraId="43E0298D">
      <w:pPr>
        <w:spacing w:line="420" w:lineRule="exact"/>
        <w:jc w:val="center"/>
        <w:outlineLvl w:val="1"/>
        <w:rPr>
          <w:rFonts w:hint="eastAsia" w:ascii="黑体" w:hAnsi="黑体" w:eastAsia="黑体" w:cs="黑体"/>
          <w:b/>
          <w:bCs w:val="0"/>
          <w:color w:val="auto"/>
          <w:sz w:val="32"/>
          <w:szCs w:val="32"/>
          <w:highlight w:val="none"/>
          <w:lang w:val="en-US" w:eastAsia="zh-CN"/>
        </w:rPr>
      </w:pPr>
      <w:bookmarkStart w:id="118" w:name="_Toc414"/>
    </w:p>
    <w:p w14:paraId="6C524729">
      <w:pPr>
        <w:spacing w:line="420" w:lineRule="exact"/>
        <w:jc w:val="center"/>
        <w:outlineLvl w:val="1"/>
        <w:rPr>
          <w:rFonts w:hint="eastAsia" w:ascii="黑体" w:hAnsi="黑体" w:eastAsia="黑体" w:cs="黑体"/>
          <w:b/>
          <w:bCs w:val="0"/>
          <w:color w:val="auto"/>
          <w:sz w:val="32"/>
          <w:szCs w:val="32"/>
          <w:highlight w:val="none"/>
          <w:lang w:val="en-US" w:eastAsia="zh-CN"/>
        </w:rPr>
      </w:pPr>
      <w:r>
        <w:rPr>
          <w:rFonts w:hint="eastAsia" w:ascii="黑体" w:hAnsi="黑体" w:eastAsia="黑体" w:cs="黑体"/>
          <w:b/>
          <w:bCs w:val="0"/>
          <w:color w:val="auto"/>
          <w:sz w:val="32"/>
          <w:szCs w:val="32"/>
          <w:highlight w:val="none"/>
          <w:lang w:val="en-US" w:eastAsia="zh-CN"/>
        </w:rPr>
        <w:t>二、报价</w:t>
      </w:r>
      <w:bookmarkEnd w:id="116"/>
      <w:r>
        <w:rPr>
          <w:rFonts w:hint="eastAsia" w:ascii="黑体" w:hAnsi="黑体" w:eastAsia="黑体" w:cs="黑体"/>
          <w:b/>
          <w:bCs w:val="0"/>
          <w:color w:val="auto"/>
          <w:sz w:val="32"/>
          <w:szCs w:val="32"/>
          <w:highlight w:val="none"/>
          <w:lang w:val="en-US" w:eastAsia="zh-CN"/>
        </w:rPr>
        <w:t>函</w:t>
      </w:r>
      <w:bookmarkEnd w:id="118"/>
    </w:p>
    <w:p w14:paraId="391BE91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18030" w:hAnsi="方正仿宋_GB18030" w:eastAsia="方正仿宋_GB18030" w:cs="方正仿宋_GB18030"/>
          <w:color w:val="auto"/>
          <w:sz w:val="28"/>
          <w:szCs w:val="28"/>
          <w:highlight w:val="none"/>
          <w:lang w:val="en-US" w:eastAsia="zh-CN"/>
        </w:rPr>
      </w:pPr>
      <w:bookmarkStart w:id="119" w:name="_Toc32415"/>
    </w:p>
    <w:p w14:paraId="6130BDE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18030" w:hAnsi="方正仿宋_GB18030" w:eastAsia="方正仿宋_GB18030" w:cs="方正仿宋_GB18030"/>
          <w:color w:val="auto"/>
          <w:sz w:val="28"/>
          <w:szCs w:val="28"/>
          <w:highlight w:val="none"/>
          <w:lang w:val="en-US" w:eastAsia="zh-CN"/>
        </w:rPr>
      </w:pPr>
      <w:r>
        <w:rPr>
          <w:rFonts w:hint="eastAsia" w:ascii="方正仿宋_GB18030" w:hAnsi="方正仿宋_GB18030" w:eastAsia="方正仿宋_GB18030" w:cs="方正仿宋_GB18030"/>
          <w:color w:val="auto"/>
          <w:sz w:val="28"/>
          <w:szCs w:val="28"/>
          <w:highlight w:val="none"/>
          <w:lang w:val="en-US" w:eastAsia="zh-CN"/>
        </w:rPr>
        <w:t>致：赣州市交通投资集团有限责任公司</w:t>
      </w:r>
      <w:bookmarkEnd w:id="119"/>
    </w:p>
    <w:p w14:paraId="5083557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18030" w:hAnsi="方正仿宋_GB18030" w:eastAsia="方正仿宋_GB18030" w:cs="方正仿宋_GB18030"/>
          <w:color w:val="auto"/>
          <w:sz w:val="28"/>
          <w:szCs w:val="28"/>
          <w:highlight w:val="none"/>
        </w:rPr>
      </w:pPr>
      <w:r>
        <w:rPr>
          <w:rFonts w:hint="eastAsia" w:ascii="方正仿宋_GB18030" w:hAnsi="方正仿宋_GB18030" w:eastAsia="方正仿宋_GB18030" w:cs="方正仿宋_GB18030"/>
          <w:color w:val="auto"/>
          <w:sz w:val="28"/>
          <w:szCs w:val="28"/>
          <w:highlight w:val="none"/>
        </w:rPr>
        <w:t>经研究，我方同意</w:t>
      </w:r>
      <w:r>
        <w:rPr>
          <w:rFonts w:hint="eastAsia" w:ascii="方正仿宋_GB18030" w:hAnsi="方正仿宋_GB18030" w:eastAsia="方正仿宋_GB18030" w:cs="方正仿宋_GB18030"/>
          <w:color w:val="auto"/>
          <w:sz w:val="28"/>
          <w:szCs w:val="28"/>
          <w:highlight w:val="none"/>
          <w:u w:val="single"/>
        </w:rPr>
        <w:t>《</w:t>
      </w:r>
      <w:r>
        <w:rPr>
          <w:rFonts w:hint="eastAsia" w:ascii="仿宋_GB2312" w:hAnsi="仿宋_GB2312" w:eastAsia="仿宋_GB2312" w:cs="仿宋_GB2312"/>
          <w:color w:val="auto"/>
          <w:sz w:val="28"/>
          <w:szCs w:val="28"/>
          <w:highlight w:val="none"/>
          <w:u w:val="single"/>
          <w:lang w:val="en-US" w:eastAsia="zh-CN"/>
        </w:rPr>
        <w:t xml:space="preserve"> 赣州市交通投资集团</w:t>
      </w:r>
      <w:r>
        <w:rPr>
          <w:rFonts w:hint="eastAsia" w:ascii="仿宋_GB2312" w:hAnsi="仿宋_GB2312" w:eastAsia="仿宋_GB2312" w:cs="仿宋_GB2312"/>
          <w:color w:val="auto"/>
          <w:sz w:val="28"/>
          <w:szCs w:val="28"/>
          <w:highlight w:val="none"/>
          <w:u w:val="single"/>
          <w:lang w:eastAsia="zh-CN"/>
        </w:rPr>
        <w:t>有限</w:t>
      </w:r>
      <w:r>
        <w:rPr>
          <w:rFonts w:hint="eastAsia" w:ascii="仿宋_GB2312" w:hAnsi="仿宋_GB2312" w:eastAsia="仿宋_GB2312" w:cs="仿宋_GB2312"/>
          <w:color w:val="auto"/>
          <w:sz w:val="28"/>
          <w:szCs w:val="28"/>
          <w:highlight w:val="none"/>
          <w:u w:val="single"/>
          <w:lang w:val="en-US" w:eastAsia="zh-CN"/>
        </w:rPr>
        <w:t>责任</w:t>
      </w:r>
      <w:r>
        <w:rPr>
          <w:rFonts w:hint="eastAsia" w:ascii="仿宋_GB2312" w:hAnsi="仿宋_GB2312" w:eastAsia="仿宋_GB2312" w:cs="仿宋_GB2312"/>
          <w:color w:val="auto"/>
          <w:sz w:val="28"/>
          <w:szCs w:val="28"/>
          <w:highlight w:val="none"/>
          <w:u w:val="single"/>
          <w:lang w:eastAsia="zh-CN"/>
        </w:rPr>
        <w:t>公司</w:t>
      </w:r>
      <w:r>
        <w:rPr>
          <w:rFonts w:hint="eastAsia" w:ascii="仿宋_GB2312" w:hAnsi="仿宋_GB2312" w:eastAsia="仿宋_GB2312" w:cs="仿宋_GB2312"/>
          <w:color w:val="auto"/>
          <w:sz w:val="28"/>
          <w:szCs w:val="28"/>
          <w:highlight w:val="none"/>
          <w:u w:val="single"/>
          <w:lang w:val="en-US" w:eastAsia="zh-CN"/>
        </w:rPr>
        <w:t>2026-2027年度</w:t>
      </w:r>
      <w:r>
        <w:rPr>
          <w:rFonts w:hint="eastAsia" w:ascii="仿宋_GB2312" w:hAnsi="仿宋_GB2312" w:eastAsia="仿宋_GB2312" w:cs="仿宋_GB2312"/>
          <w:color w:val="auto"/>
          <w:sz w:val="28"/>
          <w:szCs w:val="28"/>
          <w:highlight w:val="none"/>
          <w:u w:val="single"/>
          <w:lang w:eastAsia="zh-CN"/>
        </w:rPr>
        <w:t>沥青</w:t>
      </w:r>
      <w:r>
        <w:rPr>
          <w:rFonts w:hint="eastAsia" w:ascii="仿宋_GB2312" w:hAnsi="仿宋_GB2312" w:eastAsia="仿宋_GB2312" w:cs="仿宋_GB2312"/>
          <w:color w:val="auto"/>
          <w:sz w:val="28"/>
          <w:szCs w:val="28"/>
          <w:highlight w:val="none"/>
          <w:u w:val="single"/>
          <w:lang w:val="en-US" w:eastAsia="zh-CN"/>
        </w:rPr>
        <w:t>采购项目</w:t>
      </w:r>
      <w:r>
        <w:rPr>
          <w:rFonts w:hint="eastAsia" w:ascii="方正仿宋_GB18030" w:hAnsi="方正仿宋_GB18030" w:eastAsia="方正仿宋_GB18030" w:cs="方正仿宋_GB18030"/>
          <w:color w:val="auto"/>
          <w:sz w:val="28"/>
          <w:szCs w:val="28"/>
          <w:highlight w:val="none"/>
          <w:u w:val="single"/>
        </w:rPr>
        <w:t>》</w:t>
      </w:r>
      <w:r>
        <w:rPr>
          <w:rFonts w:hint="eastAsia" w:ascii="方正仿宋_GB18030" w:hAnsi="方正仿宋_GB18030" w:eastAsia="方正仿宋_GB18030" w:cs="方正仿宋_GB18030"/>
          <w:color w:val="auto"/>
          <w:sz w:val="28"/>
          <w:szCs w:val="28"/>
          <w:highlight w:val="none"/>
          <w:u w:val="none"/>
          <w:lang w:val="en-US" w:eastAsia="zh-CN"/>
        </w:rPr>
        <w:t>询价文件</w:t>
      </w:r>
      <w:r>
        <w:rPr>
          <w:rFonts w:hint="eastAsia" w:ascii="方正仿宋_GB18030" w:hAnsi="方正仿宋_GB18030" w:eastAsia="方正仿宋_GB18030" w:cs="方正仿宋_GB18030"/>
          <w:color w:val="auto"/>
          <w:sz w:val="28"/>
          <w:szCs w:val="28"/>
          <w:highlight w:val="none"/>
        </w:rPr>
        <w:t>的所有内容及条款并就上述内容进行报价，完成贵公司规定的所有工作内容。</w:t>
      </w:r>
    </w:p>
    <w:p w14:paraId="05A54C9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18030" w:hAnsi="方正仿宋_GB18030" w:eastAsia="方正仿宋_GB18030" w:cs="方正仿宋_GB18030"/>
          <w:color w:val="auto"/>
          <w:sz w:val="28"/>
          <w:szCs w:val="28"/>
          <w:highlight w:val="none"/>
          <w:u w:val="single"/>
          <w:lang w:val="en-US" w:eastAsia="zh-CN"/>
        </w:rPr>
      </w:pPr>
      <w:r>
        <w:rPr>
          <w:rFonts w:hint="eastAsia" w:ascii="方正仿宋_GB18030" w:hAnsi="方正仿宋_GB18030" w:eastAsia="方正仿宋_GB18030" w:cs="方正仿宋_GB18030"/>
          <w:color w:val="auto"/>
          <w:sz w:val="28"/>
          <w:szCs w:val="28"/>
          <w:highlight w:val="none"/>
        </w:rPr>
        <w:t>根据分析计算，我方愿以总价人民币</w:t>
      </w:r>
      <w:r>
        <w:rPr>
          <w:rFonts w:hint="eastAsia" w:ascii="方正仿宋_GB18030" w:hAnsi="方正仿宋_GB18030" w:eastAsia="方正仿宋_GB18030" w:cs="方正仿宋_GB18030"/>
          <w:color w:val="auto"/>
          <w:sz w:val="28"/>
          <w:szCs w:val="28"/>
          <w:highlight w:val="none"/>
          <w:lang w:eastAsia="zh-CN"/>
        </w:rPr>
        <w:t>（</w:t>
      </w:r>
      <w:r>
        <w:rPr>
          <w:rFonts w:hint="eastAsia" w:ascii="方正仿宋_GB18030" w:hAnsi="方正仿宋_GB18030" w:eastAsia="方正仿宋_GB18030" w:cs="方正仿宋_GB18030"/>
          <w:color w:val="auto"/>
          <w:sz w:val="28"/>
          <w:szCs w:val="28"/>
          <w:highlight w:val="none"/>
        </w:rPr>
        <w:t>大写</w:t>
      </w:r>
      <w:r>
        <w:rPr>
          <w:rFonts w:hint="eastAsia" w:ascii="方正仿宋_GB18030" w:hAnsi="方正仿宋_GB18030" w:eastAsia="方正仿宋_GB18030" w:cs="方正仿宋_GB18030"/>
          <w:color w:val="auto"/>
          <w:sz w:val="28"/>
          <w:szCs w:val="28"/>
          <w:highlight w:val="none"/>
          <w:lang w:eastAsia="zh-CN"/>
        </w:rPr>
        <w:t>）</w:t>
      </w:r>
      <w:r>
        <w:rPr>
          <w:rFonts w:hint="eastAsia" w:ascii="方正仿宋_GB18030" w:hAnsi="方正仿宋_GB18030" w:eastAsia="方正仿宋_GB18030" w:cs="方正仿宋_GB18030"/>
          <w:color w:val="auto"/>
          <w:sz w:val="28"/>
          <w:szCs w:val="28"/>
          <w:highlight w:val="none"/>
          <w:u w:val="single"/>
          <w:lang w:val="en-US" w:eastAsia="zh-CN"/>
        </w:rPr>
        <w:t xml:space="preserve">                  </w:t>
      </w:r>
    </w:p>
    <w:p w14:paraId="07651FF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方正仿宋_GB18030" w:hAnsi="方正仿宋_GB18030" w:eastAsia="方正仿宋_GB18030" w:cs="方正仿宋_GB18030"/>
          <w:color w:val="auto"/>
          <w:sz w:val="28"/>
          <w:szCs w:val="28"/>
          <w:highlight w:val="none"/>
          <w:lang w:val="en-US" w:eastAsia="zh-CN"/>
        </w:rPr>
      </w:pPr>
      <w:r>
        <w:rPr>
          <w:rFonts w:hint="eastAsia" w:ascii="方正仿宋_GB18030" w:hAnsi="方正仿宋_GB18030" w:eastAsia="方正仿宋_GB18030" w:cs="方正仿宋_GB18030"/>
          <w:b w:val="0"/>
          <w:bCs w:val="0"/>
          <w:color w:val="auto"/>
          <w:sz w:val="28"/>
          <w:szCs w:val="28"/>
          <w:highlight w:val="none"/>
          <w:u w:val="single"/>
          <w:lang w:val="en-US" w:eastAsia="zh-CN"/>
        </w:rPr>
        <w:t>（¥</w:t>
      </w:r>
      <w:r>
        <w:rPr>
          <w:rFonts w:hint="eastAsia" w:ascii="仿宋_GB2312" w:hAnsi="仿宋_GB2312" w:eastAsia="仿宋_GB2312" w:cs="仿宋_GB2312"/>
          <w:b w:val="0"/>
          <w:bCs w:val="0"/>
          <w:color w:val="auto"/>
          <w:sz w:val="28"/>
          <w:szCs w:val="28"/>
          <w:highlight w:val="none"/>
          <w:u w:val="single"/>
        </w:rPr>
        <w:t xml:space="preserve">              </w:t>
      </w:r>
      <w:r>
        <w:rPr>
          <w:rFonts w:hint="eastAsia" w:ascii="方正仿宋_GB18030" w:hAnsi="方正仿宋_GB18030" w:eastAsia="方正仿宋_GB18030" w:cs="方正仿宋_GB18030"/>
          <w:b w:val="0"/>
          <w:bCs w:val="0"/>
          <w:color w:val="auto"/>
          <w:sz w:val="28"/>
          <w:szCs w:val="28"/>
          <w:highlight w:val="none"/>
          <w:u w:val="single"/>
          <w:lang w:val="en-US" w:eastAsia="zh-CN"/>
        </w:rPr>
        <w:t>）</w:t>
      </w:r>
      <w:r>
        <w:rPr>
          <w:rFonts w:hint="eastAsia" w:ascii="方正仿宋_GB18030" w:hAnsi="方正仿宋_GB18030" w:eastAsia="方正仿宋_GB18030" w:cs="方正仿宋_GB18030"/>
          <w:color w:val="auto"/>
          <w:sz w:val="28"/>
          <w:szCs w:val="28"/>
          <w:highlight w:val="none"/>
          <w:u w:val="none"/>
          <w:lang w:val="en-US" w:eastAsia="zh-CN"/>
        </w:rPr>
        <w:t>，</w:t>
      </w:r>
      <w:r>
        <w:rPr>
          <w:rFonts w:hint="eastAsia" w:ascii="方正仿宋_GB18030" w:hAnsi="方正仿宋_GB18030" w:eastAsia="方正仿宋_GB18030" w:cs="方正仿宋_GB18030"/>
          <w:color w:val="auto"/>
          <w:sz w:val="28"/>
          <w:szCs w:val="28"/>
          <w:highlight w:val="none"/>
          <w:lang w:val="en-US" w:eastAsia="zh-CN"/>
        </w:rPr>
        <w:t>完成贵公司规定的所有工作内容。具体报价清单如下：</w:t>
      </w:r>
    </w:p>
    <w:p w14:paraId="24045C8F">
      <w:pPr>
        <w:jc w:val="center"/>
        <w:rPr>
          <w:rFonts w:hint="eastAsia" w:ascii="仿宋_GB2312" w:hAnsi="仿宋_GB2312" w:eastAsia="仿宋_GB2312" w:cs="仿宋_GB2312"/>
          <w:b/>
          <w:color w:val="auto"/>
          <w:sz w:val="24"/>
          <w:highlight w:val="none"/>
        </w:rPr>
      </w:pPr>
    </w:p>
    <w:tbl>
      <w:tblPr>
        <w:tblStyle w:val="21"/>
        <w:tblW w:w="9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198"/>
        <w:gridCol w:w="1082"/>
        <w:gridCol w:w="1116"/>
        <w:gridCol w:w="1714"/>
        <w:gridCol w:w="1503"/>
        <w:gridCol w:w="2137"/>
      </w:tblGrid>
      <w:tr w14:paraId="2707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646" w:type="dxa"/>
            <w:noWrap w:val="0"/>
            <w:vAlign w:val="center"/>
          </w:tcPr>
          <w:p w14:paraId="484D155E">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1198" w:type="dxa"/>
            <w:noWrap w:val="0"/>
            <w:vAlign w:val="center"/>
          </w:tcPr>
          <w:p w14:paraId="4E6C9AFF">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物品名称及规格</w:t>
            </w:r>
          </w:p>
        </w:tc>
        <w:tc>
          <w:tcPr>
            <w:tcW w:w="1082" w:type="dxa"/>
            <w:noWrap w:val="0"/>
            <w:vAlign w:val="center"/>
          </w:tcPr>
          <w:p w14:paraId="2BAF0E83">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预估数量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吨）</w:t>
            </w:r>
          </w:p>
        </w:tc>
        <w:tc>
          <w:tcPr>
            <w:tcW w:w="1116" w:type="dxa"/>
            <w:noWrap w:val="0"/>
            <w:vAlign w:val="center"/>
          </w:tcPr>
          <w:p w14:paraId="0688B52E">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报价单价</w:t>
            </w:r>
          </w:p>
          <w:p w14:paraId="3CB1B4BD">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（元/吨）</w:t>
            </w:r>
          </w:p>
        </w:tc>
        <w:tc>
          <w:tcPr>
            <w:tcW w:w="1714" w:type="dxa"/>
            <w:noWrap w:val="0"/>
            <w:vAlign w:val="center"/>
          </w:tcPr>
          <w:p w14:paraId="2A9F312C">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报价</w:t>
            </w:r>
            <w:r>
              <w:rPr>
                <w:rFonts w:hint="eastAsia" w:ascii="宋体" w:hAnsi="宋体" w:cs="宋体"/>
                <w:color w:val="auto"/>
                <w:sz w:val="22"/>
                <w:szCs w:val="22"/>
                <w:highlight w:val="none"/>
                <w:lang w:val="en-US" w:eastAsia="zh-CN"/>
              </w:rPr>
              <w:t>金额</w:t>
            </w:r>
          </w:p>
          <w:p w14:paraId="231FA2DA">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（元）</w:t>
            </w:r>
          </w:p>
        </w:tc>
        <w:tc>
          <w:tcPr>
            <w:tcW w:w="1503" w:type="dxa"/>
            <w:noWrap w:val="0"/>
            <w:vAlign w:val="center"/>
          </w:tcPr>
          <w:p w14:paraId="53C3F69C">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1"/>
                <w:szCs w:val="21"/>
                <w:highlight w:val="none"/>
                <w:lang w:val="en-US" w:eastAsia="zh-CN"/>
              </w:rPr>
              <w:t>百川资讯网出库月度均价下调比例%</w:t>
            </w:r>
          </w:p>
        </w:tc>
        <w:tc>
          <w:tcPr>
            <w:tcW w:w="2137" w:type="dxa"/>
            <w:noWrap w:val="0"/>
            <w:vAlign w:val="center"/>
          </w:tcPr>
          <w:p w14:paraId="0527FF08">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leftChars="0" w:right="0" w:rightChars="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备注</w:t>
            </w:r>
          </w:p>
        </w:tc>
      </w:tr>
      <w:tr w14:paraId="32B3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646" w:type="dxa"/>
            <w:noWrap w:val="0"/>
            <w:vAlign w:val="center"/>
          </w:tcPr>
          <w:p w14:paraId="2C94A995">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198" w:type="dxa"/>
            <w:noWrap w:val="0"/>
            <w:vAlign w:val="center"/>
          </w:tcPr>
          <w:p w14:paraId="5CACA0C3">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SBS改性沥青I-D</w:t>
            </w:r>
          </w:p>
        </w:tc>
        <w:tc>
          <w:tcPr>
            <w:tcW w:w="1082" w:type="dxa"/>
            <w:noWrap w:val="0"/>
            <w:vAlign w:val="center"/>
          </w:tcPr>
          <w:p w14:paraId="1035AA4D">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18</w:t>
            </w:r>
            <w:r>
              <w:rPr>
                <w:rFonts w:hint="eastAsia" w:ascii="宋体" w:hAnsi="宋体" w:eastAsia="宋体" w:cs="宋体"/>
                <w:color w:val="auto"/>
                <w:sz w:val="22"/>
                <w:szCs w:val="22"/>
                <w:highlight w:val="none"/>
              </w:rPr>
              <w:t>00</w:t>
            </w:r>
          </w:p>
        </w:tc>
        <w:tc>
          <w:tcPr>
            <w:tcW w:w="1116" w:type="dxa"/>
            <w:noWrap w:val="0"/>
            <w:vAlign w:val="center"/>
          </w:tcPr>
          <w:p w14:paraId="537456F7">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rPr>
            </w:pPr>
          </w:p>
        </w:tc>
        <w:tc>
          <w:tcPr>
            <w:tcW w:w="1714" w:type="dxa"/>
            <w:noWrap w:val="0"/>
            <w:vAlign w:val="center"/>
          </w:tcPr>
          <w:p w14:paraId="1134C9BE">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rPr>
            </w:pPr>
          </w:p>
        </w:tc>
        <w:tc>
          <w:tcPr>
            <w:tcW w:w="1503" w:type="dxa"/>
            <w:shd w:val="clear" w:color="auto" w:fill="auto"/>
            <w:noWrap w:val="0"/>
            <w:vAlign w:val="center"/>
          </w:tcPr>
          <w:p w14:paraId="60CF4A9D">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lang w:val="en-US" w:eastAsia="zh-CN"/>
              </w:rPr>
            </w:pPr>
          </w:p>
        </w:tc>
        <w:tc>
          <w:tcPr>
            <w:tcW w:w="2137" w:type="dxa"/>
            <w:shd w:val="clear" w:color="auto" w:fill="auto"/>
            <w:noWrap w:val="0"/>
            <w:vAlign w:val="center"/>
          </w:tcPr>
          <w:p w14:paraId="73C17B73">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最高报价</w:t>
            </w:r>
          </w:p>
          <w:p w14:paraId="208E9DDA">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leftChars="0" w:right="0" w:right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单价为</w:t>
            </w:r>
            <w:r>
              <w:rPr>
                <w:rFonts w:hint="eastAsia" w:ascii="宋体" w:hAnsi="宋体" w:cs="宋体"/>
                <w:color w:val="auto"/>
                <w:sz w:val="20"/>
                <w:szCs w:val="20"/>
                <w:highlight w:val="none"/>
                <w:lang w:val="en-US" w:eastAsia="zh-CN"/>
              </w:rPr>
              <w:t>5619.87</w:t>
            </w:r>
            <w:r>
              <w:rPr>
                <w:rFonts w:hint="eastAsia" w:ascii="宋体" w:hAnsi="宋体" w:eastAsia="宋体" w:cs="宋体"/>
                <w:color w:val="auto"/>
                <w:sz w:val="20"/>
                <w:szCs w:val="20"/>
                <w:highlight w:val="none"/>
                <w:lang w:val="en-US" w:eastAsia="zh-CN"/>
              </w:rPr>
              <w:t>元/吨，报价单价不得高于本单价</w:t>
            </w:r>
          </w:p>
        </w:tc>
      </w:tr>
      <w:tr w14:paraId="2253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646" w:type="dxa"/>
            <w:noWrap w:val="0"/>
            <w:vAlign w:val="center"/>
          </w:tcPr>
          <w:p w14:paraId="2C003783">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w:t>
            </w:r>
          </w:p>
        </w:tc>
        <w:tc>
          <w:tcPr>
            <w:tcW w:w="1198" w:type="dxa"/>
            <w:noWrap w:val="0"/>
            <w:vAlign w:val="center"/>
          </w:tcPr>
          <w:p w14:paraId="092689FB">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重交沥青（AH-70）</w:t>
            </w:r>
          </w:p>
        </w:tc>
        <w:tc>
          <w:tcPr>
            <w:tcW w:w="1082" w:type="dxa"/>
            <w:noWrap w:val="0"/>
            <w:vAlign w:val="center"/>
          </w:tcPr>
          <w:p w14:paraId="3EB0A1E8">
            <w:pPr>
              <w:keepNext w:val="0"/>
              <w:keepLines w:val="0"/>
              <w:suppressLineNumbers w:val="0"/>
              <w:spacing w:before="0" w:beforeAutospacing="0" w:after="0" w:afterAutospacing="0" w:line="420" w:lineRule="exact"/>
              <w:ind w:left="0" w:right="0"/>
              <w:jc w:val="center"/>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00</w:t>
            </w:r>
          </w:p>
        </w:tc>
        <w:tc>
          <w:tcPr>
            <w:tcW w:w="1116" w:type="dxa"/>
            <w:noWrap w:val="0"/>
            <w:vAlign w:val="center"/>
          </w:tcPr>
          <w:p w14:paraId="6BE3492B">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rPr>
            </w:pPr>
          </w:p>
        </w:tc>
        <w:tc>
          <w:tcPr>
            <w:tcW w:w="1714" w:type="dxa"/>
            <w:noWrap w:val="0"/>
            <w:vAlign w:val="center"/>
          </w:tcPr>
          <w:p w14:paraId="27BF9FA3">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rPr>
            </w:pPr>
          </w:p>
        </w:tc>
        <w:tc>
          <w:tcPr>
            <w:tcW w:w="1503" w:type="dxa"/>
            <w:shd w:val="clear" w:color="auto" w:fill="auto"/>
            <w:noWrap w:val="0"/>
            <w:vAlign w:val="center"/>
          </w:tcPr>
          <w:p w14:paraId="1E669644">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right="0"/>
              <w:jc w:val="center"/>
              <w:textAlignment w:val="auto"/>
              <w:rPr>
                <w:rFonts w:hint="eastAsia" w:ascii="宋体" w:hAnsi="宋体" w:eastAsia="宋体" w:cs="宋体"/>
                <w:color w:val="auto"/>
                <w:sz w:val="22"/>
                <w:szCs w:val="22"/>
                <w:highlight w:val="none"/>
                <w:lang w:val="en-US" w:eastAsia="zh-CN"/>
              </w:rPr>
            </w:pPr>
          </w:p>
        </w:tc>
        <w:tc>
          <w:tcPr>
            <w:tcW w:w="2137" w:type="dxa"/>
            <w:shd w:val="clear" w:color="auto" w:fill="auto"/>
            <w:noWrap w:val="0"/>
            <w:vAlign w:val="center"/>
          </w:tcPr>
          <w:p w14:paraId="340F4F90">
            <w:pPr>
              <w:keepNext w:val="0"/>
              <w:keepLines w:val="0"/>
              <w:pageBreakBefore w:val="0"/>
              <w:widowControl w:val="0"/>
              <w:suppressLineNumbers w:val="0"/>
              <w:kinsoku/>
              <w:wordWrap/>
              <w:overflowPunct/>
              <w:topLinePunct w:val="0"/>
              <w:autoSpaceDE w:val="0"/>
              <w:autoSpaceDN w:val="0"/>
              <w:bidi w:val="0"/>
              <w:adjustRightInd w:val="0"/>
              <w:snapToGrid/>
              <w:spacing w:before="10" w:beforeAutospacing="0" w:after="0" w:afterAutospacing="0" w:line="280" w:lineRule="exact"/>
              <w:ind w:left="0" w:leftChars="0" w:right="0" w:right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 xml:space="preserve">  最高报价单价为</w:t>
            </w:r>
            <w:r>
              <w:rPr>
                <w:rFonts w:hint="eastAsia" w:ascii="宋体" w:hAnsi="宋体" w:cs="宋体"/>
                <w:color w:val="auto"/>
                <w:sz w:val="20"/>
                <w:szCs w:val="20"/>
                <w:highlight w:val="none"/>
                <w:lang w:val="en-US" w:eastAsia="zh-CN"/>
              </w:rPr>
              <w:t>4928.94</w:t>
            </w:r>
            <w:r>
              <w:rPr>
                <w:rFonts w:hint="eastAsia" w:ascii="宋体" w:hAnsi="宋体" w:eastAsia="宋体" w:cs="宋体"/>
                <w:color w:val="auto"/>
                <w:sz w:val="20"/>
                <w:szCs w:val="20"/>
                <w:highlight w:val="none"/>
                <w:lang w:val="en-US" w:eastAsia="zh-CN"/>
              </w:rPr>
              <w:t>元/吨，报价单价不得高于本单价</w:t>
            </w:r>
          </w:p>
        </w:tc>
      </w:tr>
      <w:tr w14:paraId="4C37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646" w:type="dxa"/>
            <w:noWrap w:val="0"/>
            <w:vAlign w:val="center"/>
          </w:tcPr>
          <w:p w14:paraId="70259B03">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w:t>
            </w:r>
          </w:p>
        </w:tc>
        <w:tc>
          <w:tcPr>
            <w:tcW w:w="1198" w:type="dxa"/>
            <w:noWrap w:val="0"/>
            <w:vAlign w:val="center"/>
          </w:tcPr>
          <w:p w14:paraId="4EF580C2">
            <w:pPr>
              <w:keepNext w:val="0"/>
              <w:keepLines w:val="0"/>
              <w:suppressLineNumbers w:val="0"/>
              <w:spacing w:before="0" w:beforeAutospacing="0" w:after="0" w:afterAutospacing="0" w:line="420" w:lineRule="exact"/>
              <w:ind w:left="0" w:right="0"/>
              <w:jc w:val="center"/>
              <w:rPr>
                <w:rFonts w:hint="eastAsia" w:ascii="宋体" w:hAnsi="宋体" w:eastAsia="宋体" w:cs="宋体"/>
                <w:bCs/>
                <w:color w:val="auto"/>
                <w:sz w:val="22"/>
                <w:szCs w:val="22"/>
                <w:highlight w:val="none"/>
                <w:lang w:val="en-US" w:eastAsia="zh-CN"/>
              </w:rPr>
            </w:pPr>
            <w:r>
              <w:rPr>
                <w:rFonts w:hint="eastAsia" w:ascii="宋体" w:hAnsi="宋体" w:eastAsia="宋体" w:cs="宋体"/>
                <w:b/>
                <w:bCs w:val="0"/>
                <w:color w:val="auto"/>
                <w:sz w:val="22"/>
                <w:szCs w:val="22"/>
                <w:highlight w:val="none"/>
                <w:lang w:val="en-US" w:eastAsia="zh-CN"/>
              </w:rPr>
              <w:t>合计</w:t>
            </w:r>
          </w:p>
        </w:tc>
        <w:tc>
          <w:tcPr>
            <w:tcW w:w="1082" w:type="dxa"/>
            <w:noWrap w:val="0"/>
            <w:vAlign w:val="center"/>
          </w:tcPr>
          <w:p w14:paraId="5D33F27E">
            <w:pPr>
              <w:keepNext w:val="0"/>
              <w:keepLines w:val="0"/>
              <w:suppressLineNumbers w:val="0"/>
              <w:spacing w:before="0" w:beforeAutospacing="0" w:after="0" w:afterAutospacing="0" w:line="420" w:lineRule="exact"/>
              <w:ind w:left="0" w:right="0"/>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w:t>
            </w:r>
            <w:r>
              <w:rPr>
                <w:rFonts w:hint="eastAsia" w:ascii="宋体" w:hAnsi="宋体" w:eastAsia="宋体" w:cs="宋体"/>
                <w:color w:val="auto"/>
                <w:sz w:val="22"/>
                <w:szCs w:val="22"/>
                <w:highlight w:val="none"/>
                <w:lang w:val="en-US" w:eastAsia="zh-CN"/>
              </w:rPr>
              <w:t>00</w:t>
            </w:r>
          </w:p>
        </w:tc>
        <w:tc>
          <w:tcPr>
            <w:tcW w:w="1116" w:type="dxa"/>
            <w:noWrap w:val="0"/>
            <w:vAlign w:val="center"/>
          </w:tcPr>
          <w:p w14:paraId="5378A23E">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p>
        </w:tc>
        <w:tc>
          <w:tcPr>
            <w:tcW w:w="1714" w:type="dxa"/>
            <w:noWrap w:val="0"/>
            <w:vAlign w:val="center"/>
          </w:tcPr>
          <w:p w14:paraId="1BECF94B">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rPr>
            </w:pPr>
          </w:p>
        </w:tc>
        <w:tc>
          <w:tcPr>
            <w:tcW w:w="1503" w:type="dxa"/>
            <w:noWrap w:val="0"/>
            <w:vAlign w:val="center"/>
          </w:tcPr>
          <w:p w14:paraId="1B606273">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right="0"/>
              <w:jc w:val="center"/>
              <w:textAlignment w:val="auto"/>
              <w:rPr>
                <w:rFonts w:hint="eastAsia" w:ascii="宋体" w:hAnsi="宋体" w:eastAsia="宋体" w:cs="宋体"/>
                <w:color w:val="auto"/>
                <w:sz w:val="22"/>
                <w:szCs w:val="22"/>
                <w:highlight w:val="none"/>
                <w:lang w:val="en-US" w:eastAsia="zh-CN"/>
              </w:rPr>
            </w:pPr>
          </w:p>
        </w:tc>
        <w:tc>
          <w:tcPr>
            <w:tcW w:w="2137" w:type="dxa"/>
            <w:noWrap w:val="0"/>
            <w:vAlign w:val="center"/>
          </w:tcPr>
          <w:p w14:paraId="2B9BBD84">
            <w:pPr>
              <w:keepNext w:val="0"/>
              <w:keepLines w:val="0"/>
              <w:pageBreakBefore w:val="0"/>
              <w:widowControl w:val="0"/>
              <w:suppressLineNumbers w:val="0"/>
              <w:kinsoku/>
              <w:wordWrap/>
              <w:overflowPunct/>
              <w:topLinePunct w:val="0"/>
              <w:bidi w:val="0"/>
              <w:snapToGrid/>
              <w:spacing w:before="0" w:beforeAutospacing="0" w:after="0" w:afterAutospacing="0" w:line="460" w:lineRule="exact"/>
              <w:ind w:left="0" w:leftChars="0" w:right="0" w:rightChars="0"/>
              <w:jc w:val="center"/>
              <w:textAlignment w:val="auto"/>
              <w:rPr>
                <w:rFonts w:hint="eastAsia" w:ascii="宋体" w:hAnsi="宋体" w:eastAsia="宋体" w:cs="宋体"/>
                <w:color w:val="auto"/>
                <w:sz w:val="20"/>
                <w:szCs w:val="20"/>
                <w:highlight w:val="none"/>
                <w:lang w:val="en-US" w:eastAsia="zh-CN"/>
              </w:rPr>
            </w:pPr>
          </w:p>
        </w:tc>
      </w:tr>
    </w:tbl>
    <w:p w14:paraId="6C30EA27">
      <w:pPr>
        <w:keepNext w:val="0"/>
        <w:keepLines w:val="0"/>
        <w:pageBreakBefore w:val="0"/>
        <w:widowControl w:val="0"/>
        <w:kinsoku/>
        <w:wordWrap/>
        <w:overflowPunct/>
        <w:topLinePunct w:val="0"/>
        <w:autoSpaceDE/>
        <w:autoSpaceDN/>
        <w:bidi w:val="0"/>
        <w:adjustRightInd/>
        <w:snapToGrid/>
        <w:spacing w:line="600" w:lineRule="exact"/>
        <w:ind w:firstLine="482"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注：1、本清单单价为综合单价,包含场地费、材料费、加工费、人工费、设备费、运输费、仓储费、质检费（自检）、损耗、税费、保险费、利润等一切费用，询价人不再另行支付其它费用。</w:t>
      </w:r>
    </w:p>
    <w:p w14:paraId="5BA09A55">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2、报价清单合计金额与总价人民币金额一致，总价人民币大写金额与小写金额应当一致，不一致时以大写金额为准。</w:t>
      </w:r>
    </w:p>
    <w:p w14:paraId="661FC854">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3、本报价清单中所列采购数量是估算的预计数量，</w:t>
      </w:r>
      <w:r>
        <w:rPr>
          <w:rFonts w:hint="eastAsia" w:ascii="宋体" w:hAnsi="宋体" w:cs="宋体"/>
          <w:b/>
          <w:bCs/>
          <w:color w:val="auto"/>
          <w:sz w:val="24"/>
          <w:szCs w:val="24"/>
          <w:highlight w:val="none"/>
        </w:rPr>
        <w:t>仅作为共同</w:t>
      </w:r>
      <w:r>
        <w:rPr>
          <w:rFonts w:hint="eastAsia" w:asciiTheme="minorEastAsia" w:hAnsiTheme="minorEastAsia" w:eastAsiaTheme="minorEastAsia" w:cstheme="minorEastAsia"/>
          <w:b/>
          <w:bCs/>
          <w:color w:val="auto"/>
          <w:sz w:val="24"/>
          <w:szCs w:val="24"/>
          <w:highlight w:val="none"/>
          <w:lang w:val="en-US" w:eastAsia="zh-CN"/>
        </w:rPr>
        <w:t>报价的</w:t>
      </w:r>
      <w:r>
        <w:rPr>
          <w:rFonts w:hint="eastAsia" w:ascii="宋体" w:hAnsi="宋体" w:cs="宋体"/>
          <w:b/>
          <w:bCs/>
          <w:color w:val="auto"/>
          <w:sz w:val="24"/>
          <w:szCs w:val="24"/>
          <w:highlight w:val="none"/>
        </w:rPr>
        <w:t>基础</w:t>
      </w:r>
      <w:r>
        <w:rPr>
          <w:rFonts w:hint="eastAsia" w:asciiTheme="minorEastAsia" w:hAnsiTheme="minorEastAsia" w:eastAsiaTheme="minorEastAsia" w:cstheme="minorEastAsia"/>
          <w:b/>
          <w:bCs/>
          <w:color w:val="auto"/>
          <w:sz w:val="24"/>
          <w:szCs w:val="24"/>
          <w:highlight w:val="none"/>
          <w:lang w:val="en-US" w:eastAsia="zh-CN"/>
        </w:rPr>
        <w:t>，不能作为最终结算与支付的依据。</w:t>
      </w:r>
    </w:p>
    <w:p w14:paraId="449C511D">
      <w:pPr>
        <w:keepNext w:val="0"/>
        <w:keepLines w:val="0"/>
        <w:pageBreakBefore w:val="0"/>
        <w:widowControl w:val="0"/>
        <w:kinsoku/>
        <w:wordWrap/>
        <w:overflowPunct/>
        <w:topLinePunct w:val="0"/>
        <w:autoSpaceDE/>
        <w:autoSpaceDN/>
        <w:bidi w:val="0"/>
        <w:adjustRightInd/>
        <w:snapToGrid/>
        <w:spacing w:line="800" w:lineRule="exact"/>
        <w:ind w:firstLine="482"/>
        <w:jc w:val="both"/>
        <w:textAlignment w:val="auto"/>
        <w:rPr>
          <w:rFonts w:hint="default" w:hAnsi="Cambria Math" w:eastAsia="仿宋" w:cs="仿宋"/>
          <w:i w:val="0"/>
          <w:color w:val="auto"/>
          <w:sz w:val="30"/>
          <w:szCs w:val="30"/>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4、百川资讯网出库月度均价下调比例如下：</w:t>
      </w:r>
      <w:r>
        <w:rPr>
          <w:rFonts w:hint="eastAsia" w:ascii="仿宋" w:hAnsi="仿宋" w:eastAsia="仿宋" w:cs="仿宋"/>
          <w:b/>
          <w:bCs/>
          <w:color w:val="auto"/>
          <w:sz w:val="28"/>
          <w:szCs w:val="28"/>
          <w:highlight w:val="none"/>
          <w:lang w:val="en-US" w:eastAsia="zh-CN"/>
        </w:rPr>
        <w:t>[</w:t>
      </w:r>
      <w:r>
        <w:rPr>
          <w:rFonts w:hint="eastAsia" w:ascii="仿宋_GB2312" w:hAnsi="仿宋_GB2312" w:eastAsia="仿宋_GB2312" w:cs="仿宋_GB2312"/>
          <w:b/>
          <w:bCs/>
          <w:color w:val="auto"/>
          <w:sz w:val="30"/>
          <w:szCs w:val="30"/>
          <w:highlight w:val="none"/>
          <w:lang w:val="en-US" w:eastAsia="zh-CN"/>
        </w:rPr>
        <w:t>1-</w:t>
      </w:r>
      <m:oMath>
        <m:r>
          <m:rPr>
            <m:sty m:val="b"/>
          </m:rPr>
          <w:rPr>
            <w:rFonts w:hint="eastAsia" w:ascii="Cambria Math" w:hAnsi="Cambria Math" w:eastAsia="仿宋_GB2312" w:cs="仿宋_GB2312"/>
            <w:color w:val="auto"/>
            <w:sz w:val="24"/>
            <w:szCs w:val="30"/>
            <w:highlight w:val="none"/>
            <w:lang w:val="en-US" w:eastAsia="zh-CN"/>
          </w:rPr>
          <m:t xml:space="preserve"> （</m:t>
        </m:r>
        <m:f>
          <m:fPr>
            <m:ctrlPr>
              <w:rPr>
                <w:rFonts w:hint="eastAsia" w:ascii="Cambria Math" w:hAnsi="Cambria Math" w:eastAsia="仿宋_GB2312" w:cs="仿宋_GB2312"/>
                <w:b/>
                <w:bCs/>
                <w:color w:val="auto"/>
                <w:sz w:val="24"/>
                <w:szCs w:val="30"/>
                <w:highlight w:val="none"/>
                <w:lang w:val="en-US" w:eastAsia="zh-CN"/>
              </w:rPr>
            </m:ctrlPr>
          </m:fPr>
          <m:num>
            <m:r>
              <m:rPr>
                <m:sty m:val="b"/>
              </m:rPr>
              <w:rPr>
                <w:rFonts w:hint="eastAsia" w:ascii="Cambria Math" w:hAnsi="Cambria Math" w:eastAsia="仿宋_GB2312" w:cs="仿宋_GB2312"/>
                <w:color w:val="auto"/>
                <w:sz w:val="24"/>
                <w:szCs w:val="30"/>
                <w:highlight w:val="none"/>
                <w:lang w:val="en-US" w:eastAsia="zh-CN"/>
              </w:rPr>
              <m:t>报价单价</m:t>
            </m:r>
            <m:ctrlPr>
              <w:rPr>
                <w:rFonts w:hint="eastAsia" w:ascii="Cambria Math" w:hAnsi="Cambria Math" w:eastAsia="仿宋_GB2312" w:cs="仿宋_GB2312"/>
                <w:b/>
                <w:bCs/>
                <w:color w:val="auto"/>
                <w:sz w:val="24"/>
                <w:szCs w:val="30"/>
                <w:highlight w:val="none"/>
                <w:lang w:val="en-US" w:eastAsia="zh-CN"/>
              </w:rPr>
            </m:ctrlPr>
          </m:num>
          <m:den>
            <m:r>
              <m:rPr>
                <m:sty m:val="b"/>
              </m:rPr>
              <w:rPr>
                <w:rFonts w:hint="default" w:ascii="Cambria Math" w:hAnsi="Cambria Math" w:eastAsia="仿宋_GB2312" w:cs="仿宋_GB2312"/>
                <w:color w:val="auto"/>
                <w:sz w:val="24"/>
                <w:szCs w:val="30"/>
                <w:highlight w:val="none"/>
                <w:lang w:val="en-US" w:eastAsia="zh-CN"/>
              </w:rPr>
              <m:t>8月基准平均价</m:t>
            </m:r>
            <m:ctrlPr>
              <w:rPr>
                <w:rFonts w:hint="eastAsia" w:ascii="Cambria Math" w:hAnsi="Cambria Math" w:eastAsia="仿宋_GB2312" w:cs="仿宋_GB2312"/>
                <w:b/>
                <w:bCs/>
                <w:color w:val="auto"/>
                <w:sz w:val="24"/>
                <w:szCs w:val="30"/>
                <w:highlight w:val="none"/>
                <w:lang w:val="en-US" w:eastAsia="zh-CN"/>
              </w:rPr>
            </m:ctrlPr>
          </m:den>
        </m:f>
        <m:r>
          <m:rPr>
            <m:sty m:val="b"/>
          </m:rPr>
          <w:rPr>
            <w:rFonts w:hint="eastAsia" w:ascii="Cambria Math" w:hAnsi="Cambria Math" w:eastAsia="仿宋_GB2312" w:cs="仿宋_GB2312"/>
            <w:color w:val="auto"/>
            <w:sz w:val="24"/>
            <w:szCs w:val="30"/>
            <w:highlight w:val="none"/>
            <w:lang w:val="en-US" w:eastAsia="zh-CN"/>
          </w:rPr>
          <m:t>）</m:t>
        </m:r>
        <m:r>
          <m:rPr>
            <m:sty m:val="b"/>
          </m:rPr>
          <w:rPr>
            <w:rFonts w:hint="default" w:ascii="Cambria Math" w:hAnsi="Cambria Math" w:eastAsia="仿宋_GB2312" w:cs="仿宋_GB2312"/>
            <w:color w:val="auto"/>
            <w:sz w:val="24"/>
            <w:szCs w:val="30"/>
            <w:highlight w:val="none"/>
            <w:lang w:val="en-US" w:eastAsia="zh-CN"/>
          </w:rPr>
          <m:t>]</m:t>
        </m:r>
        <m:r>
          <m:rPr>
            <m:sty m:val="b"/>
          </m:rPr>
          <w:rPr>
            <w:rFonts w:hint="eastAsia" w:ascii="Cambria Math" w:hAnsi="Cambria Math" w:eastAsia="仿宋_GB2312" w:cs="仿宋_GB2312"/>
            <w:color w:val="auto"/>
            <w:sz w:val="24"/>
            <w:szCs w:val="30"/>
            <w:highlight w:val="none"/>
            <w:lang w:val="en-US" w:eastAsia="zh-CN"/>
          </w:rPr>
          <m:t>×</m:t>
        </m:r>
        <m:r>
          <m:rPr>
            <m:sty m:val="b"/>
          </m:rPr>
          <w:rPr>
            <w:rFonts w:hint="default" w:ascii="Cambria Math" w:hAnsi="Cambria Math" w:eastAsia="仿宋_GB2312" w:cs="仿宋_GB2312"/>
            <w:color w:val="auto"/>
            <w:kern w:val="2"/>
            <w:sz w:val="24"/>
            <w:szCs w:val="30"/>
            <w:highlight w:val="none"/>
            <w:lang w:val="en-US" w:eastAsia="zh-CN" w:bidi="ar-SA"/>
          </w:rPr>
          <m:t>100%</m:t>
        </m:r>
        <m:r>
          <m:rPr>
            <m:sty m:val="b"/>
          </m:rPr>
          <w:rPr>
            <w:rFonts w:hint="default" w:ascii="Cambria Math" w:hAnsi="Cambria Math" w:eastAsia="仿宋" w:cs="仿宋"/>
            <w:color w:val="auto"/>
            <w:kern w:val="2"/>
            <w:sz w:val="24"/>
            <w:szCs w:val="30"/>
            <w:highlight w:val="none"/>
            <w:lang w:val="en-US" w:eastAsia="zh-CN" w:bidi="ar-SA"/>
          </w:rPr>
          <m:t xml:space="preserve"> </m:t>
        </m:r>
      </m:oMath>
    </w:p>
    <w:p w14:paraId="3270D8D6">
      <w:pPr>
        <w:keepNext w:val="0"/>
        <w:keepLines w:val="0"/>
        <w:pageBreakBefore w:val="0"/>
        <w:widowControl w:val="0"/>
        <w:kinsoku/>
        <w:wordWrap/>
        <w:overflowPunct/>
        <w:topLinePunct w:val="0"/>
        <w:autoSpaceDE/>
        <w:autoSpaceDN/>
        <w:bidi w:val="0"/>
        <w:adjustRightInd/>
        <w:snapToGrid/>
        <w:spacing w:line="240" w:lineRule="auto"/>
        <w:ind w:firstLine="600" w:firstLineChars="200"/>
        <w:jc w:val="left"/>
        <w:textAlignment w:val="auto"/>
        <w:rPr>
          <w:rFonts w:hint="eastAsia" w:ascii="仿宋" w:hAnsi="仿宋" w:eastAsia="仿宋" w:cs="仿宋"/>
          <w:color w:val="auto"/>
          <w:sz w:val="30"/>
          <w:szCs w:val="30"/>
          <w:highlight w:val="none"/>
          <w:lang w:val="en-US" w:eastAsia="zh-CN"/>
        </w:rPr>
      </w:pPr>
    </w:p>
    <w:p w14:paraId="6E8629BE">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b/>
          <w:bCs/>
          <w:color w:val="auto"/>
          <w:sz w:val="24"/>
          <w:szCs w:val="24"/>
          <w:highlight w:val="none"/>
          <w:lang w:val="en-US" w:eastAsia="zh-CN"/>
        </w:rPr>
      </w:pPr>
    </w:p>
    <w:p w14:paraId="75D26A9F">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Theme="minorEastAsia" w:hAnsiTheme="minorEastAsia" w:eastAsiaTheme="minorEastAsia" w:cstheme="minorEastAsia"/>
          <w:b/>
          <w:bCs/>
          <w:color w:val="auto"/>
          <w:sz w:val="24"/>
          <w:szCs w:val="24"/>
          <w:highlight w:val="none"/>
          <w:lang w:val="en-US" w:eastAsia="zh-CN"/>
        </w:rPr>
      </w:pPr>
    </w:p>
    <w:p w14:paraId="012BAEC0">
      <w:pPr>
        <w:rPr>
          <w:rFonts w:hint="eastAsia" w:ascii="仿宋_GB2312" w:hAnsi="仿宋_GB2312" w:eastAsia="仿宋_GB2312" w:cs="仿宋_GB2312"/>
          <w:color w:val="auto"/>
          <w:highlight w:val="none"/>
          <w:lang w:val="en-US" w:eastAsia="zh-CN"/>
        </w:rPr>
      </w:pPr>
    </w:p>
    <w:p w14:paraId="0B793BD0">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line="560" w:lineRule="exact"/>
        <w:ind w:right="62" w:firstLine="3360" w:firstLineChars="1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(盖</w:t>
      </w:r>
      <w:r>
        <w:rPr>
          <w:rFonts w:hint="eastAsia" w:ascii="仿宋_GB2312" w:hAnsi="仿宋_GB2312" w:eastAsia="仿宋_GB2312" w:cs="仿宋_GB2312"/>
          <w:color w:val="auto"/>
          <w:spacing w:val="-1"/>
          <w:sz w:val="28"/>
          <w:szCs w:val="28"/>
          <w:highlight w:val="none"/>
        </w:rPr>
        <w:t>单</w:t>
      </w:r>
      <w:r>
        <w:rPr>
          <w:rFonts w:hint="eastAsia" w:ascii="仿宋_GB2312" w:hAnsi="仿宋_GB2312" w:eastAsia="仿宋_GB2312" w:cs="仿宋_GB2312"/>
          <w:color w:val="auto"/>
          <w:sz w:val="28"/>
          <w:szCs w:val="28"/>
          <w:highlight w:val="none"/>
        </w:rPr>
        <w:t xml:space="preserve">位章) </w:t>
      </w:r>
    </w:p>
    <w:p w14:paraId="683991F5">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line="560" w:lineRule="exact"/>
        <w:ind w:right="62" w:firstLine="3360" w:firstLineChars="1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法定代表人/单位负责人</w:t>
      </w:r>
    </w:p>
    <w:p w14:paraId="15CA5E2F">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line="560" w:lineRule="exact"/>
        <w:ind w:right="62" w:firstLine="3360" w:firstLineChars="1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或其委托代理人</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pacing w:val="-1"/>
          <w:sz w:val="28"/>
          <w:szCs w:val="28"/>
          <w:highlight w:val="none"/>
        </w:rPr>
        <w:t>签</w:t>
      </w:r>
      <w:r>
        <w:rPr>
          <w:rFonts w:hint="eastAsia" w:ascii="仿宋_GB2312" w:hAnsi="仿宋_GB2312" w:eastAsia="仿宋_GB2312" w:cs="仿宋_GB2312"/>
          <w:color w:val="auto"/>
          <w:sz w:val="28"/>
          <w:szCs w:val="28"/>
          <w:highlight w:val="none"/>
        </w:rPr>
        <w:t>字)</w:t>
      </w:r>
    </w:p>
    <w:p w14:paraId="21D07E9E">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line="560" w:lineRule="exact"/>
        <w:ind w:right="62" w:firstLine="3360" w:firstLineChars="1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8"/>
          <w:szCs w:val="28"/>
          <w:highlight w:val="none"/>
        </w:rPr>
        <w:t>报价时间：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日</w:t>
      </w:r>
    </w:p>
    <w:p w14:paraId="15B37B6E">
      <w:pPr>
        <w:spacing w:line="420" w:lineRule="exact"/>
        <w:jc w:val="center"/>
        <w:outlineLvl w:val="1"/>
        <w:rPr>
          <w:rFonts w:hint="eastAsia" w:ascii="黑体" w:hAnsi="黑体" w:eastAsia="黑体" w:cs="黑体"/>
          <w:b/>
          <w:bCs w:val="0"/>
          <w:color w:val="auto"/>
          <w:sz w:val="32"/>
          <w:szCs w:val="32"/>
          <w:highlight w:val="none"/>
          <w:lang w:val="en-US" w:eastAsia="zh-CN"/>
        </w:rPr>
      </w:pPr>
      <w:bookmarkStart w:id="120" w:name="_Toc11293"/>
      <w:bookmarkStart w:id="121" w:name="_Toc6219"/>
      <w:bookmarkStart w:id="122" w:name="_Toc20117"/>
    </w:p>
    <w:p w14:paraId="1130EA30">
      <w:pPr>
        <w:spacing w:line="420" w:lineRule="exact"/>
        <w:jc w:val="center"/>
        <w:outlineLvl w:val="1"/>
        <w:rPr>
          <w:rFonts w:hint="eastAsia" w:ascii="黑体" w:hAnsi="黑体" w:eastAsia="黑体" w:cs="黑体"/>
          <w:b/>
          <w:bCs w:val="0"/>
          <w:color w:val="auto"/>
          <w:sz w:val="32"/>
          <w:szCs w:val="32"/>
          <w:highlight w:val="none"/>
          <w:lang w:val="en-US" w:eastAsia="zh-CN"/>
        </w:rPr>
      </w:pPr>
    </w:p>
    <w:p w14:paraId="32C25988">
      <w:pPr>
        <w:spacing w:line="420" w:lineRule="exact"/>
        <w:jc w:val="center"/>
        <w:outlineLvl w:val="1"/>
        <w:rPr>
          <w:rFonts w:hint="eastAsia" w:ascii="黑体" w:hAnsi="黑体" w:eastAsia="黑体" w:cs="黑体"/>
          <w:b/>
          <w:bCs w:val="0"/>
          <w:color w:val="auto"/>
          <w:sz w:val="32"/>
          <w:szCs w:val="32"/>
          <w:highlight w:val="none"/>
          <w:lang w:val="en-US" w:eastAsia="zh-CN"/>
        </w:rPr>
      </w:pPr>
    </w:p>
    <w:p w14:paraId="2F7EDB2D">
      <w:pPr>
        <w:spacing w:line="420" w:lineRule="exact"/>
        <w:jc w:val="center"/>
        <w:outlineLvl w:val="1"/>
        <w:rPr>
          <w:rFonts w:hint="eastAsia" w:ascii="黑体" w:hAnsi="黑体" w:eastAsia="黑体" w:cs="黑体"/>
          <w:b/>
          <w:bCs w:val="0"/>
          <w:color w:val="auto"/>
          <w:sz w:val="32"/>
          <w:szCs w:val="32"/>
          <w:highlight w:val="none"/>
          <w:lang w:val="en-US" w:eastAsia="zh-CN"/>
        </w:rPr>
      </w:pPr>
    </w:p>
    <w:p w14:paraId="3396048C">
      <w:pPr>
        <w:spacing w:line="420" w:lineRule="exact"/>
        <w:jc w:val="center"/>
        <w:outlineLvl w:val="1"/>
        <w:rPr>
          <w:rFonts w:hint="eastAsia" w:ascii="黑体" w:hAnsi="黑体" w:eastAsia="黑体" w:cs="黑体"/>
          <w:b/>
          <w:bCs w:val="0"/>
          <w:color w:val="auto"/>
          <w:sz w:val="32"/>
          <w:szCs w:val="32"/>
          <w:highlight w:val="none"/>
          <w:lang w:val="en-US" w:eastAsia="zh-CN"/>
        </w:rPr>
      </w:pPr>
    </w:p>
    <w:p w14:paraId="54CCFF6C">
      <w:pPr>
        <w:spacing w:line="420" w:lineRule="exact"/>
        <w:jc w:val="center"/>
        <w:outlineLvl w:val="1"/>
        <w:rPr>
          <w:rFonts w:hint="eastAsia" w:ascii="黑体" w:hAnsi="黑体" w:eastAsia="黑体" w:cs="黑体"/>
          <w:b/>
          <w:bCs w:val="0"/>
          <w:color w:val="auto"/>
          <w:sz w:val="32"/>
          <w:szCs w:val="32"/>
          <w:highlight w:val="none"/>
          <w:lang w:val="en-US" w:eastAsia="zh-CN"/>
        </w:rPr>
      </w:pPr>
    </w:p>
    <w:p w14:paraId="01F940A6">
      <w:pPr>
        <w:pStyle w:val="2"/>
        <w:rPr>
          <w:rFonts w:hint="eastAsia" w:ascii="黑体" w:hAnsi="黑体" w:eastAsia="黑体" w:cs="黑体"/>
          <w:b/>
          <w:bCs w:val="0"/>
          <w:color w:val="auto"/>
          <w:sz w:val="32"/>
          <w:szCs w:val="32"/>
          <w:highlight w:val="none"/>
          <w:lang w:val="en-US" w:eastAsia="zh-CN"/>
        </w:rPr>
      </w:pPr>
    </w:p>
    <w:p w14:paraId="16A87DDC">
      <w:pPr>
        <w:rPr>
          <w:rFonts w:hint="eastAsia" w:ascii="黑体" w:hAnsi="黑体" w:eastAsia="黑体" w:cs="黑体"/>
          <w:b/>
          <w:bCs w:val="0"/>
          <w:color w:val="auto"/>
          <w:sz w:val="32"/>
          <w:szCs w:val="32"/>
          <w:highlight w:val="none"/>
          <w:lang w:val="en-US" w:eastAsia="zh-CN"/>
        </w:rPr>
      </w:pPr>
    </w:p>
    <w:p w14:paraId="75AB8792">
      <w:pPr>
        <w:pStyle w:val="2"/>
        <w:rPr>
          <w:rFonts w:hint="eastAsia" w:ascii="黑体" w:hAnsi="黑体" w:eastAsia="黑体" w:cs="黑体"/>
          <w:b/>
          <w:bCs w:val="0"/>
          <w:color w:val="auto"/>
          <w:sz w:val="32"/>
          <w:szCs w:val="32"/>
          <w:highlight w:val="none"/>
          <w:lang w:val="en-US" w:eastAsia="zh-CN"/>
        </w:rPr>
      </w:pPr>
    </w:p>
    <w:p w14:paraId="60C0B616">
      <w:pPr>
        <w:rPr>
          <w:rFonts w:hint="eastAsia" w:ascii="黑体" w:hAnsi="黑体" w:eastAsia="黑体" w:cs="黑体"/>
          <w:b/>
          <w:bCs w:val="0"/>
          <w:color w:val="auto"/>
          <w:sz w:val="32"/>
          <w:szCs w:val="32"/>
          <w:highlight w:val="none"/>
          <w:lang w:val="en-US" w:eastAsia="zh-CN"/>
        </w:rPr>
      </w:pPr>
    </w:p>
    <w:p w14:paraId="31897473">
      <w:pPr>
        <w:pStyle w:val="2"/>
        <w:rPr>
          <w:rFonts w:hint="eastAsia" w:ascii="黑体" w:hAnsi="黑体" w:eastAsia="黑体" w:cs="黑体"/>
          <w:b/>
          <w:bCs w:val="0"/>
          <w:color w:val="auto"/>
          <w:sz w:val="32"/>
          <w:szCs w:val="32"/>
          <w:highlight w:val="none"/>
          <w:lang w:val="en-US" w:eastAsia="zh-CN"/>
        </w:rPr>
      </w:pPr>
    </w:p>
    <w:p w14:paraId="7654CB15">
      <w:pPr>
        <w:rPr>
          <w:rFonts w:hint="eastAsia"/>
          <w:highlight w:val="none"/>
          <w:lang w:val="en-US" w:eastAsia="zh-CN"/>
        </w:rPr>
      </w:pPr>
    </w:p>
    <w:p w14:paraId="3401A5A5">
      <w:pPr>
        <w:spacing w:line="420" w:lineRule="exact"/>
        <w:jc w:val="center"/>
        <w:outlineLvl w:val="1"/>
        <w:rPr>
          <w:rFonts w:hint="eastAsia" w:ascii="黑体" w:hAnsi="黑体" w:eastAsia="黑体" w:cs="黑体"/>
          <w:b/>
          <w:bCs w:val="0"/>
          <w:color w:val="auto"/>
          <w:sz w:val="32"/>
          <w:szCs w:val="32"/>
          <w:highlight w:val="none"/>
          <w:lang w:val="en-US" w:eastAsia="zh-CN"/>
        </w:rPr>
      </w:pPr>
    </w:p>
    <w:p w14:paraId="538F02C4">
      <w:pPr>
        <w:pStyle w:val="2"/>
        <w:rPr>
          <w:rFonts w:hint="eastAsia"/>
          <w:highlight w:val="none"/>
          <w:lang w:val="en-US" w:eastAsia="zh-CN"/>
        </w:rPr>
      </w:pPr>
    </w:p>
    <w:p w14:paraId="64457862">
      <w:pPr>
        <w:spacing w:line="420" w:lineRule="exact"/>
        <w:jc w:val="center"/>
        <w:outlineLvl w:val="1"/>
        <w:rPr>
          <w:rFonts w:hint="eastAsia" w:ascii="黑体" w:hAnsi="黑体" w:eastAsia="黑体" w:cs="黑体"/>
          <w:b/>
          <w:bCs w:val="0"/>
          <w:color w:val="auto"/>
          <w:sz w:val="32"/>
          <w:szCs w:val="32"/>
          <w:highlight w:val="none"/>
          <w:lang w:val="en-US" w:eastAsia="zh-CN"/>
        </w:rPr>
      </w:pPr>
    </w:p>
    <w:p w14:paraId="0F798009">
      <w:pPr>
        <w:spacing w:line="420" w:lineRule="exact"/>
        <w:jc w:val="center"/>
        <w:outlineLvl w:val="1"/>
        <w:rPr>
          <w:rFonts w:hint="eastAsia" w:ascii="黑体" w:hAnsi="黑体" w:eastAsia="黑体" w:cs="黑体"/>
          <w:b/>
          <w:bCs w:val="0"/>
          <w:color w:val="auto"/>
          <w:sz w:val="32"/>
          <w:szCs w:val="32"/>
          <w:highlight w:val="none"/>
          <w:lang w:val="en-US" w:eastAsia="zh-CN"/>
        </w:rPr>
      </w:pPr>
    </w:p>
    <w:p w14:paraId="4CEEC84A">
      <w:pPr>
        <w:spacing w:line="420" w:lineRule="exact"/>
        <w:jc w:val="center"/>
        <w:outlineLvl w:val="1"/>
        <w:rPr>
          <w:rFonts w:hint="eastAsia" w:ascii="仿宋_GB2312" w:hAnsi="仿宋_GB2312" w:eastAsia="仿宋_GB2312" w:cs="仿宋_GB2312"/>
          <w:b/>
          <w:bCs w:val="0"/>
          <w:color w:val="auto"/>
          <w:sz w:val="32"/>
          <w:szCs w:val="32"/>
          <w:highlight w:val="none"/>
          <w:lang w:val="en-US" w:eastAsia="zh-CN"/>
        </w:rPr>
      </w:pPr>
      <w:bookmarkStart w:id="123" w:name="_Toc6366"/>
      <w:r>
        <w:rPr>
          <w:rFonts w:hint="eastAsia" w:ascii="黑体" w:hAnsi="黑体" w:eastAsia="黑体" w:cs="黑体"/>
          <w:b/>
          <w:bCs w:val="0"/>
          <w:color w:val="auto"/>
          <w:sz w:val="32"/>
          <w:szCs w:val="32"/>
          <w:highlight w:val="none"/>
          <w:lang w:val="en-US" w:eastAsia="zh-CN"/>
        </w:rPr>
        <w:t>三、发票</w:t>
      </w:r>
      <w:bookmarkStart w:id="124" w:name="_Toc6995"/>
      <w:bookmarkStart w:id="125" w:name="_Toc19723"/>
      <w:bookmarkStart w:id="126" w:name="_Toc17780"/>
      <w:bookmarkStart w:id="127" w:name="_Toc21968"/>
      <w:r>
        <w:rPr>
          <w:rFonts w:hint="eastAsia" w:ascii="黑体" w:hAnsi="黑体" w:eastAsia="黑体" w:cs="黑体"/>
          <w:b/>
          <w:bCs w:val="0"/>
          <w:color w:val="auto"/>
          <w:sz w:val="32"/>
          <w:szCs w:val="32"/>
          <w:highlight w:val="none"/>
          <w:lang w:val="en-US" w:eastAsia="zh-CN"/>
        </w:rPr>
        <w:t>承诺函</w:t>
      </w:r>
      <w:bookmarkEnd w:id="123"/>
      <w:bookmarkEnd w:id="124"/>
      <w:bookmarkEnd w:id="125"/>
      <w:bookmarkEnd w:id="126"/>
      <w:bookmarkEnd w:id="127"/>
    </w:p>
    <w:p w14:paraId="37756228">
      <w:pPr>
        <w:spacing w:line="360" w:lineRule="auto"/>
        <w:rPr>
          <w:rFonts w:hint="eastAsia" w:ascii="仿宋_GB2312" w:hAnsi="仿宋_GB2312" w:eastAsia="仿宋_GB2312" w:cs="仿宋_GB2312"/>
          <w:color w:val="auto"/>
          <w:sz w:val="24"/>
          <w:szCs w:val="24"/>
          <w:highlight w:val="none"/>
        </w:rPr>
      </w:pPr>
    </w:p>
    <w:p w14:paraId="0CB1D01E">
      <w:pPr>
        <w:pageBreakBefore w:val="0"/>
        <w:widowControl w:val="0"/>
        <w:kinsoku/>
        <w:wordWrap/>
        <w:overflowPunct/>
        <w:topLinePunct w:val="0"/>
        <w:bidi w:val="0"/>
        <w:snapToGrid/>
        <w:spacing w:before="240" w:after="240"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8"/>
          <w:szCs w:val="28"/>
          <w:highlight w:val="none"/>
          <w:u w:val="single"/>
        </w:rPr>
        <w:t xml:space="preserve">赣州市交通投资集团有限责任公司 </w:t>
      </w:r>
      <w:r>
        <w:rPr>
          <w:rFonts w:hint="eastAsia" w:ascii="仿宋_GB2312" w:hAnsi="仿宋_GB2312" w:eastAsia="仿宋_GB2312" w:cs="仿宋_GB2312"/>
          <w:color w:val="auto"/>
          <w:sz w:val="28"/>
          <w:szCs w:val="28"/>
          <w:highlight w:val="none"/>
        </w:rPr>
        <w:t>：</w:t>
      </w:r>
    </w:p>
    <w:p w14:paraId="3746FE00">
      <w:pPr>
        <w:pStyle w:val="9"/>
        <w:keepNext w:val="0"/>
        <w:keepLines w:val="0"/>
        <w:pageBreakBefore w:val="0"/>
        <w:widowControl w:val="0"/>
        <w:kinsoku/>
        <w:wordWrap/>
        <w:overflowPunct/>
        <w:topLinePunct w:val="0"/>
        <w:bidi w:val="0"/>
        <w:snapToGrid/>
        <w:spacing w:line="560" w:lineRule="exact"/>
        <w:ind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我方参加了</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30"/>
          <w:szCs w:val="30"/>
          <w:highlight w:val="none"/>
          <w:u w:val="single"/>
          <w:lang w:val="en-US" w:eastAsia="zh-CN"/>
        </w:rPr>
        <w:t>赣州市交通投资集团</w:t>
      </w:r>
      <w:r>
        <w:rPr>
          <w:rFonts w:hint="eastAsia" w:ascii="仿宋_GB2312" w:hAnsi="仿宋_GB2312" w:eastAsia="仿宋_GB2312" w:cs="仿宋_GB2312"/>
          <w:color w:val="auto"/>
          <w:sz w:val="30"/>
          <w:szCs w:val="30"/>
          <w:highlight w:val="none"/>
          <w:u w:val="single"/>
          <w:lang w:eastAsia="zh-CN"/>
        </w:rPr>
        <w:t>有限</w:t>
      </w:r>
      <w:r>
        <w:rPr>
          <w:rFonts w:hint="eastAsia" w:ascii="仿宋_GB2312" w:hAnsi="仿宋_GB2312" w:eastAsia="仿宋_GB2312" w:cs="仿宋_GB2312"/>
          <w:color w:val="auto"/>
          <w:sz w:val="30"/>
          <w:szCs w:val="30"/>
          <w:highlight w:val="none"/>
          <w:u w:val="single"/>
          <w:lang w:val="en-US" w:eastAsia="zh-CN"/>
        </w:rPr>
        <w:t>责任</w:t>
      </w:r>
      <w:r>
        <w:rPr>
          <w:rFonts w:hint="eastAsia" w:ascii="仿宋_GB2312" w:hAnsi="仿宋_GB2312" w:eastAsia="仿宋_GB2312" w:cs="仿宋_GB2312"/>
          <w:color w:val="auto"/>
          <w:sz w:val="30"/>
          <w:szCs w:val="30"/>
          <w:highlight w:val="none"/>
          <w:u w:val="single"/>
          <w:lang w:eastAsia="zh-CN"/>
        </w:rPr>
        <w:t>公司</w:t>
      </w:r>
      <w:r>
        <w:rPr>
          <w:rFonts w:hint="eastAsia" w:ascii="仿宋_GB2312" w:hAnsi="仿宋_GB2312" w:eastAsia="仿宋_GB2312" w:cs="仿宋_GB2312"/>
          <w:color w:val="auto"/>
          <w:sz w:val="30"/>
          <w:szCs w:val="30"/>
          <w:highlight w:val="none"/>
          <w:u w:val="single"/>
          <w:lang w:val="en-US" w:eastAsia="zh-CN"/>
        </w:rPr>
        <w:t>2026-2027年度</w:t>
      </w:r>
      <w:r>
        <w:rPr>
          <w:rFonts w:hint="eastAsia" w:ascii="仿宋_GB2312" w:hAnsi="仿宋_GB2312" w:eastAsia="仿宋_GB2312" w:cs="仿宋_GB2312"/>
          <w:color w:val="auto"/>
          <w:sz w:val="30"/>
          <w:szCs w:val="30"/>
          <w:highlight w:val="none"/>
          <w:u w:val="single"/>
          <w:lang w:eastAsia="zh-CN"/>
        </w:rPr>
        <w:t>沥青</w:t>
      </w:r>
      <w:r>
        <w:rPr>
          <w:rFonts w:hint="eastAsia" w:ascii="仿宋_GB2312" w:hAnsi="仿宋_GB2312" w:eastAsia="仿宋_GB2312" w:cs="仿宋_GB2312"/>
          <w:color w:val="auto"/>
          <w:sz w:val="30"/>
          <w:szCs w:val="30"/>
          <w:highlight w:val="none"/>
          <w:u w:val="single"/>
          <w:lang w:val="en-US" w:eastAsia="zh-CN"/>
        </w:rPr>
        <w:t>采购项目</w:t>
      </w:r>
      <w:r>
        <w:rPr>
          <w:rFonts w:hint="eastAsia" w:ascii="仿宋_GB2312" w:hAnsi="仿宋_GB2312" w:eastAsia="仿宋_GB2312" w:cs="仿宋_GB2312"/>
          <w:color w:val="auto"/>
          <w:sz w:val="30"/>
          <w:szCs w:val="30"/>
          <w:highlight w:val="none"/>
          <w:u w:val="none"/>
          <w:lang w:val="en-US" w:eastAsia="zh-CN"/>
        </w:rPr>
        <w:t xml:space="preserve"> </w:t>
      </w:r>
      <w:r>
        <w:rPr>
          <w:rFonts w:hint="eastAsia" w:ascii="仿宋_GB2312" w:hAnsi="仿宋_GB2312" w:eastAsia="仿宋_GB2312" w:cs="仿宋_GB2312"/>
          <w:color w:val="auto"/>
          <w:sz w:val="28"/>
          <w:szCs w:val="28"/>
          <w:highlight w:val="none"/>
          <w:u w:val="none"/>
        </w:rPr>
        <w:t>询价报价</w:t>
      </w:r>
      <w:r>
        <w:rPr>
          <w:rFonts w:hint="eastAsia" w:ascii="仿宋_GB2312" w:hAnsi="仿宋_GB2312" w:eastAsia="仿宋_GB2312" w:cs="仿宋_GB2312"/>
          <w:color w:val="auto"/>
          <w:sz w:val="28"/>
          <w:szCs w:val="28"/>
          <w:highlight w:val="none"/>
        </w:rPr>
        <w:t>，我方在此承诺：</w:t>
      </w:r>
    </w:p>
    <w:p w14:paraId="50AF066A">
      <w:pPr>
        <w:keepNext w:val="0"/>
        <w:keepLines w:val="0"/>
        <w:pageBreakBefore w:val="0"/>
        <w:widowControl w:val="0"/>
        <w:kinsoku/>
        <w:wordWrap/>
        <w:overflowPunct/>
        <w:topLinePunct w:val="0"/>
        <w:bidi w:val="0"/>
        <w:snapToGrid/>
        <w:spacing w:line="560" w:lineRule="exact"/>
        <w:ind w:left="0" w:leftChars="0" w:firstLine="560" w:firstLineChars="200"/>
        <w:textAlignment w:val="auto"/>
        <w:rPr>
          <w:rFonts w:hint="eastAsia"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u w:val="none"/>
          <w:lang w:eastAsia="zh-CN"/>
        </w:rPr>
        <w:t>如我方确定为中选单位，我</w:t>
      </w:r>
      <w:r>
        <w:rPr>
          <w:rFonts w:hint="eastAsia" w:ascii="仿宋_GB2312" w:hAnsi="仿宋_GB2312" w:eastAsia="仿宋_GB2312" w:cs="仿宋_GB2312"/>
          <w:color w:val="auto"/>
          <w:sz w:val="28"/>
          <w:szCs w:val="28"/>
          <w:highlight w:val="none"/>
          <w:u w:val="none"/>
          <w:lang w:val="en-US" w:eastAsia="zh-CN"/>
        </w:rPr>
        <w:t>方在本项目实施完成承诺向合同签订人提供发票的税率为：</w:t>
      </w:r>
      <w:r>
        <w:rPr>
          <w:rFonts w:hint="eastAsia" w:ascii="仿宋_GB2312" w:hAnsi="仿宋_GB2312" w:eastAsia="仿宋_GB2312" w:cs="仿宋_GB2312"/>
          <w:b/>
          <w:bCs/>
          <w:color w:val="auto"/>
          <w:sz w:val="28"/>
          <w:szCs w:val="28"/>
          <w:highlight w:val="none"/>
          <w:u w:val="none"/>
          <w:lang w:val="en-US" w:eastAsia="zh-CN"/>
        </w:rPr>
        <w:t>13%</w:t>
      </w:r>
      <w:r>
        <w:rPr>
          <w:rFonts w:hint="eastAsia" w:ascii="仿宋_GB2312" w:hAnsi="仿宋_GB2312" w:eastAsia="仿宋_GB2312" w:cs="仿宋_GB2312"/>
          <w:color w:val="auto"/>
          <w:sz w:val="28"/>
          <w:szCs w:val="28"/>
          <w:highlight w:val="none"/>
          <w:u w:val="none"/>
          <w:lang w:val="en-US" w:eastAsia="zh-CN"/>
        </w:rPr>
        <w:t>。发票的类型为：</w:t>
      </w:r>
      <w:r>
        <w:rPr>
          <w:rFonts w:hint="eastAsia" w:ascii="仿宋_GB2312" w:hAnsi="仿宋_GB2312" w:eastAsia="仿宋_GB2312" w:cs="仿宋_GB2312"/>
          <w:b/>
          <w:bCs/>
          <w:color w:val="auto"/>
          <w:sz w:val="28"/>
          <w:szCs w:val="28"/>
          <w:highlight w:val="none"/>
          <w:u w:val="none"/>
          <w:lang w:val="en-US" w:eastAsia="zh-CN"/>
        </w:rPr>
        <w:t>增值税</w:t>
      </w:r>
      <w:r>
        <w:rPr>
          <w:rFonts w:hint="eastAsia" w:ascii="仿宋_GB2312" w:hAnsi="仿宋_GB2312" w:eastAsia="仿宋_GB2312" w:cs="仿宋_GB2312"/>
          <w:b/>
          <w:bCs/>
          <w:color w:val="auto"/>
          <w:sz w:val="28"/>
          <w:szCs w:val="28"/>
          <w:highlight w:val="none"/>
          <w:u w:val="single"/>
          <w:lang w:val="en-US" w:eastAsia="zh-CN"/>
        </w:rPr>
        <w:t xml:space="preserve"> 专用 </w:t>
      </w:r>
      <w:r>
        <w:rPr>
          <w:rFonts w:hint="eastAsia" w:ascii="仿宋_GB2312" w:hAnsi="仿宋_GB2312" w:eastAsia="仿宋_GB2312" w:cs="仿宋_GB2312"/>
          <w:b/>
          <w:bCs/>
          <w:color w:val="auto"/>
          <w:sz w:val="28"/>
          <w:szCs w:val="28"/>
          <w:highlight w:val="none"/>
          <w:u w:val="none"/>
          <w:lang w:val="en-US" w:eastAsia="zh-CN"/>
        </w:rPr>
        <w:t>发票</w:t>
      </w:r>
      <w:r>
        <w:rPr>
          <w:rFonts w:hint="eastAsia" w:ascii="仿宋_GB2312" w:hAnsi="仿宋_GB2312" w:eastAsia="仿宋_GB2312" w:cs="仿宋_GB2312"/>
          <w:color w:val="auto"/>
          <w:sz w:val="28"/>
          <w:szCs w:val="28"/>
          <w:highlight w:val="none"/>
          <w:u w:val="none"/>
          <w:lang w:val="en-US" w:eastAsia="zh-CN"/>
        </w:rPr>
        <w:t>。</w:t>
      </w:r>
    </w:p>
    <w:p w14:paraId="4899EAF5">
      <w:pPr>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如我方违背了上述承诺，本项目</w:t>
      </w:r>
      <w:r>
        <w:rPr>
          <w:rFonts w:hint="eastAsia" w:ascii="仿宋_GB2312" w:hAnsi="仿宋_GB2312" w:eastAsia="仿宋_GB2312" w:cs="仿宋_GB2312"/>
          <w:color w:val="auto"/>
          <w:sz w:val="28"/>
          <w:szCs w:val="28"/>
          <w:highlight w:val="none"/>
          <w:u w:val="none"/>
          <w:lang w:val="en-US" w:eastAsia="zh-CN"/>
        </w:rPr>
        <w:t>合同签订人</w:t>
      </w:r>
      <w:r>
        <w:rPr>
          <w:rFonts w:hint="eastAsia" w:ascii="仿宋_GB2312" w:hAnsi="仿宋_GB2312" w:eastAsia="仿宋_GB2312" w:cs="仿宋_GB2312"/>
          <w:color w:val="auto"/>
          <w:sz w:val="28"/>
          <w:szCs w:val="28"/>
          <w:highlight w:val="none"/>
        </w:rPr>
        <w:t>有权</w:t>
      </w:r>
      <w:r>
        <w:rPr>
          <w:rFonts w:hint="eastAsia" w:ascii="仿宋_GB2312" w:hAnsi="仿宋_GB2312" w:eastAsia="仿宋_GB2312" w:cs="仿宋_GB2312"/>
          <w:color w:val="auto"/>
          <w:sz w:val="28"/>
          <w:szCs w:val="28"/>
          <w:highlight w:val="none"/>
          <w:lang w:eastAsia="zh-CN"/>
        </w:rPr>
        <w:t>从工程（货物）支付款中，根据我方提供的</w:t>
      </w:r>
      <w:r>
        <w:rPr>
          <w:rFonts w:hint="eastAsia" w:ascii="仿宋_GB2312" w:hAnsi="仿宋_GB2312" w:eastAsia="仿宋_GB2312" w:cs="仿宋_GB2312"/>
          <w:b/>
          <w:bCs/>
          <w:color w:val="auto"/>
          <w:sz w:val="28"/>
          <w:szCs w:val="28"/>
          <w:highlight w:val="none"/>
          <w:u w:val="none"/>
          <w:lang w:val="en-US" w:eastAsia="zh-CN"/>
        </w:rPr>
        <w:t>增值税</w:t>
      </w:r>
      <w:r>
        <w:rPr>
          <w:rFonts w:hint="eastAsia" w:ascii="仿宋_GB2312" w:hAnsi="仿宋_GB2312" w:eastAsia="仿宋_GB2312" w:cs="仿宋_GB2312"/>
          <w:b/>
          <w:bCs/>
          <w:color w:val="auto"/>
          <w:sz w:val="28"/>
          <w:szCs w:val="28"/>
          <w:highlight w:val="none"/>
          <w:u w:val="single"/>
          <w:lang w:val="en-US" w:eastAsia="zh-CN"/>
        </w:rPr>
        <w:t xml:space="preserve"> 专用 </w:t>
      </w:r>
      <w:r>
        <w:rPr>
          <w:rFonts w:hint="eastAsia" w:ascii="仿宋_GB2312" w:hAnsi="仿宋_GB2312" w:eastAsia="仿宋_GB2312" w:cs="仿宋_GB2312"/>
          <w:b/>
          <w:bCs/>
          <w:color w:val="auto"/>
          <w:sz w:val="28"/>
          <w:szCs w:val="28"/>
          <w:highlight w:val="none"/>
          <w:u w:val="none"/>
          <w:lang w:val="en-US" w:eastAsia="zh-CN"/>
        </w:rPr>
        <w:t>发票</w:t>
      </w:r>
      <w:r>
        <w:rPr>
          <w:rFonts w:hint="eastAsia" w:ascii="仿宋_GB2312" w:hAnsi="仿宋_GB2312" w:eastAsia="仿宋_GB2312" w:cs="仿宋_GB2312"/>
          <w:color w:val="auto"/>
          <w:sz w:val="28"/>
          <w:szCs w:val="28"/>
          <w:highlight w:val="none"/>
          <w:lang w:eastAsia="zh-CN"/>
        </w:rPr>
        <w:t>进行折算扣除</w:t>
      </w:r>
      <w:r>
        <w:rPr>
          <w:rFonts w:hint="eastAsia" w:ascii="仿宋_GB2312" w:hAnsi="仿宋_GB2312" w:eastAsia="仿宋_GB2312" w:cs="仿宋_GB2312"/>
          <w:color w:val="auto"/>
          <w:sz w:val="28"/>
          <w:szCs w:val="28"/>
          <w:highlight w:val="none"/>
        </w:rPr>
        <w:t>，并可以将我方的违约行为上报相关部门，作为不良记录纳入相应市场信用信息管理系统。</w:t>
      </w:r>
    </w:p>
    <w:p w14:paraId="078A7745">
      <w:pPr>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28"/>
          <w:szCs w:val="28"/>
          <w:highlight w:val="none"/>
        </w:rPr>
      </w:pPr>
    </w:p>
    <w:p w14:paraId="2004C204">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line="560" w:lineRule="exact"/>
        <w:ind w:left="2940" w:leftChars="14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(盖</w:t>
      </w:r>
      <w:r>
        <w:rPr>
          <w:rFonts w:hint="eastAsia" w:ascii="仿宋_GB2312" w:hAnsi="仿宋_GB2312" w:eastAsia="仿宋_GB2312" w:cs="仿宋_GB2312"/>
          <w:color w:val="auto"/>
          <w:spacing w:val="-1"/>
          <w:sz w:val="28"/>
          <w:szCs w:val="28"/>
          <w:highlight w:val="none"/>
        </w:rPr>
        <w:t>单</w:t>
      </w:r>
      <w:r>
        <w:rPr>
          <w:rFonts w:hint="eastAsia" w:ascii="仿宋_GB2312" w:hAnsi="仿宋_GB2312" w:eastAsia="仿宋_GB2312" w:cs="仿宋_GB2312"/>
          <w:color w:val="auto"/>
          <w:sz w:val="28"/>
          <w:szCs w:val="28"/>
          <w:highlight w:val="none"/>
        </w:rPr>
        <w:t xml:space="preserve">位章) </w:t>
      </w:r>
    </w:p>
    <w:p w14:paraId="5EBBD04B">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line="560" w:lineRule="exact"/>
        <w:ind w:left="2940" w:leftChars="1400"/>
        <w:textAlignment w:val="auto"/>
        <w:rPr>
          <w:rFonts w:hint="default"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rPr>
        <w:t>法定代表人</w:t>
      </w:r>
    </w:p>
    <w:p w14:paraId="060FB5B9">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line="560" w:lineRule="exact"/>
        <w:ind w:left="2940" w:leftChars="14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或其委托代理人：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rPr>
        <w:tab/>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pacing w:val="-1"/>
          <w:sz w:val="28"/>
          <w:szCs w:val="28"/>
          <w:highlight w:val="none"/>
        </w:rPr>
        <w:t>签</w:t>
      </w:r>
      <w:r>
        <w:rPr>
          <w:rFonts w:hint="eastAsia" w:ascii="仿宋_GB2312" w:hAnsi="仿宋_GB2312" w:eastAsia="仿宋_GB2312" w:cs="仿宋_GB2312"/>
          <w:color w:val="auto"/>
          <w:sz w:val="28"/>
          <w:szCs w:val="28"/>
          <w:highlight w:val="none"/>
        </w:rPr>
        <w:t xml:space="preserve">字) </w:t>
      </w:r>
    </w:p>
    <w:p w14:paraId="0B35082B">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line="560" w:lineRule="exact"/>
        <w:ind w:left="2940" w:leftChars="14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8"/>
          <w:szCs w:val="28"/>
          <w:highlight w:val="none"/>
        </w:rPr>
        <w:t>承诺时间：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39DF94B2">
      <w:pPr>
        <w:pageBreakBefore w:val="0"/>
        <w:widowControl w:val="0"/>
        <w:kinsoku/>
        <w:wordWrap/>
        <w:overflowPunct/>
        <w:topLinePunct w:val="0"/>
        <w:bidi w:val="0"/>
        <w:snapToGrid/>
        <w:spacing w:line="460" w:lineRule="exact"/>
        <w:textAlignment w:val="auto"/>
        <w:rPr>
          <w:rFonts w:hint="eastAsia" w:ascii="仿宋_GB2312" w:hAnsi="仿宋_GB2312" w:eastAsia="仿宋_GB2312" w:cs="仿宋_GB2312"/>
          <w:color w:val="auto"/>
          <w:sz w:val="24"/>
          <w:szCs w:val="24"/>
          <w:highlight w:val="none"/>
          <w:lang w:val="en-US" w:eastAsia="zh-CN"/>
        </w:rPr>
      </w:pPr>
    </w:p>
    <w:p w14:paraId="50BC4B99">
      <w:pPr>
        <w:pageBreakBefore w:val="0"/>
        <w:widowControl w:val="0"/>
        <w:kinsoku/>
        <w:wordWrap/>
        <w:overflowPunct/>
        <w:topLinePunct w:val="0"/>
        <w:bidi w:val="0"/>
        <w:snapToGrid/>
        <w:spacing w:line="460" w:lineRule="exact"/>
        <w:textAlignment w:val="auto"/>
        <w:rPr>
          <w:rFonts w:hint="eastAsia" w:ascii="仿宋_GB2312" w:hAnsi="仿宋_GB2312" w:eastAsia="仿宋_GB2312" w:cs="仿宋_GB2312"/>
          <w:color w:val="auto"/>
          <w:sz w:val="24"/>
          <w:szCs w:val="24"/>
          <w:highlight w:val="none"/>
          <w:lang w:val="en-US" w:eastAsia="zh-CN"/>
        </w:rPr>
      </w:pPr>
    </w:p>
    <w:p w14:paraId="268C9BAA">
      <w:pPr>
        <w:bidi w:val="0"/>
        <w:rPr>
          <w:rFonts w:hint="eastAsia"/>
          <w:color w:val="auto"/>
          <w:highlight w:val="none"/>
          <w:lang w:val="en-US" w:eastAsia="zh-CN"/>
        </w:rPr>
      </w:pPr>
    </w:p>
    <w:p w14:paraId="20EA22AE">
      <w:pPr>
        <w:bidi w:val="0"/>
        <w:rPr>
          <w:rFonts w:hint="eastAsia"/>
          <w:color w:val="auto"/>
          <w:highlight w:val="none"/>
          <w:lang w:val="en-US" w:eastAsia="zh-CN"/>
        </w:rPr>
      </w:pPr>
    </w:p>
    <w:p w14:paraId="20D0DAAE">
      <w:pPr>
        <w:bidi w:val="0"/>
        <w:rPr>
          <w:rFonts w:hint="eastAsia"/>
          <w:color w:val="auto"/>
          <w:highlight w:val="none"/>
          <w:lang w:val="en-US" w:eastAsia="zh-CN"/>
        </w:rPr>
      </w:pPr>
    </w:p>
    <w:p w14:paraId="00FF1F5D">
      <w:pPr>
        <w:bidi w:val="0"/>
        <w:rPr>
          <w:rFonts w:hint="eastAsia"/>
          <w:color w:val="auto"/>
          <w:highlight w:val="none"/>
          <w:lang w:val="en-US" w:eastAsia="zh-CN"/>
        </w:rPr>
      </w:pPr>
    </w:p>
    <w:p w14:paraId="4920747E">
      <w:pPr>
        <w:bidi w:val="0"/>
        <w:rPr>
          <w:rFonts w:hint="eastAsia"/>
          <w:color w:val="auto"/>
          <w:highlight w:val="none"/>
          <w:lang w:val="en-US" w:eastAsia="zh-CN"/>
        </w:rPr>
      </w:pPr>
    </w:p>
    <w:p w14:paraId="7E312AAA">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注：本承诺函的发票税率及类型须与报价函的税率一致，税率为13%，不可更改。</w:t>
      </w:r>
    </w:p>
    <w:p w14:paraId="4633BAA9">
      <w:pPr>
        <w:bidi w:val="0"/>
        <w:rPr>
          <w:rFonts w:hint="eastAsia"/>
          <w:color w:val="auto"/>
          <w:highlight w:val="none"/>
          <w:lang w:val="en-US" w:eastAsia="zh-CN"/>
        </w:rPr>
        <w:sectPr>
          <w:footerReference r:id="rId5" w:type="default"/>
          <w:pgSz w:w="11906" w:h="16838"/>
          <w:pgMar w:top="1417" w:right="1803" w:bottom="1417" w:left="1803" w:header="851" w:footer="992" w:gutter="0"/>
          <w:pgNumType w:fmt="decimal" w:start="1"/>
          <w:cols w:space="720" w:num="1"/>
          <w:docGrid w:type="lines" w:linePitch="312" w:charSpace="0"/>
        </w:sectPr>
      </w:pPr>
    </w:p>
    <w:bookmarkEnd w:id="120"/>
    <w:bookmarkEnd w:id="121"/>
    <w:bookmarkEnd w:id="122"/>
    <w:p w14:paraId="50B28D35">
      <w:pPr>
        <w:spacing w:line="420" w:lineRule="exact"/>
        <w:jc w:val="center"/>
        <w:outlineLvl w:val="1"/>
        <w:rPr>
          <w:rFonts w:hint="eastAsia" w:ascii="仿宋_GB2312" w:hAnsi="仿宋_GB2312" w:eastAsia="仿宋_GB2312" w:cs="仿宋_GB2312"/>
          <w:b/>
          <w:bCs w:val="0"/>
          <w:color w:val="auto"/>
          <w:sz w:val="24"/>
          <w:szCs w:val="24"/>
          <w:highlight w:val="none"/>
          <w:lang w:val="en-US" w:eastAsia="zh-CN"/>
        </w:rPr>
      </w:pPr>
      <w:bookmarkStart w:id="128" w:name="_Toc30057"/>
      <w:bookmarkStart w:id="129" w:name="_Toc6134"/>
      <w:r>
        <w:rPr>
          <w:rFonts w:hint="eastAsia" w:ascii="黑体" w:hAnsi="黑体" w:eastAsia="黑体" w:cs="黑体"/>
          <w:b/>
          <w:bCs w:val="0"/>
          <w:color w:val="auto"/>
          <w:sz w:val="32"/>
          <w:szCs w:val="32"/>
          <w:highlight w:val="none"/>
          <w:lang w:val="en-US" w:eastAsia="zh-CN"/>
        </w:rPr>
        <w:t>四、信誉承诺表</w:t>
      </w:r>
      <w:bookmarkEnd w:id="128"/>
      <w:bookmarkEnd w:id="129"/>
    </w:p>
    <w:p w14:paraId="13227A32">
      <w:pPr>
        <w:spacing w:line="420" w:lineRule="exact"/>
        <w:ind w:firstLine="480"/>
        <w:rPr>
          <w:rFonts w:hint="eastAsia" w:ascii="仿宋_GB2312" w:hAnsi="仿宋_GB2312" w:eastAsia="仿宋_GB2312" w:cs="仿宋_GB2312"/>
          <w:color w:val="auto"/>
          <w:sz w:val="24"/>
          <w:szCs w:val="24"/>
          <w:highlight w:val="none"/>
        </w:rPr>
      </w:pPr>
    </w:p>
    <w:tbl>
      <w:tblPr>
        <w:tblStyle w:val="21"/>
        <w:tblW w:w="888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39"/>
        <w:gridCol w:w="5693"/>
        <w:gridCol w:w="2154"/>
      </w:tblGrid>
      <w:tr w14:paraId="78C9D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2" w:hRule="atLeast"/>
          <w:jc w:val="center"/>
        </w:trPr>
        <w:tc>
          <w:tcPr>
            <w:tcW w:w="1039" w:type="dxa"/>
            <w:noWrap w:val="0"/>
            <w:vAlign w:val="center"/>
          </w:tcPr>
          <w:p w14:paraId="483F96C1">
            <w:pPr>
              <w:keepNext w:val="0"/>
              <w:keepLines w:val="0"/>
              <w:suppressLineNumbers w:val="0"/>
              <w:adjustRightInd w:val="0"/>
              <w:snapToGrid w:val="0"/>
              <w:spacing w:before="0" w:beforeAutospacing="0" w:after="0" w:afterAutospacing="0" w:line="42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5693" w:type="dxa"/>
            <w:noWrap w:val="0"/>
            <w:vAlign w:val="center"/>
          </w:tcPr>
          <w:p w14:paraId="0D5FE359">
            <w:pPr>
              <w:keepNext w:val="0"/>
              <w:keepLines w:val="0"/>
              <w:suppressLineNumbers w:val="0"/>
              <w:adjustRightInd w:val="0"/>
              <w:snapToGrid w:val="0"/>
              <w:spacing w:before="0" w:beforeAutospacing="0" w:after="0" w:afterAutospacing="0" w:line="42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信誉内容</w:t>
            </w:r>
          </w:p>
        </w:tc>
        <w:tc>
          <w:tcPr>
            <w:tcW w:w="2154" w:type="dxa"/>
            <w:noWrap w:val="0"/>
            <w:vAlign w:val="center"/>
          </w:tcPr>
          <w:p w14:paraId="2E2C71DF">
            <w:pPr>
              <w:keepNext w:val="0"/>
              <w:keepLines w:val="0"/>
              <w:suppressLineNumbers w:val="0"/>
              <w:adjustRightInd w:val="0"/>
              <w:snapToGrid w:val="0"/>
              <w:spacing w:before="0" w:beforeAutospacing="0" w:after="0" w:afterAutospacing="0" w:line="42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报价人情况说明</w:t>
            </w:r>
          </w:p>
        </w:tc>
      </w:tr>
      <w:tr w14:paraId="124E47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1" w:hRule="atLeast"/>
          <w:jc w:val="center"/>
        </w:trPr>
        <w:tc>
          <w:tcPr>
            <w:tcW w:w="1039" w:type="dxa"/>
            <w:noWrap w:val="0"/>
            <w:vAlign w:val="center"/>
          </w:tcPr>
          <w:p w14:paraId="09142767">
            <w:pPr>
              <w:keepNext w:val="0"/>
              <w:keepLines w:val="0"/>
              <w:suppressLineNumbers w:val="0"/>
              <w:autoSpaceDE w:val="0"/>
              <w:autoSpaceDN w:val="0"/>
              <w:adjustRightInd w:val="0"/>
              <w:snapToGrid w:val="0"/>
              <w:spacing w:before="0" w:beforeAutospacing="0" w:after="0" w:afterAutospacing="0" w:line="42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5693" w:type="dxa"/>
            <w:noWrap w:val="0"/>
            <w:vAlign w:val="center"/>
          </w:tcPr>
          <w:p w14:paraId="53945AD8">
            <w:pPr>
              <w:keepNext w:val="0"/>
              <w:keepLines w:val="0"/>
              <w:suppressLineNumbers w:val="0"/>
              <w:autoSpaceDE w:val="0"/>
              <w:autoSpaceDN w:val="0"/>
              <w:adjustRightInd w:val="0"/>
              <w:snapToGrid w:val="0"/>
              <w:spacing w:before="0" w:beforeAutospacing="0" w:after="0" w:afterAutospacing="0" w:line="420" w:lineRule="exact"/>
              <w:ind w:left="0" w:right="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是否被责令停业，暂扣或吊销执照，或吊销资质证书</w:t>
            </w:r>
          </w:p>
        </w:tc>
        <w:tc>
          <w:tcPr>
            <w:tcW w:w="2154" w:type="dxa"/>
            <w:noWrap w:val="0"/>
            <w:vAlign w:val="center"/>
          </w:tcPr>
          <w:p w14:paraId="5D0D40B6">
            <w:pPr>
              <w:keepNext w:val="0"/>
              <w:keepLines w:val="0"/>
              <w:suppressLineNumbers w:val="0"/>
              <w:adjustRightInd w:val="0"/>
              <w:snapToGrid w:val="0"/>
              <w:spacing w:before="0" w:beforeAutospacing="0" w:after="0" w:afterAutospacing="0" w:line="420" w:lineRule="exact"/>
              <w:ind w:left="0" w:right="0"/>
              <w:rPr>
                <w:rFonts w:hint="eastAsia" w:ascii="仿宋_GB2312" w:hAnsi="仿宋_GB2312" w:eastAsia="仿宋_GB2312" w:cs="仿宋_GB2312"/>
                <w:color w:val="auto"/>
                <w:sz w:val="24"/>
                <w:szCs w:val="24"/>
                <w:highlight w:val="none"/>
              </w:rPr>
            </w:pPr>
          </w:p>
        </w:tc>
      </w:tr>
      <w:tr w14:paraId="359F29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7" w:hRule="atLeast"/>
          <w:jc w:val="center"/>
        </w:trPr>
        <w:tc>
          <w:tcPr>
            <w:tcW w:w="1039" w:type="dxa"/>
            <w:noWrap w:val="0"/>
            <w:vAlign w:val="center"/>
          </w:tcPr>
          <w:p w14:paraId="291D9B5A">
            <w:pPr>
              <w:keepNext w:val="0"/>
              <w:keepLines w:val="0"/>
              <w:suppressLineNumbers w:val="0"/>
              <w:adjustRightInd w:val="0"/>
              <w:snapToGrid w:val="0"/>
              <w:spacing w:before="0" w:beforeAutospacing="0" w:after="0" w:afterAutospacing="0" w:line="42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p>
        </w:tc>
        <w:tc>
          <w:tcPr>
            <w:tcW w:w="5693" w:type="dxa"/>
            <w:noWrap w:val="0"/>
            <w:vAlign w:val="center"/>
          </w:tcPr>
          <w:p w14:paraId="3E14B992">
            <w:pPr>
              <w:keepNext w:val="0"/>
              <w:keepLines w:val="0"/>
              <w:suppressLineNumbers w:val="0"/>
              <w:autoSpaceDE w:val="0"/>
              <w:autoSpaceDN w:val="0"/>
              <w:adjustRightInd w:val="0"/>
              <w:snapToGrid w:val="0"/>
              <w:spacing w:before="0" w:beforeAutospacing="0" w:after="0" w:afterAutospacing="0" w:line="420" w:lineRule="exact"/>
              <w:ind w:left="0" w:right="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是否进入清算程序，或被宣告破产，或其他丧失履约能力的情形</w:t>
            </w:r>
          </w:p>
        </w:tc>
        <w:tc>
          <w:tcPr>
            <w:tcW w:w="2154" w:type="dxa"/>
            <w:noWrap w:val="0"/>
            <w:vAlign w:val="center"/>
          </w:tcPr>
          <w:p w14:paraId="55455B43">
            <w:pPr>
              <w:keepNext w:val="0"/>
              <w:keepLines w:val="0"/>
              <w:suppressLineNumbers w:val="0"/>
              <w:adjustRightInd w:val="0"/>
              <w:snapToGrid w:val="0"/>
              <w:spacing w:before="0" w:beforeAutospacing="0" w:after="0" w:afterAutospacing="0" w:line="420" w:lineRule="exact"/>
              <w:ind w:left="0" w:right="0"/>
              <w:rPr>
                <w:rFonts w:hint="eastAsia" w:ascii="仿宋_GB2312" w:hAnsi="仿宋_GB2312" w:eastAsia="仿宋_GB2312" w:cs="仿宋_GB2312"/>
                <w:color w:val="auto"/>
                <w:sz w:val="24"/>
                <w:szCs w:val="24"/>
                <w:highlight w:val="none"/>
              </w:rPr>
            </w:pPr>
          </w:p>
        </w:tc>
      </w:tr>
      <w:tr w14:paraId="685759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6" w:hRule="atLeast"/>
          <w:jc w:val="center"/>
        </w:trPr>
        <w:tc>
          <w:tcPr>
            <w:tcW w:w="1039" w:type="dxa"/>
            <w:noWrap w:val="0"/>
            <w:vAlign w:val="center"/>
          </w:tcPr>
          <w:p w14:paraId="6847D5E2">
            <w:pPr>
              <w:keepNext w:val="0"/>
              <w:keepLines w:val="0"/>
              <w:suppressLineNumbers w:val="0"/>
              <w:adjustRightInd w:val="0"/>
              <w:snapToGrid w:val="0"/>
              <w:spacing w:before="0" w:beforeAutospacing="0" w:after="0" w:afterAutospacing="0" w:line="42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w:t>
            </w:r>
          </w:p>
        </w:tc>
        <w:tc>
          <w:tcPr>
            <w:tcW w:w="5693" w:type="dxa"/>
            <w:noWrap w:val="0"/>
            <w:vAlign w:val="center"/>
          </w:tcPr>
          <w:p w14:paraId="1B1BEB7E">
            <w:pPr>
              <w:keepNext w:val="0"/>
              <w:keepLines w:val="0"/>
              <w:suppressLineNumbers w:val="0"/>
              <w:autoSpaceDE w:val="0"/>
              <w:autoSpaceDN w:val="0"/>
              <w:adjustRightInd w:val="0"/>
              <w:snapToGrid w:val="0"/>
              <w:spacing w:before="0" w:beforeAutospacing="0" w:after="0" w:afterAutospacing="0" w:line="420" w:lineRule="exact"/>
              <w:ind w:left="0" w:right="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是否在国家企业信用信息公示系统</w:t>
            </w:r>
            <w:r>
              <w:rPr>
                <w:rFonts w:hint="eastAsia" w:ascii="仿宋_GB2312" w:hAnsi="仿宋_GB2312" w:eastAsia="仿宋_GB2312" w:cs="仿宋_GB2312"/>
                <w:color w:val="auto"/>
                <w:sz w:val="24"/>
                <w:szCs w:val="24"/>
                <w:highlight w:val="none"/>
              </w:rPr>
              <w:fldChar w:fldCharType="begin"/>
            </w:r>
            <w:r>
              <w:rPr>
                <w:rFonts w:hint="eastAsia" w:ascii="仿宋_GB2312" w:hAnsi="仿宋_GB2312" w:eastAsia="仿宋_GB2312" w:cs="仿宋_GB2312"/>
                <w:color w:val="auto"/>
                <w:sz w:val="24"/>
                <w:szCs w:val="24"/>
                <w:highlight w:val="none"/>
              </w:rPr>
              <w:instrText xml:space="preserve"> HYPERLINK "http://www.gsxt.gov.cn/" \h </w:instrText>
            </w:r>
            <w:r>
              <w:rPr>
                <w:rFonts w:hint="eastAsia" w:ascii="仿宋_GB2312" w:hAnsi="仿宋_GB2312" w:eastAsia="仿宋_GB2312" w:cs="仿宋_GB2312"/>
                <w:color w:val="auto"/>
                <w:sz w:val="24"/>
                <w:szCs w:val="24"/>
                <w:highlight w:val="none"/>
              </w:rPr>
              <w:fldChar w:fldCharType="separate"/>
            </w:r>
            <w:r>
              <w:rPr>
                <w:rFonts w:hint="eastAsia" w:ascii="仿宋_GB2312" w:hAnsi="仿宋_GB2312" w:eastAsia="仿宋_GB2312" w:cs="仿宋_GB2312"/>
                <w:color w:val="auto"/>
                <w:sz w:val="24"/>
                <w:szCs w:val="24"/>
                <w:highlight w:val="none"/>
              </w:rPr>
              <w:t>（http://www.gsxt.gov.cn</w:t>
            </w:r>
            <w:r>
              <w:rPr>
                <w:rFonts w:hint="eastAsia" w:ascii="仿宋_GB2312" w:hAnsi="仿宋_GB2312" w:eastAsia="仿宋_GB2312" w:cs="仿宋_GB2312"/>
                <w:color w:val="auto"/>
                <w:sz w:val="24"/>
                <w:szCs w:val="24"/>
                <w:highlight w:val="none"/>
              </w:rPr>
              <w:fldChar w:fldCharType="end"/>
            </w:r>
            <w:r>
              <w:rPr>
                <w:rFonts w:hint="eastAsia" w:ascii="仿宋_GB2312" w:hAnsi="仿宋_GB2312" w:eastAsia="仿宋_GB2312" w:cs="仿宋_GB2312"/>
                <w:color w:val="auto"/>
                <w:sz w:val="24"/>
                <w:szCs w:val="24"/>
                <w:highlight w:val="none"/>
              </w:rPr>
              <w:t>）中被列入严重违法失信企业名单</w:t>
            </w:r>
          </w:p>
        </w:tc>
        <w:tc>
          <w:tcPr>
            <w:tcW w:w="2154" w:type="dxa"/>
            <w:noWrap w:val="0"/>
            <w:vAlign w:val="center"/>
          </w:tcPr>
          <w:p w14:paraId="7EF133EB">
            <w:pPr>
              <w:keepNext w:val="0"/>
              <w:keepLines w:val="0"/>
              <w:suppressLineNumbers w:val="0"/>
              <w:adjustRightInd w:val="0"/>
              <w:snapToGrid w:val="0"/>
              <w:spacing w:before="0" w:beforeAutospacing="0" w:after="0" w:afterAutospacing="0" w:line="420" w:lineRule="exact"/>
              <w:ind w:left="0" w:right="0"/>
              <w:rPr>
                <w:rFonts w:hint="eastAsia" w:ascii="仿宋_GB2312" w:hAnsi="仿宋_GB2312" w:eastAsia="仿宋_GB2312" w:cs="仿宋_GB2312"/>
                <w:color w:val="auto"/>
                <w:sz w:val="24"/>
                <w:szCs w:val="24"/>
                <w:highlight w:val="none"/>
              </w:rPr>
            </w:pPr>
          </w:p>
        </w:tc>
      </w:tr>
      <w:tr w14:paraId="350E30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6" w:hRule="atLeast"/>
          <w:jc w:val="center"/>
        </w:trPr>
        <w:tc>
          <w:tcPr>
            <w:tcW w:w="1039" w:type="dxa"/>
            <w:noWrap w:val="0"/>
            <w:vAlign w:val="center"/>
          </w:tcPr>
          <w:p w14:paraId="0477FD91">
            <w:pPr>
              <w:keepNext w:val="0"/>
              <w:keepLines w:val="0"/>
              <w:suppressLineNumbers w:val="0"/>
              <w:adjustRightInd w:val="0"/>
              <w:snapToGrid w:val="0"/>
              <w:spacing w:before="0" w:beforeAutospacing="0" w:after="0" w:afterAutospacing="0" w:line="42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w:t>
            </w:r>
          </w:p>
        </w:tc>
        <w:tc>
          <w:tcPr>
            <w:tcW w:w="5693" w:type="dxa"/>
            <w:noWrap w:val="0"/>
            <w:vAlign w:val="center"/>
          </w:tcPr>
          <w:p w14:paraId="14B768C5">
            <w:pPr>
              <w:keepNext w:val="0"/>
              <w:keepLines w:val="0"/>
              <w:suppressLineNumbers w:val="0"/>
              <w:autoSpaceDE w:val="0"/>
              <w:autoSpaceDN w:val="0"/>
              <w:adjustRightInd w:val="0"/>
              <w:snapToGrid w:val="0"/>
              <w:spacing w:before="0" w:beforeAutospacing="0" w:after="0" w:afterAutospacing="0" w:line="420" w:lineRule="exact"/>
              <w:ind w:left="0" w:right="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是否在“信用中国”网站（</w:t>
            </w:r>
            <w:r>
              <w:rPr>
                <w:rFonts w:hint="eastAsia" w:ascii="仿宋_GB2312" w:hAnsi="仿宋_GB2312" w:eastAsia="仿宋_GB2312" w:cs="仿宋_GB2312"/>
                <w:color w:val="auto"/>
                <w:sz w:val="24"/>
                <w:szCs w:val="24"/>
                <w:highlight w:val="none"/>
              </w:rPr>
              <w:fldChar w:fldCharType="begin"/>
            </w:r>
            <w:r>
              <w:rPr>
                <w:rFonts w:hint="eastAsia" w:ascii="仿宋_GB2312" w:hAnsi="仿宋_GB2312" w:eastAsia="仿宋_GB2312" w:cs="仿宋_GB2312"/>
                <w:color w:val="auto"/>
                <w:sz w:val="24"/>
                <w:szCs w:val="24"/>
                <w:highlight w:val="none"/>
              </w:rPr>
              <w:instrText xml:space="preserve"> HYPERLINK "http://www.creditchina.gov.cn/" \h </w:instrText>
            </w:r>
            <w:r>
              <w:rPr>
                <w:rFonts w:hint="eastAsia" w:ascii="仿宋_GB2312" w:hAnsi="仿宋_GB2312" w:eastAsia="仿宋_GB2312" w:cs="仿宋_GB2312"/>
                <w:color w:val="auto"/>
                <w:sz w:val="24"/>
                <w:szCs w:val="24"/>
                <w:highlight w:val="none"/>
              </w:rPr>
              <w:fldChar w:fldCharType="separate"/>
            </w:r>
            <w:r>
              <w:rPr>
                <w:rFonts w:hint="eastAsia" w:ascii="仿宋_GB2312" w:hAnsi="仿宋_GB2312" w:eastAsia="仿宋_GB2312" w:cs="仿宋_GB2312"/>
                <w:color w:val="auto"/>
                <w:sz w:val="24"/>
                <w:szCs w:val="24"/>
                <w:highlight w:val="none"/>
              </w:rPr>
              <w:t>http://www.creditchina.gov.cn</w:t>
            </w:r>
            <w:r>
              <w:rPr>
                <w:rFonts w:hint="eastAsia" w:ascii="仿宋_GB2312" w:hAnsi="仿宋_GB2312" w:eastAsia="仿宋_GB2312" w:cs="仿宋_GB2312"/>
                <w:color w:val="auto"/>
                <w:sz w:val="24"/>
                <w:szCs w:val="24"/>
                <w:highlight w:val="none"/>
              </w:rPr>
              <w:fldChar w:fldCharType="end"/>
            </w:r>
            <w:r>
              <w:rPr>
                <w:rFonts w:hint="eastAsia" w:ascii="仿宋_GB2312" w:hAnsi="仿宋_GB2312" w:eastAsia="仿宋_GB2312" w:cs="仿宋_GB2312"/>
                <w:color w:val="auto"/>
                <w:sz w:val="24"/>
                <w:szCs w:val="24"/>
                <w:highlight w:val="none"/>
              </w:rPr>
              <w:t>）中被列入失信被执行人名单</w:t>
            </w:r>
          </w:p>
        </w:tc>
        <w:tc>
          <w:tcPr>
            <w:tcW w:w="2154" w:type="dxa"/>
            <w:noWrap w:val="0"/>
            <w:vAlign w:val="center"/>
          </w:tcPr>
          <w:p w14:paraId="63E468FC">
            <w:pPr>
              <w:keepNext w:val="0"/>
              <w:keepLines w:val="0"/>
              <w:suppressLineNumbers w:val="0"/>
              <w:adjustRightInd w:val="0"/>
              <w:snapToGrid w:val="0"/>
              <w:spacing w:before="0" w:beforeAutospacing="0" w:after="0" w:afterAutospacing="0" w:line="420" w:lineRule="exact"/>
              <w:ind w:left="0" w:right="0"/>
              <w:rPr>
                <w:rFonts w:hint="eastAsia" w:ascii="仿宋_GB2312" w:hAnsi="仿宋_GB2312" w:eastAsia="仿宋_GB2312" w:cs="仿宋_GB2312"/>
                <w:color w:val="auto"/>
                <w:sz w:val="24"/>
                <w:szCs w:val="24"/>
                <w:highlight w:val="none"/>
              </w:rPr>
            </w:pPr>
          </w:p>
        </w:tc>
      </w:tr>
    </w:tbl>
    <w:p w14:paraId="107607EA">
      <w:pPr>
        <w:pageBreakBefore w:val="0"/>
        <w:widowControl w:val="0"/>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注：1.报价人情况说明请填写“是”或“否”。</w:t>
      </w:r>
    </w:p>
    <w:p w14:paraId="18C1C2AD">
      <w:pPr>
        <w:pageBreakBefore w:val="0"/>
        <w:widowControl w:val="0"/>
        <w:kinsoku/>
        <w:wordWrap/>
        <w:overflowPunct/>
        <w:topLinePunct w:val="0"/>
        <w:autoSpaceDE/>
        <w:autoSpaceDN/>
        <w:bidi w:val="0"/>
        <w:adjustRightInd/>
        <w:snapToGrid/>
        <w:spacing w:line="460" w:lineRule="exact"/>
        <w:ind w:left="479" w:leftChars="228"/>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2.报价人应如实填写本表，如隐瞒真实情况，一旦发现询价人有权取消其中选资格，并没收其询价保证金。</w:t>
      </w:r>
    </w:p>
    <w:p w14:paraId="48A215DB">
      <w:pPr>
        <w:pStyle w:val="2"/>
        <w:pageBreakBefore w:val="0"/>
        <w:widowControl w:val="0"/>
        <w:kinsoku/>
        <w:wordWrap/>
        <w:overflowPunct/>
        <w:topLinePunct w:val="0"/>
        <w:autoSpaceDE/>
        <w:autoSpaceDN/>
        <w:bidi w:val="0"/>
        <w:adjustRightInd/>
        <w:snapToGrid/>
        <w:spacing w:before="0" w:after="0" w:line="460" w:lineRule="exact"/>
        <w:ind w:left="479" w:leftChars="228"/>
        <w:textAlignment w:val="auto"/>
        <w:rPr>
          <w:rFonts w:hint="eastAsia" w:ascii="仿宋_GB2312" w:hAnsi="仿宋_GB2312" w:eastAsia="仿宋_GB2312" w:cs="仿宋_GB2312"/>
          <w:b w:val="0"/>
          <w:color w:val="auto"/>
          <w:sz w:val="24"/>
          <w:szCs w:val="24"/>
          <w:highlight w:val="none"/>
        </w:rPr>
      </w:pPr>
      <w:r>
        <w:rPr>
          <w:rFonts w:hint="eastAsia" w:ascii="仿宋_GB2312" w:hAnsi="仿宋_GB2312" w:eastAsia="仿宋_GB2312" w:cs="仿宋_GB2312"/>
          <w:b w:val="0"/>
          <w:color w:val="auto"/>
          <w:sz w:val="24"/>
          <w:szCs w:val="24"/>
          <w:highlight w:val="none"/>
        </w:rPr>
        <w:t>3.询价人有权核查报价人在报价文件中提供的资料，若在评审期间发现报价人提供了虚假资料，其报价将被否决并没收其询价保证金；若在签订合同前发现第一成交候选人提供了虚假资料，询价人有权取消其中选资格并没收其询价保证金；若在合同实施期间发现中选人提供了虚假资料，询价人有权从工程</w:t>
      </w:r>
      <w:r>
        <w:rPr>
          <w:rFonts w:hint="eastAsia" w:ascii="仿宋_GB2312" w:hAnsi="仿宋_GB2312" w:eastAsia="仿宋_GB2312" w:cs="仿宋_GB2312"/>
          <w:b w:val="0"/>
          <w:color w:val="auto"/>
          <w:sz w:val="24"/>
          <w:szCs w:val="24"/>
          <w:highlight w:val="none"/>
          <w:lang w:eastAsia="zh-CN"/>
        </w:rPr>
        <w:t>（货物）</w:t>
      </w:r>
      <w:r>
        <w:rPr>
          <w:rFonts w:hint="eastAsia" w:ascii="仿宋_GB2312" w:hAnsi="仿宋_GB2312" w:eastAsia="仿宋_GB2312" w:cs="仿宋_GB2312"/>
          <w:b w:val="0"/>
          <w:color w:val="auto"/>
          <w:sz w:val="24"/>
          <w:szCs w:val="24"/>
          <w:highlight w:val="none"/>
        </w:rPr>
        <w:t>支付款或履约保证金中扣除10%签约合同价的金额作为违约金。同时询价人有权将报价人上述弄虚作假行为上报相关主管部门</w:t>
      </w:r>
      <w:r>
        <w:rPr>
          <w:rFonts w:hint="eastAsia" w:ascii="仿宋_GB2312" w:hAnsi="仿宋_GB2312" w:eastAsia="仿宋_GB2312" w:cs="仿宋_GB2312"/>
          <w:b w:val="0"/>
          <w:color w:val="auto"/>
          <w:sz w:val="24"/>
          <w:szCs w:val="24"/>
          <w:highlight w:val="none"/>
          <w:lang w:eastAsia="zh-CN"/>
        </w:rPr>
        <w:t>，</w:t>
      </w:r>
      <w:r>
        <w:rPr>
          <w:rFonts w:hint="eastAsia" w:ascii="仿宋_GB2312" w:hAnsi="仿宋_GB2312" w:eastAsia="仿宋_GB2312" w:cs="仿宋_GB2312"/>
          <w:b w:val="0"/>
          <w:color w:val="auto"/>
          <w:sz w:val="24"/>
          <w:szCs w:val="24"/>
          <w:highlight w:val="none"/>
        </w:rPr>
        <w:t>作为不良记录纳入相应市场信用信息管理系统。</w:t>
      </w:r>
    </w:p>
    <w:p w14:paraId="0CD8E9D3">
      <w:pPr>
        <w:pageBreakBefore w:val="0"/>
        <w:widowControl w:val="0"/>
        <w:kinsoku/>
        <w:wordWrap/>
        <w:overflowPunct/>
        <w:topLinePunct w:val="0"/>
        <w:bidi w:val="0"/>
        <w:snapToGrid/>
        <w:spacing w:line="460" w:lineRule="exact"/>
        <w:textAlignment w:val="auto"/>
        <w:rPr>
          <w:rFonts w:hint="eastAsia" w:ascii="仿宋_GB2312" w:hAnsi="仿宋_GB2312" w:eastAsia="仿宋_GB2312" w:cs="仿宋_GB2312"/>
          <w:color w:val="auto"/>
          <w:sz w:val="24"/>
          <w:szCs w:val="24"/>
          <w:highlight w:val="none"/>
        </w:rPr>
      </w:pPr>
    </w:p>
    <w:p w14:paraId="3D16456D">
      <w:pPr>
        <w:pageBreakBefore w:val="0"/>
        <w:widowControl w:val="0"/>
        <w:kinsoku/>
        <w:wordWrap/>
        <w:overflowPunct/>
        <w:topLinePunct w:val="0"/>
        <w:bidi w:val="0"/>
        <w:snapToGrid/>
        <w:spacing w:line="460" w:lineRule="exact"/>
        <w:textAlignment w:val="auto"/>
        <w:rPr>
          <w:rFonts w:hint="eastAsia" w:ascii="仿宋_GB2312" w:hAnsi="仿宋_GB2312" w:eastAsia="仿宋_GB2312" w:cs="仿宋_GB2312"/>
          <w:color w:val="auto"/>
          <w:sz w:val="24"/>
          <w:szCs w:val="24"/>
          <w:highlight w:val="none"/>
        </w:rPr>
      </w:pPr>
    </w:p>
    <w:p w14:paraId="33EAF8FF">
      <w:pPr>
        <w:pageBreakBefore w:val="0"/>
        <w:widowControl w:val="0"/>
        <w:tabs>
          <w:tab w:val="left" w:pos="7460"/>
          <w:tab w:val="left" w:pos="8080"/>
          <w:tab w:val="left" w:pos="8800"/>
        </w:tabs>
        <w:kinsoku/>
        <w:wordWrap/>
        <w:overflowPunct/>
        <w:topLinePunct w:val="0"/>
        <w:autoSpaceDE w:val="0"/>
        <w:autoSpaceDN w:val="0"/>
        <w:bidi w:val="0"/>
        <w:adjustRightInd w:val="0"/>
        <w:snapToGrid/>
        <w:spacing w:line="460" w:lineRule="exact"/>
        <w:ind w:left="3642" w:leftChars="1620" w:right="61" w:hanging="240" w:hangingChars="1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承诺人：</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(盖</w:t>
      </w:r>
      <w:r>
        <w:rPr>
          <w:rFonts w:hint="eastAsia" w:ascii="仿宋_GB2312" w:hAnsi="仿宋_GB2312" w:eastAsia="仿宋_GB2312" w:cs="仿宋_GB2312"/>
          <w:color w:val="auto"/>
          <w:spacing w:val="-1"/>
          <w:sz w:val="24"/>
          <w:szCs w:val="24"/>
          <w:highlight w:val="none"/>
        </w:rPr>
        <w:t>单</w:t>
      </w:r>
      <w:r>
        <w:rPr>
          <w:rFonts w:hint="eastAsia" w:ascii="仿宋_GB2312" w:hAnsi="仿宋_GB2312" w:eastAsia="仿宋_GB2312" w:cs="仿宋_GB2312"/>
          <w:color w:val="auto"/>
          <w:sz w:val="24"/>
          <w:szCs w:val="24"/>
          <w:highlight w:val="none"/>
        </w:rPr>
        <w:t xml:space="preserve">位章) </w:t>
      </w:r>
    </w:p>
    <w:p w14:paraId="7DFC20CF">
      <w:pPr>
        <w:pageBreakBefore w:val="0"/>
        <w:widowControl w:val="0"/>
        <w:tabs>
          <w:tab w:val="left" w:pos="7460"/>
          <w:tab w:val="left" w:pos="8080"/>
          <w:tab w:val="left" w:pos="8800"/>
        </w:tabs>
        <w:kinsoku/>
        <w:wordWrap/>
        <w:overflowPunct/>
        <w:topLinePunct w:val="0"/>
        <w:autoSpaceDE w:val="0"/>
        <w:autoSpaceDN w:val="0"/>
        <w:bidi w:val="0"/>
        <w:adjustRightInd w:val="0"/>
        <w:snapToGrid/>
        <w:spacing w:line="460" w:lineRule="exact"/>
        <w:ind w:left="3642" w:leftChars="1620" w:right="61" w:hanging="240" w:hangingChars="1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w:t>
      </w:r>
    </w:p>
    <w:p w14:paraId="3A4E69D4">
      <w:pPr>
        <w:pageBreakBefore w:val="0"/>
        <w:widowControl w:val="0"/>
        <w:tabs>
          <w:tab w:val="left" w:pos="7460"/>
          <w:tab w:val="left" w:pos="8080"/>
          <w:tab w:val="left" w:pos="8800"/>
        </w:tabs>
        <w:kinsoku/>
        <w:wordWrap/>
        <w:overflowPunct/>
        <w:topLinePunct w:val="0"/>
        <w:autoSpaceDE w:val="0"/>
        <w:autoSpaceDN w:val="0"/>
        <w:bidi w:val="0"/>
        <w:adjustRightInd w:val="0"/>
        <w:snapToGrid/>
        <w:spacing w:line="460" w:lineRule="exact"/>
        <w:ind w:left="3642" w:leftChars="1620" w:right="61" w:hanging="240" w:hangingChars="1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或其委托代理人：</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ab/>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pacing w:val="-1"/>
          <w:sz w:val="24"/>
          <w:szCs w:val="24"/>
          <w:highlight w:val="none"/>
        </w:rPr>
        <w:t>签</w:t>
      </w:r>
      <w:r>
        <w:rPr>
          <w:rFonts w:hint="eastAsia" w:ascii="仿宋_GB2312" w:hAnsi="仿宋_GB2312" w:eastAsia="仿宋_GB2312" w:cs="仿宋_GB2312"/>
          <w:color w:val="auto"/>
          <w:sz w:val="24"/>
          <w:szCs w:val="24"/>
          <w:highlight w:val="none"/>
        </w:rPr>
        <w:t xml:space="preserve">字) </w:t>
      </w:r>
    </w:p>
    <w:p w14:paraId="1982420A">
      <w:pPr>
        <w:pageBreakBefore w:val="0"/>
        <w:widowControl w:val="0"/>
        <w:tabs>
          <w:tab w:val="left" w:pos="7460"/>
          <w:tab w:val="left" w:pos="8080"/>
          <w:tab w:val="left" w:pos="8800"/>
        </w:tabs>
        <w:kinsoku/>
        <w:wordWrap/>
        <w:overflowPunct/>
        <w:topLinePunct w:val="0"/>
        <w:autoSpaceDE w:val="0"/>
        <w:autoSpaceDN w:val="0"/>
        <w:bidi w:val="0"/>
        <w:adjustRightInd w:val="0"/>
        <w:snapToGrid/>
        <w:spacing w:line="460" w:lineRule="exact"/>
        <w:ind w:left="3642" w:leftChars="1620" w:right="61" w:hanging="240" w:hangingChars="1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承诺时间：</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年</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月</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日</w:t>
      </w:r>
    </w:p>
    <w:p w14:paraId="25C36E6C">
      <w:pPr>
        <w:spacing w:line="420" w:lineRule="exact"/>
        <w:jc w:val="center"/>
        <w:outlineLvl w:val="1"/>
        <w:rPr>
          <w:rFonts w:hint="eastAsia" w:ascii="仿宋_GB2312" w:hAnsi="仿宋_GB2312" w:eastAsia="仿宋_GB2312" w:cs="仿宋_GB2312"/>
          <w:b/>
          <w:bCs/>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br w:type="page"/>
      </w:r>
      <w:bookmarkStart w:id="130" w:name="_Toc6449"/>
      <w:bookmarkStart w:id="131" w:name="_Toc15803"/>
      <w:r>
        <w:rPr>
          <w:rFonts w:hint="eastAsia" w:ascii="黑体" w:hAnsi="黑体" w:eastAsia="黑体" w:cs="黑体"/>
          <w:b/>
          <w:bCs w:val="0"/>
          <w:color w:val="auto"/>
          <w:sz w:val="32"/>
          <w:szCs w:val="32"/>
          <w:highlight w:val="none"/>
          <w:lang w:val="en-US" w:eastAsia="zh-CN"/>
        </w:rPr>
        <w:t>五、承诺函格式</w:t>
      </w:r>
      <w:bookmarkEnd w:id="130"/>
    </w:p>
    <w:p w14:paraId="0B456C88">
      <w:pPr>
        <w:pStyle w:val="2"/>
        <w:pageBreakBefore w:val="0"/>
        <w:widowControl w:val="0"/>
        <w:kinsoku/>
        <w:wordWrap/>
        <w:overflowPunct/>
        <w:topLinePunct w:val="0"/>
        <w:bidi w:val="0"/>
        <w:snapToGrid/>
        <w:spacing w:line="460" w:lineRule="exact"/>
        <w:jc w:val="center"/>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三保能力承诺函</w:t>
      </w:r>
    </w:p>
    <w:p w14:paraId="119A80B8">
      <w:pPr>
        <w:pStyle w:val="2"/>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kern w:val="2"/>
          <w:sz w:val="24"/>
          <w:szCs w:val="24"/>
          <w:highlight w:val="none"/>
          <w:lang w:val="en-US" w:eastAsia="zh-CN" w:bidi="ar-SA"/>
        </w:rPr>
        <w:t>赣州市交通投资集团有限责任公司：</w:t>
      </w:r>
    </w:p>
    <w:p w14:paraId="614795B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32" w:name="_Toc2930"/>
      <w:r>
        <w:rPr>
          <w:rFonts w:hint="eastAsia" w:ascii="仿宋_GB2312" w:hAnsi="仿宋_GB2312" w:eastAsia="仿宋_GB2312" w:cs="仿宋_GB2312"/>
          <w:color w:val="auto"/>
          <w:sz w:val="24"/>
          <w:szCs w:val="24"/>
          <w:highlight w:val="none"/>
          <w:lang w:val="en-US" w:eastAsia="zh-CN"/>
        </w:rPr>
        <w:t>我公司具备三保能力，为确保贵我双方合作的顺利进行，我方郑重承诺，在合作期间将严格遵守以下原则，确保产品质量、数量及供应的稳定性。具体承诺如下:</w:t>
      </w:r>
      <w:bookmarkEnd w:id="132"/>
    </w:p>
    <w:p w14:paraId="1F22BF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33" w:name="_Toc21305"/>
      <w:r>
        <w:rPr>
          <w:rFonts w:hint="eastAsia" w:ascii="仿宋_GB2312" w:hAnsi="仿宋_GB2312" w:eastAsia="仿宋_GB2312" w:cs="仿宋_GB2312"/>
          <w:color w:val="auto"/>
          <w:sz w:val="24"/>
          <w:szCs w:val="24"/>
          <w:highlight w:val="none"/>
          <w:lang w:val="en-US" w:eastAsia="zh-CN"/>
        </w:rPr>
        <w:t>一、保质承诺</w:t>
      </w:r>
      <w:bookmarkEnd w:id="133"/>
    </w:p>
    <w:p w14:paraId="3FF4C14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34" w:name="_Toc21149"/>
      <w:r>
        <w:rPr>
          <w:rFonts w:hint="eastAsia" w:ascii="仿宋_GB2312" w:hAnsi="仿宋_GB2312" w:eastAsia="仿宋_GB2312" w:cs="仿宋_GB2312"/>
          <w:color w:val="auto"/>
          <w:sz w:val="24"/>
          <w:szCs w:val="24"/>
          <w:highlight w:val="none"/>
          <w:lang w:val="en-US" w:eastAsia="zh-CN"/>
        </w:rPr>
        <w:t>1.产品质量标准：我方承诺所提供的产品均符合国家、行业及双方合同约定的质量标准，确保产品安全、可靠、符合使用要求。</w:t>
      </w:r>
      <w:bookmarkEnd w:id="134"/>
    </w:p>
    <w:p w14:paraId="6D7D565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35" w:name="_Toc17076"/>
      <w:r>
        <w:rPr>
          <w:rFonts w:hint="eastAsia" w:ascii="仿宋_GB2312" w:hAnsi="仿宋_GB2312" w:eastAsia="仿宋_GB2312" w:cs="仿宋_GB2312"/>
          <w:color w:val="auto"/>
          <w:sz w:val="24"/>
          <w:szCs w:val="24"/>
          <w:highlight w:val="none"/>
          <w:lang w:val="en-US" w:eastAsia="zh-CN"/>
        </w:rPr>
        <w:t>2.质量检验：在产品出厂前，我方将严格按照质量管理体系进行检验，确保每批次产品均达到合格标准。</w:t>
      </w:r>
      <w:bookmarkEnd w:id="135"/>
    </w:p>
    <w:p w14:paraId="6986856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36" w:name="_Toc4185"/>
      <w:r>
        <w:rPr>
          <w:rFonts w:hint="eastAsia" w:ascii="仿宋_GB2312" w:hAnsi="仿宋_GB2312" w:eastAsia="仿宋_GB2312" w:cs="仿宋_GB2312"/>
          <w:color w:val="auto"/>
          <w:sz w:val="24"/>
          <w:szCs w:val="24"/>
          <w:highlight w:val="none"/>
          <w:lang w:val="en-US" w:eastAsia="zh-CN"/>
        </w:rPr>
        <w:t>……（如有）</w:t>
      </w:r>
      <w:bookmarkEnd w:id="136"/>
    </w:p>
    <w:p w14:paraId="27F87E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37" w:name="_Toc21407"/>
      <w:r>
        <w:rPr>
          <w:rFonts w:hint="eastAsia" w:ascii="仿宋_GB2312" w:hAnsi="仿宋_GB2312" w:eastAsia="仿宋_GB2312" w:cs="仿宋_GB2312"/>
          <w:color w:val="auto"/>
          <w:sz w:val="24"/>
          <w:szCs w:val="24"/>
          <w:highlight w:val="none"/>
          <w:lang w:val="en-US" w:eastAsia="zh-CN"/>
        </w:rPr>
        <w:t>二、保量承诺</w:t>
      </w:r>
      <w:bookmarkEnd w:id="137"/>
    </w:p>
    <w:p w14:paraId="35EEC68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38" w:name="_Toc13147"/>
      <w:r>
        <w:rPr>
          <w:rFonts w:hint="eastAsia" w:ascii="仿宋_GB2312" w:hAnsi="仿宋_GB2312" w:eastAsia="仿宋_GB2312" w:cs="仿宋_GB2312"/>
          <w:color w:val="auto"/>
          <w:sz w:val="24"/>
          <w:szCs w:val="24"/>
          <w:highlight w:val="none"/>
          <w:lang w:val="en-US" w:eastAsia="zh-CN"/>
        </w:rPr>
        <w:t>1.数量准确:我方承诺严格按照合同约定的数量进行供货，确保产品数量准确无误。</w:t>
      </w:r>
      <w:bookmarkEnd w:id="138"/>
    </w:p>
    <w:p w14:paraId="7E778CB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39" w:name="_Toc19693"/>
      <w:r>
        <w:rPr>
          <w:rFonts w:hint="eastAsia" w:ascii="仿宋_GB2312" w:hAnsi="仿宋_GB2312" w:eastAsia="仿宋_GB2312" w:cs="仿宋_GB2312"/>
          <w:color w:val="auto"/>
          <w:sz w:val="24"/>
          <w:szCs w:val="24"/>
          <w:highlight w:val="none"/>
          <w:lang w:val="en-US" w:eastAsia="zh-CN"/>
        </w:rPr>
        <w:t>2.计量标准：我方将采用符合国家标准的计量方式，确保产品数量的准确性。</w:t>
      </w:r>
      <w:bookmarkEnd w:id="139"/>
    </w:p>
    <w:p w14:paraId="52982C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40" w:name="_Toc30105"/>
      <w:r>
        <w:rPr>
          <w:rFonts w:hint="eastAsia" w:ascii="仿宋_GB2312" w:hAnsi="仿宋_GB2312" w:eastAsia="仿宋_GB2312" w:cs="仿宋_GB2312"/>
          <w:color w:val="auto"/>
          <w:sz w:val="24"/>
          <w:szCs w:val="24"/>
          <w:highlight w:val="none"/>
          <w:lang w:val="en-US" w:eastAsia="zh-CN"/>
        </w:rPr>
        <w:t>3.数量异议处理:如贵方对产品数量有异议，我方将在接到通知后及时核实并妥善处理。</w:t>
      </w:r>
      <w:bookmarkEnd w:id="140"/>
    </w:p>
    <w:p w14:paraId="17AC285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41" w:name="_Toc31836"/>
      <w:r>
        <w:rPr>
          <w:rFonts w:hint="eastAsia" w:ascii="仿宋_GB2312" w:hAnsi="仿宋_GB2312" w:eastAsia="仿宋_GB2312" w:cs="仿宋_GB2312"/>
          <w:color w:val="auto"/>
          <w:sz w:val="24"/>
          <w:szCs w:val="24"/>
          <w:highlight w:val="none"/>
          <w:lang w:val="en-US" w:eastAsia="zh-CN"/>
        </w:rPr>
        <w:t>……（如有）</w:t>
      </w:r>
      <w:bookmarkEnd w:id="141"/>
    </w:p>
    <w:p w14:paraId="16314DE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42" w:name="_Toc754"/>
      <w:r>
        <w:rPr>
          <w:rFonts w:hint="eastAsia" w:ascii="仿宋_GB2312" w:hAnsi="仿宋_GB2312" w:eastAsia="仿宋_GB2312" w:cs="仿宋_GB2312"/>
          <w:color w:val="auto"/>
          <w:sz w:val="24"/>
          <w:szCs w:val="24"/>
          <w:highlight w:val="none"/>
          <w:lang w:val="en-US" w:eastAsia="zh-CN"/>
        </w:rPr>
        <w:t>三、保供承诺</w:t>
      </w:r>
      <w:bookmarkEnd w:id="142"/>
    </w:p>
    <w:p w14:paraId="4AD0972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43" w:name="_Toc1794"/>
      <w:r>
        <w:rPr>
          <w:rFonts w:hint="eastAsia" w:ascii="仿宋_GB2312" w:hAnsi="仿宋_GB2312" w:eastAsia="仿宋_GB2312" w:cs="仿宋_GB2312"/>
          <w:color w:val="auto"/>
          <w:sz w:val="24"/>
          <w:szCs w:val="24"/>
          <w:highlight w:val="none"/>
          <w:lang w:val="en-US" w:eastAsia="zh-CN"/>
        </w:rPr>
        <w:t>1.供货及时性：我方承诺按照合同约定的时间节点，按时、按量供货，确保不影响贵方的正常生产或经营。</w:t>
      </w:r>
      <w:bookmarkEnd w:id="143"/>
    </w:p>
    <w:p w14:paraId="6ABDD00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44" w:name="_Toc14861"/>
      <w:r>
        <w:rPr>
          <w:rFonts w:hint="eastAsia" w:ascii="仿宋_GB2312" w:hAnsi="仿宋_GB2312" w:eastAsia="仿宋_GB2312" w:cs="仿宋_GB2312"/>
          <w:color w:val="auto"/>
          <w:sz w:val="24"/>
          <w:szCs w:val="24"/>
          <w:highlight w:val="none"/>
          <w:lang w:val="en-US" w:eastAsia="zh-CN"/>
        </w:rPr>
        <w:t>2.供应链保障：我方将确保原材料充足、生产顺畅，避免因供应问题导致供货中断。</w:t>
      </w:r>
      <w:bookmarkEnd w:id="144"/>
    </w:p>
    <w:p w14:paraId="21741D4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45" w:name="_Toc3885"/>
      <w:r>
        <w:rPr>
          <w:rFonts w:hint="eastAsia" w:ascii="仿宋_GB2312" w:hAnsi="仿宋_GB2312" w:eastAsia="仿宋_GB2312" w:cs="仿宋_GB2312"/>
          <w:color w:val="auto"/>
          <w:sz w:val="24"/>
          <w:szCs w:val="24"/>
          <w:highlight w:val="none"/>
          <w:lang w:val="en-US" w:eastAsia="zh-CN"/>
        </w:rPr>
        <w:t>3.应急处理：如遇不可抗力因素(如自然灾害、政策变化等)导致供货延迟，我方将及时通知贵方，并采取一切必要措施尽快恢复供货。</w:t>
      </w:r>
      <w:bookmarkEnd w:id="145"/>
    </w:p>
    <w:p w14:paraId="131C657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color w:val="auto"/>
          <w:sz w:val="24"/>
          <w:szCs w:val="24"/>
          <w:highlight w:val="none"/>
          <w:lang w:val="en-US" w:eastAsia="zh-CN"/>
        </w:rPr>
      </w:pPr>
      <w:bookmarkStart w:id="146" w:name="_Toc313"/>
      <w:r>
        <w:rPr>
          <w:rFonts w:hint="eastAsia" w:ascii="仿宋_GB2312" w:hAnsi="仿宋_GB2312" w:eastAsia="仿宋_GB2312" w:cs="仿宋_GB2312"/>
          <w:color w:val="auto"/>
          <w:sz w:val="24"/>
          <w:szCs w:val="24"/>
          <w:highlight w:val="none"/>
          <w:lang w:val="en-US" w:eastAsia="zh-CN"/>
        </w:rPr>
        <w:t>……（如有）</w:t>
      </w:r>
      <w:bookmarkEnd w:id="146"/>
    </w:p>
    <w:p w14:paraId="6B0B57EB">
      <w:pPr>
        <w:keepNext w:val="0"/>
        <w:keepLines w:val="0"/>
        <w:pageBreakBefore w:val="0"/>
        <w:widowControl w:val="0"/>
        <w:kinsoku/>
        <w:wordWrap/>
        <w:overflowPunct/>
        <w:topLinePunct w:val="0"/>
        <w:autoSpaceDE/>
        <w:autoSpaceDN/>
        <w:bidi w:val="0"/>
        <w:adjustRightInd/>
        <w:snapToGrid/>
        <w:spacing w:line="440" w:lineRule="exact"/>
        <w:ind w:firstLine="3360" w:firstLineChars="14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承诺人：</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 xml:space="preserve">(盖单位章) </w:t>
      </w:r>
    </w:p>
    <w:p w14:paraId="2681F075">
      <w:pPr>
        <w:keepNext w:val="0"/>
        <w:keepLines w:val="0"/>
        <w:pageBreakBefore w:val="0"/>
        <w:widowControl w:val="0"/>
        <w:kinsoku/>
        <w:wordWrap/>
        <w:overflowPunct/>
        <w:topLinePunct w:val="0"/>
        <w:autoSpaceDE/>
        <w:autoSpaceDN/>
        <w:bidi w:val="0"/>
        <w:adjustRightInd/>
        <w:snapToGrid/>
        <w:spacing w:line="440" w:lineRule="exact"/>
        <w:ind w:firstLine="3360" w:firstLineChars="14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法定代表人</w:t>
      </w:r>
    </w:p>
    <w:p w14:paraId="6B98B0B9">
      <w:pPr>
        <w:keepNext w:val="0"/>
        <w:keepLines w:val="0"/>
        <w:pageBreakBefore w:val="0"/>
        <w:widowControl w:val="0"/>
        <w:kinsoku/>
        <w:wordWrap/>
        <w:overflowPunct/>
        <w:topLinePunct w:val="0"/>
        <w:autoSpaceDE/>
        <w:autoSpaceDN/>
        <w:bidi w:val="0"/>
        <w:adjustRightInd/>
        <w:snapToGrid/>
        <w:spacing w:line="440" w:lineRule="exact"/>
        <w:ind w:firstLine="3360" w:firstLineChars="14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或其委托代理人：</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lang w:val="en-US" w:eastAsia="zh-CN"/>
        </w:rPr>
        <w:tab/>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 xml:space="preserve">(签字) </w:t>
      </w:r>
    </w:p>
    <w:p w14:paraId="11E27BC7">
      <w:pPr>
        <w:keepNext w:val="0"/>
        <w:keepLines w:val="0"/>
        <w:pageBreakBefore w:val="0"/>
        <w:widowControl w:val="0"/>
        <w:kinsoku/>
        <w:wordWrap/>
        <w:overflowPunct/>
        <w:topLinePunct w:val="0"/>
        <w:autoSpaceDE/>
        <w:autoSpaceDN/>
        <w:bidi w:val="0"/>
        <w:adjustRightInd/>
        <w:snapToGrid/>
        <w:spacing w:line="440" w:lineRule="exact"/>
        <w:ind w:firstLine="3360" w:firstLineChars="14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承诺时间：</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年</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月</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lang w:val="en-US" w:eastAsia="zh-CN"/>
        </w:rPr>
        <w:t>日</w:t>
      </w:r>
    </w:p>
    <w:p w14:paraId="2934D4FC">
      <w:pPr>
        <w:spacing w:line="420" w:lineRule="exact"/>
        <w:jc w:val="center"/>
        <w:outlineLvl w:val="1"/>
        <w:rPr>
          <w:rFonts w:hint="eastAsia" w:ascii="黑体" w:hAnsi="黑体" w:eastAsia="黑体" w:cs="黑体"/>
          <w:b/>
          <w:bCs w:val="0"/>
          <w:color w:val="auto"/>
          <w:sz w:val="32"/>
          <w:szCs w:val="32"/>
          <w:highlight w:val="none"/>
          <w:lang w:val="en-US" w:eastAsia="zh-CN"/>
        </w:rPr>
      </w:pPr>
      <w:bookmarkStart w:id="147" w:name="_Toc29396"/>
    </w:p>
    <w:p w14:paraId="2D85C56A">
      <w:pPr>
        <w:spacing w:line="420" w:lineRule="exact"/>
        <w:jc w:val="center"/>
        <w:outlineLvl w:val="1"/>
        <w:rPr>
          <w:rFonts w:hint="eastAsia" w:ascii="黑体" w:hAnsi="黑体" w:eastAsia="黑体" w:cs="黑体"/>
          <w:b/>
          <w:bCs w:val="0"/>
          <w:color w:val="auto"/>
          <w:sz w:val="32"/>
          <w:szCs w:val="32"/>
          <w:highlight w:val="none"/>
          <w:lang w:val="en-US" w:eastAsia="zh-CN"/>
        </w:rPr>
      </w:pPr>
      <w:r>
        <w:rPr>
          <w:rFonts w:hint="eastAsia" w:ascii="黑体" w:hAnsi="黑体" w:eastAsia="黑体" w:cs="黑体"/>
          <w:b/>
          <w:bCs w:val="0"/>
          <w:color w:val="auto"/>
          <w:sz w:val="32"/>
          <w:szCs w:val="32"/>
          <w:highlight w:val="none"/>
          <w:lang w:val="en-US" w:eastAsia="zh-CN"/>
        </w:rPr>
        <w:t>六、其它资料</w:t>
      </w:r>
      <w:bookmarkEnd w:id="131"/>
      <w:bookmarkEnd w:id="147"/>
    </w:p>
    <w:p w14:paraId="2829E569">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_GB2312" w:hAnsi="仿宋_GB2312" w:eastAsia="仿宋_GB2312" w:cs="仿宋_GB2312"/>
          <w:color w:val="auto"/>
          <w:sz w:val="24"/>
          <w:szCs w:val="24"/>
          <w:highlight w:val="none"/>
        </w:rPr>
      </w:pPr>
    </w:p>
    <w:p w14:paraId="51540940">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营业执照</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询价保证</w:t>
      </w:r>
      <w:r>
        <w:rPr>
          <w:rFonts w:hint="eastAsia" w:ascii="仿宋_GB2312" w:hAnsi="仿宋_GB2312" w:eastAsia="仿宋_GB2312" w:cs="仿宋_GB2312"/>
          <w:color w:val="auto"/>
          <w:sz w:val="24"/>
          <w:szCs w:val="24"/>
          <w:highlight w:val="none"/>
          <w:lang w:val="en-US" w:eastAsia="zh-CN"/>
        </w:rPr>
        <w:t>金转账记录</w:t>
      </w:r>
      <w:r>
        <w:rPr>
          <w:rFonts w:hint="eastAsia" w:ascii="仿宋_GB2312" w:hAnsi="仿宋_GB2312" w:eastAsia="仿宋_GB2312" w:cs="仿宋_GB2312"/>
          <w:color w:val="auto"/>
          <w:sz w:val="24"/>
          <w:szCs w:val="24"/>
          <w:highlight w:val="none"/>
        </w:rPr>
        <w:t>（如</w:t>
      </w:r>
      <w:r>
        <w:rPr>
          <w:rFonts w:hint="eastAsia" w:ascii="仿宋_GB2312" w:hAnsi="仿宋_GB2312" w:eastAsia="仿宋_GB2312" w:cs="仿宋_GB2312"/>
          <w:color w:val="auto"/>
          <w:sz w:val="24"/>
          <w:szCs w:val="24"/>
          <w:highlight w:val="none"/>
          <w:lang w:val="en-US" w:eastAsia="zh-CN"/>
        </w:rPr>
        <w:t>有）及</w:t>
      </w:r>
      <w:r>
        <w:rPr>
          <w:rFonts w:hint="eastAsia" w:ascii="仿宋_GB2312" w:hAnsi="仿宋_GB2312" w:eastAsia="仿宋_GB2312" w:cs="仿宋_GB2312"/>
          <w:color w:val="auto"/>
          <w:sz w:val="24"/>
          <w:szCs w:val="24"/>
          <w:highlight w:val="none"/>
        </w:rPr>
        <w:t>询价文件要求的其他</w:t>
      </w:r>
      <w:r>
        <w:rPr>
          <w:rFonts w:hint="eastAsia" w:ascii="仿宋_GB2312" w:hAnsi="仿宋_GB2312" w:eastAsia="仿宋_GB2312" w:cs="仿宋_GB2312"/>
          <w:color w:val="auto"/>
          <w:sz w:val="24"/>
          <w:szCs w:val="24"/>
          <w:highlight w:val="none"/>
          <w:lang w:val="en-US" w:eastAsia="zh-CN"/>
        </w:rPr>
        <w:t>资料</w:t>
      </w:r>
      <w:r>
        <w:rPr>
          <w:rFonts w:hint="eastAsia" w:ascii="仿宋_GB2312" w:hAnsi="仿宋_GB2312" w:eastAsia="仿宋_GB2312" w:cs="仿宋_GB2312"/>
          <w:color w:val="auto"/>
          <w:sz w:val="24"/>
          <w:szCs w:val="24"/>
          <w:highlight w:val="none"/>
        </w:rPr>
        <w:t>等。</w:t>
      </w:r>
    </w:p>
    <w:p w14:paraId="7E7D8A2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以上相关证明材料须提供彩色复印件并加盖公章，如未提供则相关报价文件均无效。</w:t>
      </w:r>
    </w:p>
    <w:p w14:paraId="7C17D02E">
      <w:pPr>
        <w:spacing w:line="420" w:lineRule="exact"/>
        <w:rPr>
          <w:rFonts w:hint="eastAsia" w:ascii="仿宋_GB2312" w:hAnsi="仿宋_GB2312" w:eastAsia="仿宋_GB2312" w:cs="仿宋_GB2312"/>
          <w:color w:val="auto"/>
          <w:sz w:val="24"/>
          <w:szCs w:val="24"/>
          <w:highlight w:val="none"/>
        </w:rPr>
      </w:pPr>
    </w:p>
    <w:p w14:paraId="3762E5F2">
      <w:pPr>
        <w:spacing w:line="420" w:lineRule="exact"/>
        <w:rPr>
          <w:rFonts w:hint="eastAsia" w:ascii="仿宋_GB2312" w:hAnsi="仿宋_GB2312" w:eastAsia="仿宋_GB2312" w:cs="仿宋_GB2312"/>
          <w:color w:val="auto"/>
          <w:sz w:val="24"/>
          <w:szCs w:val="24"/>
          <w:highlight w:val="none"/>
        </w:rPr>
      </w:pPr>
    </w:p>
    <w:p w14:paraId="628079A2">
      <w:pPr>
        <w:spacing w:line="420" w:lineRule="exact"/>
        <w:rPr>
          <w:rFonts w:hint="eastAsia" w:ascii="仿宋_GB2312" w:hAnsi="仿宋_GB2312" w:eastAsia="仿宋_GB2312" w:cs="仿宋_GB2312"/>
          <w:color w:val="auto"/>
          <w:sz w:val="24"/>
          <w:szCs w:val="24"/>
          <w:highlight w:val="none"/>
        </w:rPr>
      </w:pPr>
    </w:p>
    <w:p w14:paraId="7A30EA65">
      <w:pPr>
        <w:spacing w:line="420" w:lineRule="exact"/>
        <w:rPr>
          <w:rFonts w:hint="eastAsia" w:ascii="仿宋_GB2312" w:hAnsi="仿宋_GB2312" w:eastAsia="仿宋_GB2312" w:cs="仿宋_GB2312"/>
          <w:color w:val="auto"/>
          <w:sz w:val="24"/>
          <w:szCs w:val="24"/>
          <w:highlight w:val="none"/>
        </w:rPr>
      </w:pPr>
    </w:p>
    <w:bookmarkEnd w:id="56"/>
    <w:p w14:paraId="648D24EB">
      <w:pPr>
        <w:spacing w:line="420" w:lineRule="exact"/>
        <w:rPr>
          <w:rFonts w:hint="eastAsia" w:ascii="仿宋_GB2312" w:hAnsi="仿宋_GB2312" w:eastAsia="仿宋_GB2312" w:cs="仿宋_GB2312"/>
          <w:color w:val="auto"/>
          <w:sz w:val="24"/>
          <w:szCs w:val="24"/>
          <w:highlight w:val="none"/>
        </w:rPr>
      </w:pPr>
    </w:p>
    <w:p w14:paraId="343D2B7F">
      <w:pPr>
        <w:pStyle w:val="9"/>
        <w:rPr>
          <w:rFonts w:hint="eastAsia" w:ascii="仿宋_GB2312" w:hAnsi="仿宋_GB2312" w:eastAsia="仿宋_GB2312" w:cs="仿宋_GB2312"/>
          <w:color w:val="auto"/>
          <w:sz w:val="24"/>
          <w:szCs w:val="24"/>
          <w:highlight w:val="none"/>
        </w:rPr>
      </w:pPr>
    </w:p>
    <w:p w14:paraId="16F4C5CF">
      <w:pPr>
        <w:rPr>
          <w:rFonts w:hint="eastAsia" w:ascii="仿宋_GB2312" w:hAnsi="仿宋_GB2312" w:eastAsia="仿宋_GB2312" w:cs="仿宋_GB2312"/>
          <w:color w:val="auto"/>
          <w:sz w:val="24"/>
          <w:szCs w:val="24"/>
          <w:highlight w:val="none"/>
        </w:rPr>
      </w:pPr>
    </w:p>
    <w:p w14:paraId="79723483">
      <w:pPr>
        <w:pStyle w:val="9"/>
        <w:rPr>
          <w:rFonts w:hint="eastAsia" w:ascii="仿宋_GB2312" w:hAnsi="仿宋_GB2312" w:eastAsia="仿宋_GB2312" w:cs="仿宋_GB2312"/>
          <w:color w:val="auto"/>
          <w:sz w:val="24"/>
          <w:szCs w:val="24"/>
          <w:highlight w:val="none"/>
        </w:rPr>
      </w:pPr>
    </w:p>
    <w:p w14:paraId="661F42F4">
      <w:pPr>
        <w:rPr>
          <w:rFonts w:hint="eastAsia" w:ascii="仿宋_GB2312" w:hAnsi="仿宋_GB2312" w:eastAsia="仿宋_GB2312" w:cs="仿宋_GB2312"/>
          <w:color w:val="auto"/>
          <w:sz w:val="24"/>
          <w:szCs w:val="24"/>
          <w:highlight w:val="none"/>
        </w:rPr>
      </w:pPr>
    </w:p>
    <w:p w14:paraId="3F488587">
      <w:pPr>
        <w:pStyle w:val="9"/>
        <w:rPr>
          <w:rFonts w:hint="eastAsia" w:ascii="仿宋_GB2312" w:hAnsi="仿宋_GB2312" w:eastAsia="仿宋_GB2312" w:cs="仿宋_GB2312"/>
          <w:color w:val="auto"/>
          <w:sz w:val="24"/>
          <w:szCs w:val="24"/>
          <w:highlight w:val="none"/>
        </w:rPr>
      </w:pPr>
    </w:p>
    <w:p w14:paraId="08798BAD">
      <w:pPr>
        <w:rPr>
          <w:rFonts w:hint="eastAsia" w:ascii="仿宋_GB2312" w:hAnsi="仿宋_GB2312" w:eastAsia="仿宋_GB2312" w:cs="仿宋_GB2312"/>
          <w:color w:val="auto"/>
          <w:sz w:val="24"/>
          <w:szCs w:val="24"/>
          <w:highlight w:val="none"/>
        </w:rPr>
      </w:pPr>
    </w:p>
    <w:p w14:paraId="377E0260">
      <w:pPr>
        <w:pStyle w:val="9"/>
        <w:rPr>
          <w:rFonts w:hint="eastAsia" w:ascii="仿宋_GB2312" w:hAnsi="仿宋_GB2312" w:eastAsia="仿宋_GB2312" w:cs="仿宋_GB2312"/>
          <w:color w:val="auto"/>
          <w:sz w:val="24"/>
          <w:szCs w:val="24"/>
          <w:highlight w:val="none"/>
        </w:rPr>
      </w:pPr>
    </w:p>
    <w:p w14:paraId="70E3AE0F">
      <w:pPr>
        <w:rPr>
          <w:rFonts w:hint="eastAsia" w:ascii="仿宋_GB2312" w:hAnsi="仿宋_GB2312" w:eastAsia="仿宋_GB2312" w:cs="仿宋_GB2312"/>
          <w:color w:val="auto"/>
          <w:sz w:val="24"/>
          <w:szCs w:val="24"/>
          <w:highlight w:val="none"/>
        </w:rPr>
      </w:pPr>
    </w:p>
    <w:p w14:paraId="4CC933C0">
      <w:pPr>
        <w:pStyle w:val="9"/>
        <w:rPr>
          <w:rFonts w:hint="eastAsia" w:ascii="仿宋_GB2312" w:hAnsi="仿宋_GB2312" w:eastAsia="仿宋_GB2312" w:cs="仿宋_GB2312"/>
          <w:color w:val="auto"/>
          <w:sz w:val="24"/>
          <w:szCs w:val="24"/>
          <w:highlight w:val="none"/>
        </w:rPr>
      </w:pPr>
    </w:p>
    <w:p w14:paraId="1C5BD073">
      <w:pPr>
        <w:rPr>
          <w:rFonts w:hint="eastAsia" w:ascii="仿宋_GB2312" w:hAnsi="仿宋_GB2312" w:eastAsia="仿宋_GB2312" w:cs="仿宋_GB2312"/>
          <w:color w:val="auto"/>
          <w:sz w:val="24"/>
          <w:szCs w:val="24"/>
          <w:highlight w:val="none"/>
        </w:rPr>
      </w:pPr>
    </w:p>
    <w:p w14:paraId="7F941685">
      <w:pPr>
        <w:pStyle w:val="9"/>
        <w:rPr>
          <w:rFonts w:hint="eastAsia" w:ascii="仿宋_GB2312" w:hAnsi="仿宋_GB2312" w:eastAsia="仿宋_GB2312" w:cs="仿宋_GB2312"/>
          <w:color w:val="auto"/>
          <w:sz w:val="24"/>
          <w:szCs w:val="24"/>
          <w:highlight w:val="none"/>
        </w:rPr>
      </w:pPr>
    </w:p>
    <w:p w14:paraId="592BC17C">
      <w:pPr>
        <w:rPr>
          <w:rFonts w:hint="eastAsia" w:ascii="仿宋_GB2312" w:hAnsi="仿宋_GB2312" w:eastAsia="仿宋_GB2312" w:cs="仿宋_GB2312"/>
          <w:color w:val="auto"/>
          <w:sz w:val="24"/>
          <w:szCs w:val="24"/>
          <w:highlight w:val="none"/>
        </w:rPr>
      </w:pPr>
    </w:p>
    <w:p w14:paraId="14017C21">
      <w:pPr>
        <w:rPr>
          <w:rFonts w:hint="eastAsia" w:ascii="仿宋_GB2312" w:hAnsi="仿宋_GB2312" w:eastAsia="仿宋_GB2312" w:cs="仿宋_GB2312"/>
          <w:color w:val="auto"/>
          <w:sz w:val="24"/>
          <w:szCs w:val="24"/>
          <w:highlight w:val="none"/>
        </w:rPr>
      </w:pPr>
    </w:p>
    <w:p w14:paraId="10916B14">
      <w:pPr>
        <w:pStyle w:val="2"/>
        <w:rPr>
          <w:rFonts w:hint="eastAsia"/>
          <w:highlight w:val="none"/>
        </w:rPr>
      </w:pPr>
    </w:p>
    <w:p w14:paraId="0107FD8B">
      <w:pPr>
        <w:rPr>
          <w:rFonts w:hint="eastAsia"/>
          <w:highlight w:val="none"/>
        </w:rPr>
      </w:pPr>
    </w:p>
    <w:p w14:paraId="606B2857">
      <w:pPr>
        <w:pStyle w:val="2"/>
        <w:rPr>
          <w:rFonts w:hint="eastAsia"/>
          <w:highlight w:val="none"/>
        </w:rPr>
      </w:pPr>
    </w:p>
    <w:p w14:paraId="77A104AE">
      <w:pPr>
        <w:pStyle w:val="9"/>
        <w:rPr>
          <w:rFonts w:hint="eastAsia" w:ascii="仿宋_GB2312" w:hAnsi="仿宋_GB2312" w:eastAsia="仿宋_GB2312" w:cs="仿宋_GB2312"/>
          <w:color w:val="auto"/>
          <w:sz w:val="24"/>
          <w:szCs w:val="24"/>
          <w:highlight w:val="none"/>
        </w:rPr>
      </w:pPr>
    </w:p>
    <w:p w14:paraId="709B3A28">
      <w:pPr>
        <w:rPr>
          <w:rFonts w:hint="eastAsia" w:ascii="仿宋_GB2312" w:hAnsi="仿宋_GB2312" w:eastAsia="仿宋_GB2312" w:cs="仿宋_GB2312"/>
          <w:color w:val="auto"/>
          <w:sz w:val="24"/>
          <w:szCs w:val="24"/>
          <w:highlight w:val="none"/>
        </w:rPr>
      </w:pPr>
    </w:p>
    <w:p w14:paraId="536704D7">
      <w:pPr>
        <w:pStyle w:val="9"/>
        <w:rPr>
          <w:rFonts w:hint="eastAsia" w:ascii="仿宋_GB2312" w:hAnsi="仿宋_GB2312" w:eastAsia="仿宋_GB2312" w:cs="仿宋_GB2312"/>
          <w:color w:val="auto"/>
          <w:sz w:val="24"/>
          <w:szCs w:val="24"/>
          <w:highlight w:val="none"/>
        </w:rPr>
      </w:pPr>
    </w:p>
    <w:p w14:paraId="3AE47DDE">
      <w:pPr>
        <w:rPr>
          <w:rFonts w:hint="eastAsia" w:ascii="仿宋_GB2312" w:hAnsi="仿宋_GB2312" w:eastAsia="仿宋_GB2312" w:cs="仿宋_GB2312"/>
          <w:color w:val="auto"/>
          <w:sz w:val="24"/>
          <w:szCs w:val="24"/>
          <w:highlight w:val="none"/>
        </w:rPr>
      </w:pPr>
    </w:p>
    <w:p w14:paraId="7533117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bookmarkStart w:id="148" w:name="_Toc11679"/>
      <w:r>
        <w:rPr>
          <w:rFonts w:hint="eastAsia" w:ascii="黑体" w:hAnsi="黑体" w:eastAsia="黑体" w:cs="黑体"/>
          <w:b/>
          <w:bCs w:val="0"/>
          <w:color w:val="auto"/>
          <w:sz w:val="32"/>
          <w:szCs w:val="32"/>
          <w:highlight w:val="none"/>
          <w:lang w:val="en-US" w:eastAsia="zh-CN"/>
        </w:rPr>
        <w:t>2026-2027年度沥青采购合同（合同样式）</w:t>
      </w:r>
      <w:bookmarkEnd w:id="148"/>
    </w:p>
    <w:p w14:paraId="7E8FF952">
      <w:pPr>
        <w:keepNext w:val="0"/>
        <w:keepLines w:val="0"/>
        <w:pageBreakBefore w:val="0"/>
        <w:kinsoku/>
        <w:overflowPunct/>
        <w:topLinePunct w:val="0"/>
        <w:autoSpaceDE/>
        <w:autoSpaceDN/>
        <w:bidi w:val="0"/>
        <w:adjustRightInd/>
        <w:snapToGrid w:val="0"/>
        <w:spacing w:line="500" w:lineRule="exact"/>
        <w:textAlignment w:val="auto"/>
        <w:rPr>
          <w:rFonts w:hint="eastAsia" w:ascii="仿宋_GB2312" w:hAnsi="仿宋_GB2312" w:eastAsia="仿宋_GB2312" w:cs="仿宋_GB2312"/>
          <w:b/>
          <w:color w:val="auto"/>
          <w:sz w:val="28"/>
          <w:szCs w:val="28"/>
          <w:highlight w:val="none"/>
        </w:rPr>
      </w:pPr>
    </w:p>
    <w:p w14:paraId="4C13EE17">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甲方（买受人）</w:t>
      </w:r>
      <w:r>
        <w:rPr>
          <w:rFonts w:hint="eastAsia" w:ascii="仿宋_GB2312" w:hAnsi="仿宋_GB2312" w:eastAsia="仿宋_GB2312" w:cs="仿宋_GB2312"/>
          <w:b/>
          <w:color w:val="auto"/>
          <w:sz w:val="28"/>
          <w:szCs w:val="28"/>
          <w:highlight w:val="none"/>
        </w:rPr>
        <w:t>：</w:t>
      </w:r>
    </w:p>
    <w:p w14:paraId="3F0D8030">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住所地：</w:t>
      </w:r>
    </w:p>
    <w:p w14:paraId="0735143A">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bCs/>
          <w:color w:val="auto"/>
          <w:sz w:val="28"/>
          <w:szCs w:val="28"/>
          <w:highlight w:val="none"/>
          <w:u w:val="none"/>
          <w:lang w:val="en-US" w:eastAsia="zh-CN"/>
        </w:rPr>
      </w:pPr>
      <w:r>
        <w:rPr>
          <w:rFonts w:hint="eastAsia" w:ascii="仿宋_GB2312" w:hAnsi="仿宋_GB2312" w:eastAsia="仿宋_GB2312" w:cs="仿宋_GB2312"/>
          <w:b/>
          <w:bCs/>
          <w:color w:val="auto"/>
          <w:sz w:val="28"/>
          <w:szCs w:val="28"/>
          <w:highlight w:val="none"/>
          <w:u w:val="none"/>
          <w:lang w:val="en-US" w:eastAsia="zh-CN"/>
        </w:rPr>
        <w:t>统一社会信用代码：</w:t>
      </w:r>
    </w:p>
    <w:p w14:paraId="316C2F04">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法定代表人/负责人：</w:t>
      </w:r>
    </w:p>
    <w:p w14:paraId="31440D56">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bCs/>
          <w:color w:val="auto"/>
          <w:sz w:val="28"/>
          <w:szCs w:val="28"/>
          <w:highlight w:val="none"/>
          <w:u w:val="none"/>
          <w:lang w:val="en-US" w:eastAsia="zh-CN"/>
        </w:rPr>
      </w:pPr>
      <w:r>
        <w:rPr>
          <w:rFonts w:hint="eastAsia" w:ascii="仿宋_GB2312" w:hAnsi="仿宋_GB2312" w:eastAsia="仿宋_GB2312" w:cs="仿宋_GB2312"/>
          <w:b/>
          <w:bCs/>
          <w:color w:val="auto"/>
          <w:sz w:val="28"/>
          <w:szCs w:val="28"/>
          <w:highlight w:val="none"/>
          <w:u w:val="none"/>
          <w:lang w:val="en-US" w:eastAsia="zh-CN"/>
        </w:rPr>
        <w:t>联系电话：</w:t>
      </w:r>
    </w:p>
    <w:p w14:paraId="505E1254">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val="0"/>
          <w:bCs/>
          <w:color w:val="auto"/>
          <w:sz w:val="24"/>
          <w:szCs w:val="24"/>
          <w:highlight w:val="none"/>
          <w:lang w:val="en-US" w:eastAsia="zh-CN"/>
        </w:rPr>
      </w:pPr>
    </w:p>
    <w:p w14:paraId="2114A5CD">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乙方（出卖人）：</w:t>
      </w:r>
    </w:p>
    <w:p w14:paraId="38ABE158">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住所地：</w:t>
      </w:r>
    </w:p>
    <w:p w14:paraId="7FBB71FC">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统一社会信用代码：</w:t>
      </w:r>
    </w:p>
    <w:p w14:paraId="13E6A09D">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法定代表人/负责人：</w:t>
      </w:r>
    </w:p>
    <w:p w14:paraId="07E61A5B">
      <w:pPr>
        <w:keepNext w:val="0"/>
        <w:keepLines w:val="0"/>
        <w:pageBreakBefore w:val="0"/>
        <w:kinsoku/>
        <w:wordWrap/>
        <w:overflowPunct/>
        <w:topLinePunct w:val="0"/>
        <w:autoSpaceDE/>
        <w:autoSpaceDN/>
        <w:bidi w:val="0"/>
        <w:adjustRightInd/>
        <w:snapToGrid w:val="0"/>
        <w:spacing w:line="500" w:lineRule="exact"/>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联系电话：</w:t>
      </w:r>
    </w:p>
    <w:p w14:paraId="50844A01">
      <w:pPr>
        <w:keepNext w:val="0"/>
        <w:keepLines w:val="0"/>
        <w:pageBreakBefore w:val="0"/>
        <w:kinsoku/>
        <w:overflowPunct/>
        <w:topLinePunct w:val="0"/>
        <w:autoSpaceDE/>
        <w:autoSpaceDN/>
        <w:bidi w:val="0"/>
        <w:adjustRightInd/>
        <w:snapToGrid w:val="0"/>
        <w:spacing w:line="500" w:lineRule="exact"/>
        <w:textAlignment w:val="auto"/>
        <w:rPr>
          <w:rFonts w:hint="eastAsia" w:ascii="仿宋_GB2312" w:hAnsi="仿宋_GB2312" w:eastAsia="仿宋_GB2312" w:cs="仿宋_GB2312"/>
          <w:color w:val="auto"/>
          <w:sz w:val="24"/>
          <w:szCs w:val="24"/>
          <w:highlight w:val="none"/>
        </w:rPr>
      </w:pPr>
    </w:p>
    <w:p w14:paraId="59D2EB71">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根据《中华人民共和国民法典》及其他有关法律、法规之规定，甲乙双方遵循公平、自愿、诚实信用的原则，在协商一致的基础上，就乙方向甲方出售下列货物达成协议如下：</w:t>
      </w:r>
    </w:p>
    <w:p w14:paraId="5C78552D">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一、货物名称、规格、价格</w:t>
      </w:r>
    </w:p>
    <w:tbl>
      <w:tblPr>
        <w:tblStyle w:val="21"/>
        <w:tblW w:w="9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583"/>
        <w:gridCol w:w="1045"/>
        <w:gridCol w:w="997"/>
        <w:gridCol w:w="1302"/>
        <w:gridCol w:w="1247"/>
        <w:gridCol w:w="1441"/>
        <w:gridCol w:w="2532"/>
      </w:tblGrid>
      <w:tr w14:paraId="4D6F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16" w:hRule="atLeast"/>
          <w:jc w:val="center"/>
        </w:trPr>
        <w:tc>
          <w:tcPr>
            <w:tcW w:w="583" w:type="dxa"/>
            <w:shd w:val="clear" w:color="auto" w:fill="FFFFFF"/>
            <w:noWrap w:val="0"/>
            <w:tcMar>
              <w:left w:w="47" w:type="dxa"/>
              <w:right w:w="47" w:type="dxa"/>
            </w:tcMar>
            <w:vAlign w:val="center"/>
          </w:tcPr>
          <w:p w14:paraId="2A85702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500" w:lineRule="exact"/>
              <w:ind w:left="0" w:right="0"/>
              <w:jc w:val="center"/>
              <w:textAlignment w:val="auto"/>
              <w:rPr>
                <w:rFonts w:hint="eastAsia"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序号</w:t>
            </w:r>
          </w:p>
        </w:tc>
        <w:tc>
          <w:tcPr>
            <w:tcW w:w="1045" w:type="dxa"/>
            <w:shd w:val="clear" w:color="auto" w:fill="FFFFFF"/>
            <w:noWrap w:val="0"/>
            <w:tcMar>
              <w:left w:w="47" w:type="dxa"/>
              <w:right w:w="47" w:type="dxa"/>
            </w:tcMar>
            <w:vAlign w:val="center"/>
          </w:tcPr>
          <w:p w14:paraId="454FFBE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500" w:lineRule="exact"/>
              <w:ind w:left="0" w:right="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i w:val="0"/>
                <w:iCs w:val="0"/>
                <w:caps w:val="0"/>
                <w:color w:val="auto"/>
                <w:spacing w:val="4"/>
                <w:sz w:val="21"/>
                <w:szCs w:val="21"/>
                <w:highlight w:val="none"/>
                <w:lang w:eastAsia="zh-CN"/>
              </w:rPr>
              <w:t>货物</w:t>
            </w:r>
            <w:r>
              <w:rPr>
                <w:rFonts w:hint="eastAsia" w:ascii="仿宋_GB2312" w:hAnsi="仿宋_GB2312" w:eastAsia="仿宋_GB2312" w:cs="仿宋_GB2312"/>
                <w:b/>
                <w:bCs/>
                <w:i w:val="0"/>
                <w:iCs w:val="0"/>
                <w:caps w:val="0"/>
                <w:color w:val="auto"/>
                <w:spacing w:val="4"/>
                <w:sz w:val="21"/>
                <w:szCs w:val="21"/>
                <w:highlight w:val="none"/>
              </w:rPr>
              <w:t>名称</w:t>
            </w:r>
          </w:p>
        </w:tc>
        <w:tc>
          <w:tcPr>
            <w:tcW w:w="997" w:type="dxa"/>
            <w:shd w:val="clear" w:color="auto" w:fill="FFFFFF"/>
            <w:noWrap w:val="0"/>
            <w:tcMar>
              <w:left w:w="47" w:type="dxa"/>
              <w:right w:w="47" w:type="dxa"/>
            </w:tcMar>
            <w:vAlign w:val="center"/>
          </w:tcPr>
          <w:p w14:paraId="461A6EC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b/>
                <w:bCs/>
                <w:i w:val="0"/>
                <w:iCs w:val="0"/>
                <w:caps w:val="0"/>
                <w:color w:val="auto"/>
                <w:spacing w:val="4"/>
                <w:sz w:val="21"/>
                <w:szCs w:val="21"/>
                <w:highlight w:val="none"/>
              </w:rPr>
            </w:pPr>
            <w:r>
              <w:rPr>
                <w:rFonts w:hint="eastAsia" w:ascii="仿宋_GB2312" w:hAnsi="仿宋_GB2312" w:eastAsia="仿宋_GB2312" w:cs="仿宋_GB2312"/>
                <w:b/>
                <w:bCs/>
                <w:i w:val="0"/>
                <w:iCs w:val="0"/>
                <w:caps w:val="0"/>
                <w:color w:val="auto"/>
                <w:spacing w:val="4"/>
                <w:sz w:val="21"/>
                <w:szCs w:val="21"/>
                <w:highlight w:val="none"/>
                <w:lang w:val="en-US" w:eastAsia="zh-CN"/>
              </w:rPr>
              <w:t>预估数量（吨）</w:t>
            </w:r>
          </w:p>
        </w:tc>
        <w:tc>
          <w:tcPr>
            <w:tcW w:w="1302" w:type="dxa"/>
            <w:shd w:val="clear" w:color="auto" w:fill="FFFFFF"/>
            <w:noWrap w:val="0"/>
            <w:tcMar>
              <w:left w:w="47" w:type="dxa"/>
              <w:right w:w="47" w:type="dxa"/>
            </w:tcMar>
            <w:vAlign w:val="center"/>
          </w:tcPr>
          <w:p w14:paraId="772913A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b/>
                <w:bCs/>
                <w:i w:val="0"/>
                <w:iCs w:val="0"/>
                <w:caps w:val="0"/>
                <w:color w:val="auto"/>
                <w:spacing w:val="4"/>
                <w:sz w:val="21"/>
                <w:szCs w:val="21"/>
                <w:highlight w:val="none"/>
                <w:lang w:val="en-US" w:eastAsia="zh-CN"/>
              </w:rPr>
            </w:pPr>
            <w:r>
              <w:rPr>
                <w:rFonts w:hint="eastAsia" w:ascii="仿宋_GB2312" w:hAnsi="仿宋_GB2312" w:eastAsia="仿宋_GB2312" w:cs="仿宋_GB2312"/>
                <w:b/>
                <w:bCs/>
                <w:i w:val="0"/>
                <w:iCs w:val="0"/>
                <w:caps w:val="0"/>
                <w:color w:val="auto"/>
                <w:spacing w:val="4"/>
                <w:sz w:val="21"/>
                <w:szCs w:val="21"/>
                <w:highlight w:val="none"/>
                <w:lang w:val="en-US" w:eastAsia="zh-CN"/>
              </w:rPr>
              <w:t>百川资讯网出库月度均价下调比例%</w:t>
            </w:r>
          </w:p>
        </w:tc>
        <w:tc>
          <w:tcPr>
            <w:tcW w:w="1247" w:type="dxa"/>
            <w:shd w:val="clear" w:color="auto" w:fill="FFFFFF"/>
            <w:noWrap w:val="0"/>
            <w:tcMar>
              <w:left w:w="47" w:type="dxa"/>
              <w:right w:w="47" w:type="dxa"/>
            </w:tcMar>
            <w:vAlign w:val="center"/>
          </w:tcPr>
          <w:p w14:paraId="056BEDF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b/>
                <w:bCs/>
                <w:i w:val="0"/>
                <w:iCs w:val="0"/>
                <w:caps w:val="0"/>
                <w:color w:val="auto"/>
                <w:spacing w:val="4"/>
                <w:sz w:val="21"/>
                <w:szCs w:val="21"/>
                <w:highlight w:val="none"/>
                <w:lang w:val="en-US" w:eastAsia="zh-CN"/>
              </w:rPr>
            </w:pPr>
            <w:r>
              <w:rPr>
                <w:rFonts w:hint="eastAsia" w:ascii="仿宋_GB2312" w:hAnsi="仿宋_GB2312" w:eastAsia="仿宋_GB2312" w:cs="仿宋_GB2312"/>
                <w:b/>
                <w:bCs/>
                <w:i w:val="0"/>
                <w:iCs w:val="0"/>
                <w:caps w:val="0"/>
                <w:color w:val="auto"/>
                <w:spacing w:val="4"/>
                <w:sz w:val="21"/>
                <w:szCs w:val="21"/>
                <w:highlight w:val="none"/>
                <w:lang w:val="en-US" w:eastAsia="zh-CN"/>
              </w:rPr>
              <w:t>单价</w:t>
            </w:r>
          </w:p>
          <w:p w14:paraId="6158A1D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b/>
                <w:bCs/>
                <w:i w:val="0"/>
                <w:iCs w:val="0"/>
                <w:caps w:val="0"/>
                <w:color w:val="auto"/>
                <w:spacing w:val="4"/>
                <w:sz w:val="21"/>
                <w:szCs w:val="21"/>
                <w:highlight w:val="none"/>
                <w:lang w:val="en-US" w:eastAsia="zh-CN"/>
              </w:rPr>
            </w:pPr>
            <w:r>
              <w:rPr>
                <w:rFonts w:hint="eastAsia" w:ascii="仿宋_GB2312" w:hAnsi="仿宋_GB2312" w:eastAsia="仿宋_GB2312" w:cs="仿宋_GB2312"/>
                <w:b/>
                <w:bCs/>
                <w:i w:val="0"/>
                <w:iCs w:val="0"/>
                <w:caps w:val="0"/>
                <w:color w:val="auto"/>
                <w:spacing w:val="4"/>
                <w:sz w:val="21"/>
                <w:szCs w:val="21"/>
                <w:highlight w:val="none"/>
                <w:lang w:val="en-US" w:eastAsia="zh-CN"/>
              </w:rPr>
              <w:t>（元/吨）</w:t>
            </w:r>
          </w:p>
        </w:tc>
        <w:tc>
          <w:tcPr>
            <w:tcW w:w="1441" w:type="dxa"/>
            <w:shd w:val="clear" w:color="auto" w:fill="FFFFFF"/>
            <w:noWrap w:val="0"/>
            <w:tcMar>
              <w:left w:w="47" w:type="dxa"/>
              <w:right w:w="47" w:type="dxa"/>
            </w:tcMar>
            <w:vAlign w:val="center"/>
          </w:tcPr>
          <w:p w14:paraId="66CEBC6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b/>
                <w:bCs/>
                <w:i w:val="0"/>
                <w:iCs w:val="0"/>
                <w:caps w:val="0"/>
                <w:color w:val="auto"/>
                <w:spacing w:val="4"/>
                <w:sz w:val="21"/>
                <w:szCs w:val="21"/>
                <w:highlight w:val="none"/>
                <w:lang w:val="en-US" w:eastAsia="zh-CN"/>
              </w:rPr>
            </w:pPr>
            <w:r>
              <w:rPr>
                <w:rFonts w:hint="eastAsia" w:ascii="仿宋_GB2312" w:hAnsi="仿宋_GB2312" w:eastAsia="仿宋_GB2312" w:cs="仿宋_GB2312"/>
                <w:b/>
                <w:bCs/>
                <w:i w:val="0"/>
                <w:iCs w:val="0"/>
                <w:caps w:val="0"/>
                <w:color w:val="auto"/>
                <w:spacing w:val="4"/>
                <w:sz w:val="21"/>
                <w:szCs w:val="21"/>
                <w:highlight w:val="none"/>
                <w:lang w:val="en-US" w:eastAsia="zh-CN"/>
              </w:rPr>
              <w:t>总价      （元）</w:t>
            </w:r>
          </w:p>
        </w:tc>
        <w:tc>
          <w:tcPr>
            <w:tcW w:w="2532" w:type="dxa"/>
            <w:shd w:val="clear" w:color="auto" w:fill="FFFFFF"/>
            <w:noWrap w:val="0"/>
            <w:tcMar>
              <w:left w:w="47" w:type="dxa"/>
              <w:right w:w="47" w:type="dxa"/>
            </w:tcMar>
            <w:vAlign w:val="center"/>
          </w:tcPr>
          <w:p w14:paraId="466BD9B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500" w:lineRule="exact"/>
              <w:ind w:left="0" w:right="0"/>
              <w:jc w:val="center"/>
              <w:textAlignment w:val="auto"/>
              <w:rPr>
                <w:rFonts w:hint="eastAsia"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备注</w:t>
            </w:r>
          </w:p>
        </w:tc>
      </w:tr>
      <w:tr w14:paraId="7FFC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250" w:hRule="atLeast"/>
          <w:jc w:val="center"/>
        </w:trPr>
        <w:tc>
          <w:tcPr>
            <w:tcW w:w="583" w:type="dxa"/>
            <w:shd w:val="clear" w:color="auto" w:fill="FFFFFF"/>
            <w:noWrap w:val="0"/>
            <w:tcMar>
              <w:left w:w="47" w:type="dxa"/>
              <w:right w:w="47" w:type="dxa"/>
            </w:tcMar>
            <w:vAlign w:val="center"/>
          </w:tcPr>
          <w:p w14:paraId="76685274">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right="0"/>
              <w:jc w:val="center"/>
              <w:textAlignment w:val="auto"/>
              <w:rPr>
                <w:rFonts w:hint="eastAsia" w:ascii="仿宋_GB2312" w:hAnsi="仿宋_GB2312" w:eastAsia="仿宋_GB2312" w:cs="仿宋_GB2312"/>
                <w:i w:val="0"/>
                <w:iCs w:val="0"/>
                <w:caps w:val="0"/>
                <w:color w:val="auto"/>
                <w:spacing w:val="4"/>
                <w:sz w:val="21"/>
                <w:szCs w:val="21"/>
                <w:highlight w:val="none"/>
                <w:lang w:val="en-US" w:eastAsia="zh-CN"/>
              </w:rPr>
            </w:pPr>
            <w:r>
              <w:rPr>
                <w:rFonts w:hint="eastAsia" w:ascii="仿宋_GB2312" w:hAnsi="仿宋_GB2312" w:eastAsia="仿宋_GB2312" w:cs="仿宋_GB2312"/>
                <w:i w:val="0"/>
                <w:iCs w:val="0"/>
                <w:caps w:val="0"/>
                <w:color w:val="auto"/>
                <w:spacing w:val="4"/>
                <w:sz w:val="21"/>
                <w:szCs w:val="21"/>
                <w:highlight w:val="none"/>
                <w:lang w:val="en-US" w:eastAsia="zh-CN"/>
              </w:rPr>
              <w:t>1</w:t>
            </w:r>
          </w:p>
        </w:tc>
        <w:tc>
          <w:tcPr>
            <w:tcW w:w="1045" w:type="dxa"/>
            <w:shd w:val="clear" w:color="auto" w:fill="FFFFFF"/>
            <w:noWrap w:val="0"/>
            <w:tcMar>
              <w:left w:w="47" w:type="dxa"/>
              <w:right w:w="47" w:type="dxa"/>
            </w:tcMar>
            <w:vAlign w:val="center"/>
          </w:tcPr>
          <w:p w14:paraId="7DD4D10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i w:val="0"/>
                <w:iCs w:val="0"/>
                <w:caps w:val="0"/>
                <w:color w:val="auto"/>
                <w:spacing w:val="4"/>
                <w:sz w:val="21"/>
                <w:szCs w:val="21"/>
                <w:highlight w:val="none"/>
                <w:lang w:val="en-US" w:eastAsia="zh-CN"/>
              </w:rPr>
            </w:pPr>
            <w:r>
              <w:rPr>
                <w:rFonts w:hint="eastAsia" w:ascii="仿宋_GB2312" w:hAnsi="仿宋_GB2312" w:eastAsia="仿宋_GB2312" w:cs="仿宋_GB2312"/>
                <w:b/>
                <w:bCs/>
                <w:i w:val="0"/>
                <w:iCs w:val="0"/>
                <w:caps w:val="0"/>
                <w:color w:val="auto"/>
                <w:spacing w:val="4"/>
                <w:sz w:val="21"/>
                <w:szCs w:val="21"/>
                <w:highlight w:val="none"/>
                <w:lang w:val="en-US" w:eastAsia="zh-CN"/>
              </w:rPr>
              <w:t>SBS改性沥青（I-D）</w:t>
            </w:r>
          </w:p>
        </w:tc>
        <w:tc>
          <w:tcPr>
            <w:tcW w:w="997" w:type="dxa"/>
            <w:shd w:val="clear" w:color="auto" w:fill="FFFFFF"/>
            <w:noWrap w:val="0"/>
            <w:tcMar>
              <w:left w:w="47" w:type="dxa"/>
              <w:right w:w="47" w:type="dxa"/>
            </w:tcMar>
            <w:vAlign w:val="center"/>
          </w:tcPr>
          <w:p w14:paraId="746333AC">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leftChars="0" w:right="0" w:rightChars="0"/>
              <w:jc w:val="center"/>
              <w:textAlignment w:val="auto"/>
              <w:rPr>
                <w:rFonts w:hint="eastAsia" w:ascii="仿宋_GB2312" w:hAnsi="仿宋_GB2312" w:eastAsia="仿宋_GB2312" w:cs="仿宋_GB2312"/>
                <w:b/>
                <w:bCs/>
                <w:i w:val="0"/>
                <w:iCs w:val="0"/>
                <w:caps w:val="0"/>
                <w:color w:val="auto"/>
                <w:spacing w:val="4"/>
                <w:kern w:val="2"/>
                <w:sz w:val="21"/>
                <w:szCs w:val="21"/>
                <w:highlight w:val="none"/>
                <w:lang w:val="en-US" w:eastAsia="zh-CN" w:bidi="ar-SA"/>
              </w:rPr>
            </w:pPr>
            <w:r>
              <w:rPr>
                <w:rFonts w:hint="eastAsia" w:ascii="仿宋_GB2312" w:hAnsi="仿宋_GB2312" w:eastAsia="仿宋_GB2312" w:cs="仿宋_GB2312"/>
                <w:b/>
                <w:bCs/>
                <w:i w:val="0"/>
                <w:iCs w:val="0"/>
                <w:caps w:val="0"/>
                <w:color w:val="auto"/>
                <w:spacing w:val="4"/>
                <w:sz w:val="21"/>
                <w:szCs w:val="21"/>
                <w:highlight w:val="none"/>
                <w:lang w:val="en-US" w:eastAsia="zh-CN"/>
              </w:rPr>
              <w:t>1800</w:t>
            </w:r>
          </w:p>
        </w:tc>
        <w:tc>
          <w:tcPr>
            <w:tcW w:w="1302" w:type="dxa"/>
            <w:shd w:val="clear" w:color="auto" w:fill="FFFFFF"/>
            <w:noWrap w:val="0"/>
            <w:tcMar>
              <w:left w:w="47" w:type="dxa"/>
              <w:right w:w="47" w:type="dxa"/>
            </w:tcMar>
            <w:vAlign w:val="center"/>
          </w:tcPr>
          <w:p w14:paraId="701B699C">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leftChars="0" w:right="0" w:rightChars="0"/>
              <w:jc w:val="center"/>
              <w:textAlignment w:val="auto"/>
              <w:rPr>
                <w:rFonts w:hint="default" w:ascii="仿宋_GB2312" w:hAnsi="仿宋_GB2312" w:eastAsia="仿宋_GB2312" w:cs="仿宋_GB2312"/>
                <w:b/>
                <w:bCs/>
                <w:i w:val="0"/>
                <w:iCs w:val="0"/>
                <w:caps w:val="0"/>
                <w:color w:val="auto"/>
                <w:spacing w:val="4"/>
                <w:kern w:val="2"/>
                <w:sz w:val="21"/>
                <w:szCs w:val="21"/>
                <w:highlight w:val="none"/>
                <w:lang w:val="en-US" w:eastAsia="zh-CN" w:bidi="ar-SA"/>
              </w:rPr>
            </w:pPr>
          </w:p>
        </w:tc>
        <w:tc>
          <w:tcPr>
            <w:tcW w:w="1247" w:type="dxa"/>
            <w:shd w:val="clear" w:color="auto" w:fill="FFFFFF"/>
            <w:noWrap w:val="0"/>
            <w:tcMar>
              <w:left w:w="47" w:type="dxa"/>
              <w:right w:w="47" w:type="dxa"/>
            </w:tcMar>
            <w:vAlign w:val="center"/>
          </w:tcPr>
          <w:p w14:paraId="597A66CA">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leftChars="0" w:right="0" w:rightChars="0"/>
              <w:jc w:val="center"/>
              <w:textAlignment w:val="auto"/>
              <w:rPr>
                <w:rFonts w:hint="eastAsia" w:ascii="仿宋_GB2312" w:hAnsi="仿宋_GB2312" w:eastAsia="仿宋_GB2312" w:cs="仿宋_GB2312"/>
                <w:b/>
                <w:bCs/>
                <w:i w:val="0"/>
                <w:iCs w:val="0"/>
                <w:caps w:val="0"/>
                <w:color w:val="auto"/>
                <w:spacing w:val="4"/>
                <w:kern w:val="2"/>
                <w:sz w:val="21"/>
                <w:szCs w:val="21"/>
                <w:highlight w:val="none"/>
                <w:lang w:val="en-US" w:eastAsia="zh-CN" w:bidi="ar-SA"/>
              </w:rPr>
            </w:pPr>
          </w:p>
        </w:tc>
        <w:tc>
          <w:tcPr>
            <w:tcW w:w="1441" w:type="dxa"/>
            <w:shd w:val="clear" w:color="auto" w:fill="FFFFFF"/>
            <w:noWrap w:val="0"/>
            <w:tcMar>
              <w:left w:w="47" w:type="dxa"/>
              <w:right w:w="47" w:type="dxa"/>
            </w:tcMar>
            <w:vAlign w:val="center"/>
          </w:tcPr>
          <w:p w14:paraId="59D03DB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b/>
                <w:bCs/>
                <w:i w:val="0"/>
                <w:iCs w:val="0"/>
                <w:caps w:val="0"/>
                <w:color w:val="auto"/>
                <w:spacing w:val="4"/>
                <w:sz w:val="21"/>
                <w:szCs w:val="21"/>
                <w:highlight w:val="none"/>
                <w:lang w:val="en-US" w:eastAsia="zh-CN"/>
              </w:rPr>
            </w:pPr>
          </w:p>
        </w:tc>
        <w:tc>
          <w:tcPr>
            <w:tcW w:w="2532" w:type="dxa"/>
            <w:shd w:val="clear" w:color="auto" w:fill="FFFFFF"/>
            <w:noWrap w:val="0"/>
            <w:tcMar>
              <w:left w:w="47" w:type="dxa"/>
              <w:right w:w="47" w:type="dxa"/>
            </w:tcMar>
            <w:vAlign w:val="center"/>
          </w:tcPr>
          <w:p w14:paraId="6D43E08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i w:val="0"/>
                <w:iCs w:val="0"/>
                <w:caps w:val="0"/>
                <w:color w:val="auto"/>
                <w:spacing w:val="4"/>
                <w:sz w:val="21"/>
                <w:szCs w:val="21"/>
                <w:highlight w:val="none"/>
              </w:rPr>
            </w:pPr>
            <w:r>
              <w:rPr>
                <w:rFonts w:hint="eastAsia" w:ascii="仿宋_GB2312" w:hAnsi="仿宋_GB2312" w:eastAsia="仿宋_GB2312" w:cs="仿宋_GB2312"/>
                <w:b/>
                <w:bCs/>
                <w:i w:val="0"/>
                <w:iCs w:val="0"/>
                <w:caps w:val="0"/>
                <w:color w:val="auto"/>
                <w:spacing w:val="4"/>
                <w:sz w:val="21"/>
                <w:szCs w:val="21"/>
                <w:highlight w:val="none"/>
                <w:lang w:val="en-US" w:eastAsia="zh-CN"/>
              </w:rPr>
              <w:t>按供货当月百川资讯网公布的华东地区改性沥青信息价平均价为基准价下调比例进行下调</w:t>
            </w:r>
          </w:p>
        </w:tc>
      </w:tr>
      <w:tr w14:paraId="0479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280" w:hRule="atLeast"/>
          <w:jc w:val="center"/>
        </w:trPr>
        <w:tc>
          <w:tcPr>
            <w:tcW w:w="583" w:type="dxa"/>
            <w:shd w:val="clear" w:color="auto" w:fill="FFFFFF"/>
            <w:noWrap w:val="0"/>
            <w:tcMar>
              <w:left w:w="47" w:type="dxa"/>
              <w:right w:w="47" w:type="dxa"/>
            </w:tcMar>
            <w:vAlign w:val="center"/>
          </w:tcPr>
          <w:p w14:paraId="00F90415">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right="0"/>
              <w:jc w:val="center"/>
              <w:textAlignment w:val="auto"/>
              <w:rPr>
                <w:rFonts w:hint="eastAsia" w:ascii="仿宋_GB2312" w:hAnsi="仿宋_GB2312" w:eastAsia="仿宋_GB2312" w:cs="仿宋_GB2312"/>
                <w:i w:val="0"/>
                <w:iCs w:val="0"/>
                <w:caps w:val="0"/>
                <w:color w:val="auto"/>
                <w:spacing w:val="4"/>
                <w:sz w:val="21"/>
                <w:szCs w:val="21"/>
                <w:highlight w:val="none"/>
                <w:lang w:val="en-US" w:eastAsia="zh-CN"/>
              </w:rPr>
            </w:pPr>
            <w:r>
              <w:rPr>
                <w:rFonts w:hint="eastAsia" w:ascii="仿宋_GB2312" w:hAnsi="仿宋_GB2312" w:eastAsia="仿宋_GB2312" w:cs="仿宋_GB2312"/>
                <w:i w:val="0"/>
                <w:iCs w:val="0"/>
                <w:caps w:val="0"/>
                <w:color w:val="auto"/>
                <w:spacing w:val="4"/>
                <w:sz w:val="21"/>
                <w:szCs w:val="21"/>
                <w:highlight w:val="none"/>
                <w:lang w:val="en-US" w:eastAsia="zh-CN"/>
              </w:rPr>
              <w:t>2</w:t>
            </w:r>
          </w:p>
        </w:tc>
        <w:tc>
          <w:tcPr>
            <w:tcW w:w="1045" w:type="dxa"/>
            <w:shd w:val="clear" w:color="auto" w:fill="FFFFFF"/>
            <w:noWrap w:val="0"/>
            <w:tcMar>
              <w:left w:w="47" w:type="dxa"/>
              <w:right w:w="47" w:type="dxa"/>
            </w:tcMar>
            <w:vAlign w:val="center"/>
          </w:tcPr>
          <w:p w14:paraId="2299B2F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i w:val="0"/>
                <w:iCs w:val="0"/>
                <w:caps w:val="0"/>
                <w:color w:val="auto"/>
                <w:spacing w:val="4"/>
                <w:sz w:val="21"/>
                <w:szCs w:val="21"/>
                <w:highlight w:val="none"/>
                <w:lang w:val="en-US" w:eastAsia="zh-CN"/>
              </w:rPr>
            </w:pPr>
            <w:r>
              <w:rPr>
                <w:rFonts w:hint="eastAsia" w:ascii="仿宋_GB2312" w:hAnsi="仿宋_GB2312" w:eastAsia="仿宋_GB2312" w:cs="仿宋_GB2312"/>
                <w:b/>
                <w:bCs/>
                <w:i w:val="0"/>
                <w:iCs w:val="0"/>
                <w:caps w:val="0"/>
                <w:color w:val="auto"/>
                <w:spacing w:val="4"/>
                <w:sz w:val="21"/>
                <w:szCs w:val="21"/>
                <w:highlight w:val="none"/>
                <w:lang w:val="en-US" w:eastAsia="zh-CN"/>
              </w:rPr>
              <w:t>普通沥青AH-70</w:t>
            </w:r>
          </w:p>
        </w:tc>
        <w:tc>
          <w:tcPr>
            <w:tcW w:w="997" w:type="dxa"/>
            <w:shd w:val="clear" w:color="auto" w:fill="FFFFFF"/>
            <w:noWrap w:val="0"/>
            <w:tcMar>
              <w:left w:w="47" w:type="dxa"/>
              <w:right w:w="47" w:type="dxa"/>
            </w:tcMar>
            <w:vAlign w:val="center"/>
          </w:tcPr>
          <w:p w14:paraId="623B1673">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leftChars="0" w:right="0" w:rightChars="0"/>
              <w:jc w:val="center"/>
              <w:textAlignment w:val="auto"/>
              <w:rPr>
                <w:rFonts w:hint="eastAsia" w:ascii="仿宋_GB2312" w:hAnsi="仿宋_GB2312" w:eastAsia="仿宋_GB2312" w:cs="仿宋_GB2312"/>
                <w:b/>
                <w:bCs/>
                <w:i w:val="0"/>
                <w:iCs w:val="0"/>
                <w:caps w:val="0"/>
                <w:color w:val="auto"/>
                <w:spacing w:val="4"/>
                <w:kern w:val="2"/>
                <w:sz w:val="21"/>
                <w:szCs w:val="21"/>
                <w:highlight w:val="none"/>
                <w:lang w:val="en-US" w:eastAsia="zh-CN" w:bidi="ar-SA"/>
              </w:rPr>
            </w:pPr>
            <w:r>
              <w:rPr>
                <w:rFonts w:hint="eastAsia" w:ascii="仿宋_GB2312" w:hAnsi="仿宋_GB2312" w:eastAsia="仿宋_GB2312" w:cs="仿宋_GB2312"/>
                <w:b/>
                <w:bCs/>
                <w:i w:val="0"/>
                <w:iCs w:val="0"/>
                <w:caps w:val="0"/>
                <w:color w:val="auto"/>
                <w:spacing w:val="4"/>
                <w:sz w:val="21"/>
                <w:szCs w:val="21"/>
                <w:highlight w:val="none"/>
                <w:lang w:val="en-US" w:eastAsia="zh-CN"/>
              </w:rPr>
              <w:t>500</w:t>
            </w:r>
          </w:p>
        </w:tc>
        <w:tc>
          <w:tcPr>
            <w:tcW w:w="1302" w:type="dxa"/>
            <w:shd w:val="clear" w:color="auto" w:fill="FFFFFF"/>
            <w:noWrap w:val="0"/>
            <w:tcMar>
              <w:left w:w="47" w:type="dxa"/>
              <w:right w:w="47" w:type="dxa"/>
            </w:tcMar>
            <w:vAlign w:val="center"/>
          </w:tcPr>
          <w:p w14:paraId="0BD99DB6">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leftChars="0" w:right="0" w:rightChars="0"/>
              <w:jc w:val="center"/>
              <w:textAlignment w:val="auto"/>
              <w:rPr>
                <w:rFonts w:hint="eastAsia" w:ascii="仿宋_GB2312" w:hAnsi="仿宋_GB2312" w:eastAsia="仿宋_GB2312" w:cs="仿宋_GB2312"/>
                <w:b/>
                <w:bCs/>
                <w:i w:val="0"/>
                <w:iCs w:val="0"/>
                <w:caps w:val="0"/>
                <w:color w:val="auto"/>
                <w:spacing w:val="4"/>
                <w:kern w:val="2"/>
                <w:sz w:val="21"/>
                <w:szCs w:val="21"/>
                <w:highlight w:val="none"/>
                <w:lang w:val="en-US" w:eastAsia="zh-CN" w:bidi="ar-SA"/>
              </w:rPr>
            </w:pPr>
          </w:p>
        </w:tc>
        <w:tc>
          <w:tcPr>
            <w:tcW w:w="1247" w:type="dxa"/>
            <w:shd w:val="clear" w:color="auto" w:fill="FFFFFF"/>
            <w:noWrap w:val="0"/>
            <w:tcMar>
              <w:left w:w="47" w:type="dxa"/>
              <w:right w:w="47" w:type="dxa"/>
            </w:tcMar>
            <w:vAlign w:val="center"/>
          </w:tcPr>
          <w:p w14:paraId="4CA4214F">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leftChars="0" w:right="0" w:rightChars="0"/>
              <w:jc w:val="center"/>
              <w:textAlignment w:val="auto"/>
              <w:rPr>
                <w:rFonts w:hint="eastAsia" w:ascii="仿宋_GB2312" w:hAnsi="仿宋_GB2312" w:eastAsia="仿宋_GB2312" w:cs="仿宋_GB2312"/>
                <w:b/>
                <w:bCs/>
                <w:i w:val="0"/>
                <w:iCs w:val="0"/>
                <w:caps w:val="0"/>
                <w:color w:val="auto"/>
                <w:spacing w:val="4"/>
                <w:kern w:val="2"/>
                <w:sz w:val="21"/>
                <w:szCs w:val="21"/>
                <w:highlight w:val="none"/>
                <w:lang w:val="en-US" w:eastAsia="zh-CN" w:bidi="ar-SA"/>
              </w:rPr>
            </w:pPr>
          </w:p>
        </w:tc>
        <w:tc>
          <w:tcPr>
            <w:tcW w:w="1441" w:type="dxa"/>
            <w:shd w:val="clear" w:color="auto" w:fill="FFFFFF"/>
            <w:noWrap w:val="0"/>
            <w:tcMar>
              <w:left w:w="47" w:type="dxa"/>
              <w:right w:w="47" w:type="dxa"/>
            </w:tcMar>
            <w:vAlign w:val="center"/>
          </w:tcPr>
          <w:p w14:paraId="56FCAC8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b/>
                <w:bCs/>
                <w:i w:val="0"/>
                <w:iCs w:val="0"/>
                <w:caps w:val="0"/>
                <w:color w:val="auto"/>
                <w:spacing w:val="4"/>
                <w:sz w:val="21"/>
                <w:szCs w:val="21"/>
                <w:highlight w:val="none"/>
                <w:lang w:val="en-US" w:eastAsia="zh-CN"/>
              </w:rPr>
            </w:pPr>
          </w:p>
        </w:tc>
        <w:tc>
          <w:tcPr>
            <w:tcW w:w="2532" w:type="dxa"/>
            <w:shd w:val="clear" w:color="auto" w:fill="FFFFFF"/>
            <w:noWrap w:val="0"/>
            <w:tcMar>
              <w:left w:w="47" w:type="dxa"/>
              <w:right w:w="47" w:type="dxa"/>
            </w:tcMar>
            <w:vAlign w:val="center"/>
          </w:tcPr>
          <w:p w14:paraId="4694380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i w:val="0"/>
                <w:iCs w:val="0"/>
                <w:caps w:val="0"/>
                <w:color w:val="auto"/>
                <w:spacing w:val="4"/>
                <w:sz w:val="21"/>
                <w:szCs w:val="21"/>
                <w:highlight w:val="none"/>
              </w:rPr>
            </w:pPr>
            <w:r>
              <w:rPr>
                <w:rFonts w:hint="eastAsia" w:ascii="仿宋_GB2312" w:hAnsi="仿宋_GB2312" w:eastAsia="仿宋_GB2312" w:cs="仿宋_GB2312"/>
                <w:b/>
                <w:bCs/>
                <w:i w:val="0"/>
                <w:iCs w:val="0"/>
                <w:caps w:val="0"/>
                <w:color w:val="auto"/>
                <w:spacing w:val="4"/>
                <w:sz w:val="21"/>
                <w:szCs w:val="21"/>
                <w:highlight w:val="none"/>
                <w:lang w:val="en-US" w:eastAsia="zh-CN"/>
              </w:rPr>
              <w:t>按供货当月百川资讯网公布的广东省主力炼厂广州石化、茂名石化重交沥青信息价平均价为基准价下调比例进行下调</w:t>
            </w:r>
          </w:p>
        </w:tc>
      </w:tr>
      <w:tr w14:paraId="7514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36" w:hRule="atLeast"/>
          <w:jc w:val="center"/>
        </w:trPr>
        <w:tc>
          <w:tcPr>
            <w:tcW w:w="583" w:type="dxa"/>
            <w:shd w:val="clear" w:color="auto" w:fill="FFFFFF"/>
            <w:noWrap w:val="0"/>
            <w:tcMar>
              <w:left w:w="47" w:type="dxa"/>
              <w:right w:w="47" w:type="dxa"/>
            </w:tcMar>
            <w:vAlign w:val="center"/>
          </w:tcPr>
          <w:p w14:paraId="57CA0C3E">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right="0"/>
              <w:jc w:val="center"/>
              <w:textAlignment w:val="auto"/>
              <w:rPr>
                <w:rFonts w:hint="default" w:ascii="仿宋_GB2312" w:hAnsi="仿宋_GB2312" w:eastAsia="仿宋_GB2312" w:cs="仿宋_GB2312"/>
                <w:b/>
                <w:bCs/>
                <w:i w:val="0"/>
                <w:iCs w:val="0"/>
                <w:caps w:val="0"/>
                <w:color w:val="auto"/>
                <w:spacing w:val="4"/>
                <w:sz w:val="21"/>
                <w:szCs w:val="21"/>
                <w:highlight w:val="none"/>
                <w:lang w:val="en-US" w:eastAsia="zh-CN"/>
              </w:rPr>
            </w:pPr>
            <w:r>
              <w:rPr>
                <w:rFonts w:hint="eastAsia" w:ascii="仿宋_GB2312" w:hAnsi="仿宋_GB2312" w:eastAsia="仿宋_GB2312" w:cs="仿宋_GB2312"/>
                <w:b/>
                <w:bCs/>
                <w:i w:val="0"/>
                <w:iCs w:val="0"/>
                <w:caps w:val="0"/>
                <w:color w:val="auto"/>
                <w:spacing w:val="4"/>
                <w:sz w:val="21"/>
                <w:szCs w:val="21"/>
                <w:highlight w:val="none"/>
                <w:lang w:val="en-US" w:eastAsia="zh-CN"/>
              </w:rPr>
              <w:t>3</w:t>
            </w:r>
          </w:p>
        </w:tc>
        <w:tc>
          <w:tcPr>
            <w:tcW w:w="1045" w:type="dxa"/>
            <w:shd w:val="clear" w:color="auto" w:fill="FFFFFF"/>
            <w:noWrap w:val="0"/>
            <w:tcMar>
              <w:left w:w="47" w:type="dxa"/>
              <w:right w:w="47" w:type="dxa"/>
            </w:tcMar>
            <w:vAlign w:val="center"/>
          </w:tcPr>
          <w:p w14:paraId="2E749FAC">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right="0"/>
              <w:jc w:val="center"/>
              <w:textAlignment w:val="auto"/>
              <w:rPr>
                <w:rFonts w:hint="default" w:ascii="仿宋_GB2312" w:hAnsi="仿宋_GB2312" w:eastAsia="仿宋_GB2312" w:cs="仿宋_GB2312"/>
                <w:b/>
                <w:bCs/>
                <w:i w:val="0"/>
                <w:iCs w:val="0"/>
                <w:caps w:val="0"/>
                <w:color w:val="auto"/>
                <w:spacing w:val="4"/>
                <w:sz w:val="21"/>
                <w:szCs w:val="21"/>
                <w:highlight w:val="none"/>
                <w:lang w:val="en-US" w:eastAsia="zh-CN"/>
              </w:rPr>
            </w:pPr>
            <w:r>
              <w:rPr>
                <w:rFonts w:hint="eastAsia" w:ascii="仿宋_GB2312" w:hAnsi="仿宋_GB2312" w:eastAsia="仿宋_GB2312" w:cs="仿宋_GB2312"/>
                <w:b/>
                <w:bCs/>
                <w:i w:val="0"/>
                <w:iCs w:val="0"/>
                <w:caps w:val="0"/>
                <w:color w:val="auto"/>
                <w:spacing w:val="4"/>
                <w:sz w:val="21"/>
                <w:szCs w:val="21"/>
                <w:highlight w:val="none"/>
                <w:lang w:val="en-US" w:eastAsia="zh-CN"/>
              </w:rPr>
              <w:t>合计</w:t>
            </w:r>
          </w:p>
        </w:tc>
        <w:tc>
          <w:tcPr>
            <w:tcW w:w="997" w:type="dxa"/>
            <w:shd w:val="clear" w:color="auto" w:fill="FFFFFF"/>
            <w:noWrap w:val="0"/>
            <w:tcMar>
              <w:left w:w="47" w:type="dxa"/>
              <w:right w:w="47" w:type="dxa"/>
            </w:tcMar>
            <w:vAlign w:val="center"/>
          </w:tcPr>
          <w:p w14:paraId="5E66BEAB">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leftChars="0" w:right="0" w:rightChars="0"/>
              <w:jc w:val="center"/>
              <w:textAlignment w:val="auto"/>
              <w:rPr>
                <w:rFonts w:hint="default" w:ascii="仿宋_GB2312" w:hAnsi="仿宋_GB2312" w:eastAsia="仿宋_GB2312" w:cs="仿宋_GB2312"/>
                <w:b/>
                <w:bCs/>
                <w:i w:val="0"/>
                <w:iCs w:val="0"/>
                <w:caps w:val="0"/>
                <w:color w:val="auto"/>
                <w:spacing w:val="4"/>
                <w:sz w:val="21"/>
                <w:szCs w:val="21"/>
                <w:highlight w:val="none"/>
                <w:lang w:val="en-US" w:eastAsia="zh-CN"/>
              </w:rPr>
            </w:pPr>
            <w:r>
              <w:rPr>
                <w:rFonts w:hint="eastAsia" w:ascii="仿宋_GB2312" w:hAnsi="仿宋_GB2312" w:eastAsia="仿宋_GB2312" w:cs="仿宋_GB2312"/>
                <w:b/>
                <w:bCs/>
                <w:i w:val="0"/>
                <w:iCs w:val="0"/>
                <w:caps w:val="0"/>
                <w:color w:val="auto"/>
                <w:spacing w:val="4"/>
                <w:sz w:val="21"/>
                <w:szCs w:val="21"/>
                <w:highlight w:val="none"/>
                <w:lang w:val="en-US" w:eastAsia="zh-CN"/>
              </w:rPr>
              <w:t>2300</w:t>
            </w:r>
          </w:p>
        </w:tc>
        <w:tc>
          <w:tcPr>
            <w:tcW w:w="1302" w:type="dxa"/>
            <w:shd w:val="clear" w:color="auto" w:fill="FFFFFF"/>
            <w:noWrap w:val="0"/>
            <w:tcMar>
              <w:left w:w="47" w:type="dxa"/>
              <w:right w:w="47" w:type="dxa"/>
            </w:tcMar>
            <w:vAlign w:val="center"/>
          </w:tcPr>
          <w:p w14:paraId="3ED0E4FD">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leftChars="0" w:right="0" w:rightChars="0"/>
              <w:jc w:val="center"/>
              <w:textAlignment w:val="auto"/>
              <w:rPr>
                <w:rFonts w:hint="eastAsia" w:ascii="仿宋_GB2312" w:hAnsi="仿宋_GB2312" w:eastAsia="仿宋_GB2312" w:cs="仿宋_GB2312"/>
                <w:b/>
                <w:bCs/>
                <w:i w:val="0"/>
                <w:iCs w:val="0"/>
                <w:caps w:val="0"/>
                <w:color w:val="auto"/>
                <w:spacing w:val="4"/>
                <w:sz w:val="21"/>
                <w:szCs w:val="21"/>
                <w:highlight w:val="none"/>
                <w:lang w:val="en-US" w:eastAsia="zh-CN"/>
              </w:rPr>
            </w:pPr>
          </w:p>
        </w:tc>
        <w:tc>
          <w:tcPr>
            <w:tcW w:w="1247" w:type="dxa"/>
            <w:shd w:val="clear" w:color="auto" w:fill="FFFFFF"/>
            <w:noWrap w:val="0"/>
            <w:tcMar>
              <w:left w:w="47" w:type="dxa"/>
              <w:right w:w="47" w:type="dxa"/>
            </w:tcMar>
            <w:vAlign w:val="center"/>
          </w:tcPr>
          <w:p w14:paraId="229B421E">
            <w:pPr>
              <w:keepNext w:val="0"/>
              <w:keepLines w:val="0"/>
              <w:pageBreakBefore w:val="0"/>
              <w:widowControl/>
              <w:suppressLineNumbers w:val="0"/>
              <w:kinsoku/>
              <w:wordWrap w:val="0"/>
              <w:overflowPunct/>
              <w:topLinePunct w:val="0"/>
              <w:autoSpaceDE/>
              <w:autoSpaceDN/>
              <w:bidi w:val="0"/>
              <w:adjustRightInd/>
              <w:snapToGrid w:val="0"/>
              <w:spacing w:before="0" w:beforeAutospacing="0" w:after="0" w:afterAutospacing="0" w:line="500" w:lineRule="exact"/>
              <w:ind w:left="0" w:leftChars="0" w:right="0" w:rightChars="0"/>
              <w:jc w:val="center"/>
              <w:textAlignment w:val="auto"/>
              <w:rPr>
                <w:rFonts w:hint="eastAsia" w:ascii="仿宋_GB2312" w:hAnsi="仿宋_GB2312" w:eastAsia="仿宋_GB2312" w:cs="仿宋_GB2312"/>
                <w:b/>
                <w:bCs/>
                <w:i w:val="0"/>
                <w:iCs w:val="0"/>
                <w:caps w:val="0"/>
                <w:color w:val="auto"/>
                <w:spacing w:val="4"/>
                <w:kern w:val="2"/>
                <w:sz w:val="21"/>
                <w:szCs w:val="21"/>
                <w:highlight w:val="none"/>
                <w:lang w:val="en-US" w:eastAsia="zh-CN" w:bidi="ar-SA"/>
              </w:rPr>
            </w:pPr>
          </w:p>
        </w:tc>
        <w:tc>
          <w:tcPr>
            <w:tcW w:w="1441" w:type="dxa"/>
            <w:shd w:val="clear" w:color="auto" w:fill="FFFFFF"/>
            <w:noWrap w:val="0"/>
            <w:tcMar>
              <w:left w:w="47" w:type="dxa"/>
              <w:right w:w="47" w:type="dxa"/>
            </w:tcMar>
            <w:vAlign w:val="center"/>
          </w:tcPr>
          <w:p w14:paraId="1E7D4AF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b/>
                <w:bCs/>
                <w:i w:val="0"/>
                <w:iCs w:val="0"/>
                <w:caps w:val="0"/>
                <w:color w:val="auto"/>
                <w:spacing w:val="4"/>
                <w:sz w:val="21"/>
                <w:szCs w:val="21"/>
                <w:highlight w:val="none"/>
                <w:lang w:val="en-US" w:eastAsia="zh-CN"/>
              </w:rPr>
            </w:pPr>
          </w:p>
        </w:tc>
        <w:tc>
          <w:tcPr>
            <w:tcW w:w="2532" w:type="dxa"/>
            <w:shd w:val="clear" w:color="auto" w:fill="FFFFFF"/>
            <w:noWrap w:val="0"/>
            <w:tcMar>
              <w:left w:w="47" w:type="dxa"/>
              <w:right w:w="47" w:type="dxa"/>
            </w:tcMar>
            <w:vAlign w:val="center"/>
          </w:tcPr>
          <w:p w14:paraId="6EEA469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_GB2312" w:hAnsi="仿宋_GB2312" w:eastAsia="仿宋_GB2312" w:cs="仿宋_GB2312"/>
                <w:b/>
                <w:bCs/>
                <w:i w:val="0"/>
                <w:iCs w:val="0"/>
                <w:caps w:val="0"/>
                <w:color w:val="auto"/>
                <w:spacing w:val="4"/>
                <w:sz w:val="21"/>
                <w:szCs w:val="21"/>
                <w:highlight w:val="none"/>
                <w:lang w:val="en-US" w:eastAsia="zh-CN"/>
              </w:rPr>
            </w:pPr>
          </w:p>
        </w:tc>
      </w:tr>
    </w:tbl>
    <w:p w14:paraId="6BD58EAE">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特别约定：</w:t>
      </w:r>
    </w:p>
    <w:p w14:paraId="53FD062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1、本合同改性沥青单价按供货当月百川资讯网（百川盈孚）公布的华东地区（改性沥青-华东）改性沥青信息价平均价为基准价进行下调、普通沥青单价按供货当月百川资讯网公布的广东省主力炼厂广州石化（广东省-广州石化70#A级）、茂名石化重交沥青（广东省-茂名石化70#、90#A级）信息价平均价为基准价进行下调，本合同数量以乙方实际供货并经甲方实际验收采购数量为准，甲方不再另行支付其他费用，甲方也不承担其他合同明示或暗示的所有责任、义务和全部风险。</w:t>
      </w:r>
    </w:p>
    <w:p w14:paraId="0DEE3972">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2、合同单价：</w:t>
      </w:r>
      <w:r>
        <w:rPr>
          <w:rFonts w:hint="eastAsia"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t>以百川资讯网（</w:t>
      </w:r>
      <w:r>
        <w:rPr>
          <w:rFonts w:hint="default"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t>http://www.baiinfo.com/</w:t>
      </w:r>
      <w:r>
        <w:rPr>
          <w:rFonts w:hint="eastAsia"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t>）公布的</w:t>
      </w:r>
      <w:r>
        <w:rPr>
          <w:rFonts w:hint="default"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t>2026</w:t>
      </w:r>
      <w:r>
        <w:rPr>
          <w:rFonts w:hint="eastAsia"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t>年8月1日至31日挂牌平均价为基准价。结算单价价格采取价格浮动法，以供货发生当月1日至当月末日，【以百川资讯网</w:t>
      </w:r>
      <w:r>
        <w:rPr>
          <w:rFonts w:hint="default"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t>http://www.baiinfo.com/</w:t>
      </w:r>
      <w:r>
        <w:rPr>
          <w:rFonts w:hint="eastAsia"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t>】公布的同规格沥青含税信息价的算术平均值作为基准单价：</w:t>
      </w:r>
    </w:p>
    <w:p w14:paraId="53A7E46F">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SBS改性沥青（I-D）当月供货结算单价</w:t>
      </w:r>
      <w:r>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t>=</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【当月供货信息均价）*(1-(5991.33-合同单价)/5991.33)】；</w:t>
      </w:r>
    </w:p>
    <w:p w14:paraId="6B25F811">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重交沥青（AH-70）当月供货结算单价</w:t>
      </w:r>
      <w:r>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t>=</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【当月供货信息均价）*(1-(5243.55-合同单价)/5243.55)】。</w:t>
      </w:r>
    </w:p>
    <w:p w14:paraId="1FFB98FC">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二、质量要求</w:t>
      </w:r>
    </w:p>
    <w:p w14:paraId="21B100F5">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（一）技术标准(包括质量要求):SBS改性沥青各项指标应符合《公路沥青路面施工技术规范》(JTG F40-2004)表4.6.2中I-D级的规定。普通沥青采用70号A级沥青，其各项指标应符合《公路沥青路面施工技术规范》。</w:t>
      </w:r>
    </w:p>
    <w:p w14:paraId="6DC46AE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甲方有权随时对乙方卸车前的货物进行检测，并留样封存。检测不合格，甲方将拒收货物。当出现质量争议时，应提交双方封存的样品给共同认可且具备资格的检测机构检测，并以该检测结果作为判定该产品是否合格的依据，若检测合格，检测费由甲方承担；若检测不合格，检测费用由乙方承担。</w:t>
      </w:r>
    </w:p>
    <w:p w14:paraId="2C920B12">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（三）乙方应保证其交付的产品符合约定沥青指标及质量标准：若货物有质量问题，乙方应无条件退换货物，并承担甲方因此所受到的所有损失。</w:t>
      </w:r>
    </w:p>
    <w:p w14:paraId="5D00C0E4">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三、货物的供货期限、交货方式、交货地点和交货时间</w:t>
      </w:r>
    </w:p>
    <w:p w14:paraId="080DD26A">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（一）供货期限：自合同签订之日起12个月。如遇特殊情况，经双方经协商一致，供货时间可延长，延长期限最长不超过1年。供货分批次供货，具体以甲方通知的供货时间为准。工程开工前，乙方在收到甲方通知</w:t>
      </w:r>
      <w:r>
        <w:rPr>
          <w:rFonts w:hint="eastAsia" w:ascii="仿宋_GB2312" w:hAnsi="仿宋_GB2312" w:eastAsia="仿宋_GB2312" w:cs="仿宋_GB2312"/>
          <w:i w:val="0"/>
          <w:iCs w:val="0"/>
          <w:caps w:val="0"/>
          <w:color w:val="auto"/>
          <w:spacing w:val="4"/>
          <w:sz w:val="24"/>
          <w:szCs w:val="24"/>
          <w:highlight w:val="none"/>
          <w:u w:val="single"/>
          <w:shd w:val="clear" w:color="auto" w:fill="FFFFFF"/>
          <w:lang w:val="en-US" w:eastAsia="zh-CN"/>
        </w:rPr>
        <w:t>（电话、微信、信息等）</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后48小时内到货。</w:t>
      </w:r>
    </w:p>
    <w:p w14:paraId="14AB499A">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rPr>
      </w:pPr>
      <w:r>
        <w:rPr>
          <w:rFonts w:hint="eastAsia" w:ascii="仿宋_GB2312" w:hAnsi="仿宋_GB2312" w:eastAsia="仿宋_GB2312" w:cs="仿宋_GB2312"/>
          <w:i w:val="0"/>
          <w:iCs w:val="0"/>
          <w:caps w:val="0"/>
          <w:color w:val="auto"/>
          <w:spacing w:val="4"/>
          <w:sz w:val="24"/>
          <w:szCs w:val="24"/>
          <w:highlight w:val="none"/>
          <w:shd w:val="clear" w:color="auto" w:fill="FFFFFF"/>
        </w:rPr>
        <w:t>（</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w:t>
      </w:r>
      <w:r>
        <w:rPr>
          <w:rFonts w:hint="eastAsia" w:ascii="仿宋_GB2312" w:hAnsi="仿宋_GB2312" w:eastAsia="仿宋_GB2312" w:cs="仿宋_GB2312"/>
          <w:i w:val="0"/>
          <w:iCs w:val="0"/>
          <w:caps w:val="0"/>
          <w:color w:val="auto"/>
          <w:spacing w:val="4"/>
          <w:sz w:val="24"/>
          <w:szCs w:val="24"/>
          <w:highlight w:val="none"/>
          <w:shd w:val="clear" w:color="auto" w:fill="FFFFFF"/>
        </w:rPr>
        <w:t>）交货方式：</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分批次交货，交货地点为甲方指定收货地点：</w:t>
      </w:r>
      <w:r>
        <w:rPr>
          <w:rFonts w:hint="eastAsia" w:ascii="仿宋_GB2312" w:hAnsi="仿宋_GB2312" w:eastAsia="仿宋_GB2312" w:cs="仿宋_GB2312"/>
          <w:i w:val="0"/>
          <w:iCs w:val="0"/>
          <w:caps w:val="0"/>
          <w:color w:val="auto"/>
          <w:spacing w:val="4"/>
          <w:sz w:val="24"/>
          <w:szCs w:val="24"/>
          <w:highlight w:val="none"/>
          <w:u w:val="single"/>
          <w:shd w:val="clear" w:color="auto" w:fill="FFFFFF"/>
          <w:lang w:val="en-US" w:eastAsia="zh-CN"/>
        </w:rPr>
        <w:t xml:space="preserve"> 以甲方发货通知单确定的交货地点为准</w:t>
      </w:r>
      <w:r>
        <w:rPr>
          <w:rFonts w:hint="eastAsia" w:ascii="仿宋_GB2312" w:hAnsi="仿宋_GB2312" w:eastAsia="仿宋_GB2312" w:cs="仿宋_GB2312"/>
          <w:i w:val="0"/>
          <w:iCs w:val="0"/>
          <w:caps w:val="0"/>
          <w:color w:val="auto"/>
          <w:spacing w:val="4"/>
          <w:sz w:val="24"/>
          <w:szCs w:val="24"/>
          <w:highlight w:val="none"/>
          <w:u w:val="none"/>
          <w:shd w:val="clear" w:color="auto" w:fill="FFFFFF"/>
          <w:lang w:val="en-US" w:eastAsia="zh-CN"/>
        </w:rPr>
        <w:t>，</w:t>
      </w:r>
      <w:r>
        <w:rPr>
          <w:rFonts w:hint="eastAsia" w:ascii="仿宋_GB2312" w:hAnsi="仿宋_GB2312" w:eastAsia="仿宋_GB2312" w:cs="仿宋_GB2312"/>
          <w:i w:val="0"/>
          <w:iCs w:val="0"/>
          <w:caps w:val="0"/>
          <w:color w:val="auto"/>
          <w:spacing w:val="4"/>
          <w:sz w:val="24"/>
          <w:szCs w:val="24"/>
          <w:highlight w:val="none"/>
          <w:shd w:val="clear" w:color="auto" w:fill="FFFFFF"/>
        </w:rPr>
        <w:t>乙方负责将</w:t>
      </w:r>
      <w:r>
        <w:rPr>
          <w:rFonts w:hint="eastAsia" w:ascii="仿宋_GB2312" w:hAnsi="仿宋_GB2312" w:eastAsia="仿宋_GB2312" w:cs="仿宋_GB2312"/>
          <w:i w:val="0"/>
          <w:iCs w:val="0"/>
          <w:caps w:val="0"/>
          <w:color w:val="auto"/>
          <w:spacing w:val="4"/>
          <w:sz w:val="24"/>
          <w:szCs w:val="24"/>
          <w:highlight w:val="none"/>
          <w:shd w:val="clear" w:color="auto" w:fill="FFFFFF"/>
          <w:lang w:eastAsia="zh-CN"/>
        </w:rPr>
        <w:t>货物</w:t>
      </w:r>
      <w:r>
        <w:rPr>
          <w:rFonts w:hint="eastAsia" w:ascii="仿宋_GB2312" w:hAnsi="仿宋_GB2312" w:eastAsia="仿宋_GB2312" w:cs="仿宋_GB2312"/>
          <w:i w:val="0"/>
          <w:iCs w:val="0"/>
          <w:caps w:val="0"/>
          <w:color w:val="auto"/>
          <w:spacing w:val="4"/>
          <w:sz w:val="24"/>
          <w:szCs w:val="24"/>
          <w:highlight w:val="none"/>
          <w:shd w:val="clear" w:color="auto" w:fill="FFFFFF"/>
        </w:rPr>
        <w:t>运输至</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前述指定地点，</w:t>
      </w:r>
      <w:r>
        <w:rPr>
          <w:rFonts w:hint="eastAsia" w:ascii="仿宋_GB2312" w:hAnsi="仿宋_GB2312" w:eastAsia="仿宋_GB2312" w:cs="仿宋_GB2312"/>
          <w:i w:val="0"/>
          <w:iCs w:val="0"/>
          <w:caps w:val="0"/>
          <w:color w:val="auto"/>
          <w:spacing w:val="4"/>
          <w:sz w:val="24"/>
          <w:szCs w:val="24"/>
          <w:highlight w:val="none"/>
          <w:shd w:val="clear" w:color="auto" w:fill="FFFFFF"/>
        </w:rPr>
        <w:t>运输费用</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和运输风险均</w:t>
      </w:r>
      <w:r>
        <w:rPr>
          <w:rFonts w:hint="eastAsia" w:ascii="仿宋_GB2312" w:hAnsi="仿宋_GB2312" w:eastAsia="仿宋_GB2312" w:cs="仿宋_GB2312"/>
          <w:i w:val="0"/>
          <w:iCs w:val="0"/>
          <w:caps w:val="0"/>
          <w:color w:val="auto"/>
          <w:spacing w:val="4"/>
          <w:sz w:val="24"/>
          <w:szCs w:val="24"/>
          <w:highlight w:val="none"/>
          <w:shd w:val="clear" w:color="auto" w:fill="FFFFFF"/>
        </w:rPr>
        <w:t>由乙方承担。</w:t>
      </w:r>
    </w:p>
    <w:p w14:paraId="3F5567D7">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（三）交货时间： 接到甲方通知</w:t>
      </w:r>
      <w:r>
        <w:rPr>
          <w:rFonts w:hint="eastAsia" w:ascii="仿宋_GB2312" w:hAnsi="仿宋_GB2312" w:eastAsia="仿宋_GB2312" w:cs="仿宋_GB2312"/>
          <w:i w:val="0"/>
          <w:iCs w:val="0"/>
          <w:caps w:val="0"/>
          <w:color w:val="auto"/>
          <w:spacing w:val="4"/>
          <w:sz w:val="24"/>
          <w:szCs w:val="24"/>
          <w:highlight w:val="none"/>
          <w:u w:val="single"/>
          <w:shd w:val="clear" w:color="auto" w:fill="FFFFFF"/>
          <w:lang w:val="en-US" w:eastAsia="zh-CN"/>
        </w:rPr>
        <w:t>（电话、微信、信息等）后48小时内到货。</w:t>
      </w:r>
    </w:p>
    <w:p w14:paraId="0C9ACDCE">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（四）甲方如要求变更到货地点的，应在合同约定的交货期限前</w:t>
      </w:r>
      <w:r>
        <w:rPr>
          <w:rFonts w:hint="eastAsia" w:ascii="仿宋_GB2312" w:hAnsi="仿宋_GB2312" w:eastAsia="仿宋_GB2312" w:cs="仿宋_GB2312"/>
          <w:i w:val="0"/>
          <w:iCs w:val="0"/>
          <w:caps w:val="0"/>
          <w:color w:val="auto"/>
          <w:spacing w:val="4"/>
          <w:sz w:val="24"/>
          <w:szCs w:val="24"/>
          <w:highlight w:val="none"/>
          <w:u w:val="single"/>
          <w:shd w:val="clear" w:color="auto" w:fill="FFFFFF"/>
          <w:lang w:val="en-US" w:eastAsia="zh-CN"/>
        </w:rPr>
        <w:t xml:space="preserve"> 2 </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日内通知乙方。乙方交货前应至少提前</w:t>
      </w:r>
      <w:r>
        <w:rPr>
          <w:rFonts w:hint="eastAsia" w:ascii="仿宋_GB2312" w:hAnsi="仿宋_GB2312" w:eastAsia="仿宋_GB2312" w:cs="仿宋_GB2312"/>
          <w:i w:val="0"/>
          <w:iCs w:val="0"/>
          <w:caps w:val="0"/>
          <w:color w:val="auto"/>
          <w:spacing w:val="4"/>
          <w:sz w:val="24"/>
          <w:szCs w:val="24"/>
          <w:highlight w:val="none"/>
          <w:u w:val="single"/>
          <w:shd w:val="clear" w:color="auto" w:fill="FFFFFF"/>
          <w:lang w:val="en-US" w:eastAsia="zh-CN"/>
        </w:rPr>
        <w:t xml:space="preserve"> 2 </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日通知甲方，如乙方如未经甲方同意提前交货，甲方有权拒绝受领及延迟付款。</w:t>
      </w:r>
    </w:p>
    <w:p w14:paraId="6761C9B9">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（五）乙方应在交货时一并提供：相关出厂检验、试验报告、合格证、第三方检定报告等质量文件（如有）；使用说明、安装手册、仓储手册等使用（安装）和保管方面的书面资料（如有）。</w:t>
      </w:r>
    </w:p>
    <w:p w14:paraId="7261B960">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四、货物签收、验货</w:t>
      </w:r>
    </w:p>
    <w:p w14:paraId="1B62B12E">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（一）沥青交货重量以甲方地磅的过磅数量为准。若甲方工地的地磅计量结果与乙方的出库地磅计量结果误差大于</w:t>
      </w:r>
      <w:r>
        <w:rPr>
          <w:rFonts w:hint="eastAsia" w:ascii="仿宋_GB2312" w:hAnsi="仿宋_GB2312" w:eastAsia="仿宋_GB2312" w:cs="仿宋_GB2312"/>
          <w:i w:val="0"/>
          <w:iCs w:val="0"/>
          <w:caps w:val="0"/>
          <w:color w:val="auto"/>
          <w:spacing w:val="4"/>
          <w:sz w:val="24"/>
          <w:szCs w:val="24"/>
          <w:highlight w:val="none"/>
          <w:u w:val="single"/>
          <w:shd w:val="clear" w:color="auto" w:fill="FFFFFF"/>
          <w:lang w:val="en-US" w:eastAsia="zh-CN"/>
        </w:rPr>
        <w:t>±3‰</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,由交货地附近并经双方协商确认的第三方地磅复称的数量为准，因此产生的费用由误差较大一方承担。</w:t>
      </w:r>
    </w:p>
    <w:p w14:paraId="65C5CD83">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（二）货物验收凭证以甲方单位的验收人员签收的货单为有效结算依据。</w:t>
      </w:r>
    </w:p>
    <w:p w14:paraId="00325E05">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三）甲方在验收中，如果发现产品的品种、型号和质量不符合合同约定，应作退货处理，并有权要求乙方更换合格产品。如乙方拒绝更换，则甲方有权向其他第三方采购，所需费用由乙方全额承担，乙方未主动承担支付的，甲方有权全额向乙方追偿，因追偿产生的相关费用，如诉讼费、律师费等由乙方承担。甲方不 承担货物保管清理运输等责任。</w:t>
      </w:r>
    </w:p>
    <w:p w14:paraId="0B312D8C">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五、所有权及风险转移</w:t>
      </w:r>
    </w:p>
    <w:p w14:paraId="6F75D783">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货物所有权自交付时（指：甲方指定货物质量验收人签名确认）转移给甲方，货物毁损灭失等风险于甲方出具验收凭证后转移给甲方。</w:t>
      </w:r>
    </w:p>
    <w:p w14:paraId="607E257B">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六、货款结算及付款方式</w:t>
      </w:r>
    </w:p>
    <w:p w14:paraId="74A5E5AC">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（一）实际支付按验收合格的实际采购数量进行结算。</w:t>
      </w:r>
    </w:p>
    <w:p w14:paraId="3CFD4B0A">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货物供货完毕，乙方凭甲方或甲方授权人员签认的收货凭证，甲方按乙方实际提供的合格货物数量，以本合同约定的含税单价与乙方办理最终货款结算，经结算确认的价款是甲方支付乙方最终合同价款的唯一依据。</w:t>
      </w:r>
    </w:p>
    <w:p w14:paraId="62234685">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default"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（三）</w:t>
      </w:r>
      <w:r>
        <w:rPr>
          <w:rFonts w:hint="eastAsia" w:ascii="仿宋_GB2312" w:hAnsi="仿宋_GB2312" w:eastAsia="仿宋_GB2312" w:cs="仿宋_GB2312"/>
          <w:i w:val="0"/>
          <w:iCs w:val="0"/>
          <w:caps w:val="0"/>
          <w:color w:val="auto"/>
          <w:spacing w:val="4"/>
          <w:kern w:val="0"/>
          <w:sz w:val="24"/>
          <w:szCs w:val="24"/>
          <w:highlight w:val="none"/>
          <w:shd w:val="clear" w:color="auto" w:fill="FFFFFF"/>
          <w:lang w:val="en-US" w:eastAsia="zh-CN" w:bidi="ar-SA"/>
        </w:rPr>
        <w:t>本项目按月对账结算，结算周期为每月1日至当月最后一日，以沥青货物运抵甲方指定地点，并经甲方验收合格日期归入对应结算月份，出厂、运输时间不作为判定依据。结算基准单价取该结算当月1日至当月月末供货信息平均价。乙方应于每月5日前提交上月经甲方验收合格的供货计量资料与甲方对账，双方签署对账确认单后办理结算。</w:t>
      </w:r>
    </w:p>
    <w:p w14:paraId="2308023A">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（四）支付方式：分期支付</w:t>
      </w:r>
    </w:p>
    <w:p w14:paraId="7A7CEB33">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t>中选人凭双方签认的验收资料办理结算。当累计供货满足以下条件之一时，方可申请付款：</w:t>
      </w:r>
    </w:p>
    <w:p w14:paraId="2A6A7DE4">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t>1.SBS改性沥青累计供货≥100吨；</w:t>
      </w:r>
    </w:p>
    <w:p w14:paraId="3AA2D09E">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t>2.重交沥青累计供货≥50吨。</w:t>
      </w:r>
    </w:p>
    <w:p w14:paraId="03CA489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t>中选人按询价人确认的结算金额开具13%增值税专用发票，询价人签收合规发票之日起90日内，支付该期结算金额的97%。</w:t>
      </w:r>
    </w:p>
    <w:p w14:paraId="284DFD8C">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剩余货款在</w:t>
      </w:r>
      <w:r>
        <w:rPr>
          <w:rFonts w:hint="default" w:ascii="仿宋_GB2312" w:hAnsi="仿宋_GB2312" w:eastAsia="仿宋_GB2312" w:cs="仿宋_GB2312"/>
          <w:i w:val="0"/>
          <w:iCs w:val="0"/>
          <w:caps w:val="0"/>
          <w:color w:val="auto"/>
          <w:spacing w:val="4"/>
          <w:sz w:val="24"/>
          <w:szCs w:val="24"/>
          <w:highlight w:val="none"/>
          <w:shd w:val="clear" w:color="auto" w:fill="FFFFFF"/>
          <w:lang w:val="en-US" w:eastAsia="zh-CN"/>
        </w:rPr>
        <w:t>合同期届满后30日内，在货物无质量争议、质量问题已处理完毕的前提下，询价人扣除应付未付及应扣款项（如有）后</w:t>
      </w: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不计息全部付清给中选人。</w:t>
      </w:r>
    </w:p>
    <w:p w14:paraId="3A03605C">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（五）乙方银行账户信息如下：</w:t>
      </w:r>
    </w:p>
    <w:p w14:paraId="1B35B8EB">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名  称：</w:t>
      </w:r>
    </w:p>
    <w:p w14:paraId="1A5E4704">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开户行：</w:t>
      </w:r>
    </w:p>
    <w:p w14:paraId="37C0BA03">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账  号：</w:t>
      </w:r>
    </w:p>
    <w:p w14:paraId="3C4862C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（六）甲方增值税专用发票开票信息如下：</w:t>
      </w:r>
    </w:p>
    <w:p w14:paraId="12744F1F">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单位名称：赣州市交通投资集团有限责任公司</w:t>
      </w:r>
    </w:p>
    <w:p w14:paraId="1320767B">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统一社会信用代码：91360700767042062M</w:t>
      </w:r>
    </w:p>
    <w:p w14:paraId="4F3C1E5B">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开户银行：中国银行赣州市分行营业部</w:t>
      </w:r>
    </w:p>
    <w:p w14:paraId="4426E007">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银行账号：1947 0302 0088</w:t>
      </w:r>
    </w:p>
    <w:p w14:paraId="0623E1C3">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单位地址：赣州市章贡区章江南大道18号豪德银座1幢A1801-A1803、A1805-A1809</w:t>
      </w:r>
    </w:p>
    <w:p w14:paraId="23DEDD8F">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电  话：0797-8198198</w:t>
      </w:r>
    </w:p>
    <w:p w14:paraId="7414B703">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任何一方如需改变上述账户信息，应提前10日以书面形式通知另一方。如一方未按本合同规定通知而遭受损失的应自行承担，若使另外一方遭受损失的，应赔偿相应损失。</w:t>
      </w:r>
    </w:p>
    <w:p w14:paraId="62B5F22E">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（七）关于发票的相关约定</w:t>
      </w:r>
    </w:p>
    <w:p w14:paraId="09885E5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1.乙方应按规定向甲方开具符合国家规定的增值税发票，并承诺开具发票的形式与内容均合法、有效、完整、准确。开具的发票不合法、不合规，甲方有权延迟支付乙方应付款项直至开具合法、合规发票之日且不承担违约责任，且乙方仍应按合同约定履行各项义务。如乙方无法在合理时间内提供合法合规的增值税专用发票，给甲方造成损失的，乙方应赔偿甲方由此造成的损失。甲方有权在应支付的价款中扣除相应的抵扣税款。</w:t>
      </w:r>
    </w:p>
    <w:p w14:paraId="363618B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2.发票开具后，乙方应及时送达甲方。如逾期送达导致延迟支付或给甲方造成损失的，甲方不承担违约责任，且有权要求乙方赔偿甲方的损失。</w:t>
      </w:r>
    </w:p>
    <w:p w14:paraId="156EC3EB">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3.在发票交付甲方之后，发生发票丢失、破损或逾期等情形，乙方应按规定协助办理增值税专用发票抵扣事项。 </w:t>
      </w:r>
    </w:p>
    <w:p w14:paraId="1CD97EDB">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4.由于发生销售退回、应税服务中止或开票有误、抵扣联、发票联均无法认证等情形，根据增值税相关规定执行，乙方需协助甲方重新开具合法合规的增值税发票、增值税红字专用发票。</w:t>
      </w:r>
    </w:p>
    <w:p w14:paraId="6C30E75D">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七、甲方的权利义务</w:t>
      </w:r>
    </w:p>
    <w:p w14:paraId="7256A5A5">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（一）甲方应按合同约定按时支付货款；</w:t>
      </w:r>
    </w:p>
    <w:p w14:paraId="0797E0AF">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（二）甲方应按合同约定验收货物；</w:t>
      </w:r>
    </w:p>
    <w:p w14:paraId="0D20E33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（三）甲方验收时发现货物不符合约定，应在质保期满期限内通知乙方。</w:t>
      </w:r>
    </w:p>
    <w:p w14:paraId="1320D32A">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八、乙方的权利义务</w:t>
      </w:r>
    </w:p>
    <w:p w14:paraId="2DA250CA">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乙方保证交付的货物不存在任何权利瑕疵，不存在任何知识产权争议，任何第三方不能向甲方主张任何权利。如出现上述情况，导致甲方利益受损的，乙方应全部赔偿。乙方如为经销商应保证具有生产厂家合法授权，货物来源合法。</w:t>
      </w:r>
    </w:p>
    <w:p w14:paraId="332F0B6C">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（二）由于货物工艺或材料及安装问题而导致货物质量和安装质量方面的任何缺陷，乙方应对此负全部责任，包括安全责任，且不受质保期限的限制。</w:t>
      </w:r>
    </w:p>
    <w:p w14:paraId="139B926B">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（三）乙方应对由于安装、调试、设计、工艺或材料缺陷而发生的任何不足，导致人身或财产损害的后果承担赔偿责任。</w:t>
      </w:r>
    </w:p>
    <w:p w14:paraId="65183EF3">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四）在本次货物交易过程中，乙方人员及乙方安排现场管理、作业等工作的全部人员与甲方无任何劳动、劳务、雇佣等关系，前述人员发生的任何人身伤害均与甲方无关，由乙方自行承担。前述人员在工作过程中造成相关人员损害或财物损毁的，全部赔偿责任由乙方及相关人员自行承担，与甲方无关，若因乙方原因导致甲方对外承担责任的，甲方可向乙方全额追偿。</w:t>
      </w:r>
    </w:p>
    <w:p w14:paraId="4C1443E7">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（五）如货物涉及技术指导培训的，乙方应完成甲方工作人员的技术培训，并提供相关技术资料。</w:t>
      </w:r>
    </w:p>
    <w:p w14:paraId="4BF378DA">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（六）如货物涉及后续技术软件升级的，则因技术改进需进行软件升级时乙方承诺免费提供升级服务。</w:t>
      </w:r>
    </w:p>
    <w:p w14:paraId="41DB6430">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（七）本合同项下乙方的全部或者部分权利义务，未经双方达成一致并签订书面补充协议不得转让，否则甲方有权单方解除合同，乙方承担由此给甲方造成的一切损失。</w:t>
      </w:r>
    </w:p>
    <w:p w14:paraId="45200A62">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九、违约责任</w:t>
      </w:r>
    </w:p>
    <w:p w14:paraId="58C770A8">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甲方无正当理由未按本合同约定支付货款的，乙方应向甲方发出催款通知书，自催款通知书约定的合理支付期限届满后甲方仍未支付的，甲方应自催款通知书中约定的支付期限届满之日起，按全国银行间同业拆借中心公布的一年期贷款市场报价利率（LPR）向乙方支付所拖欠款项的利息损失至款清之日止。</w:t>
      </w:r>
    </w:p>
    <w:p w14:paraId="081A8885">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乙方逾期按甲方提货通知供货的，每迟延一天，自逾期之日起按10000元/天向询价人支付违约金，当延期供货达到5天时，询价人有权单方解除合同，并追究由此造成的损失及责任，若上述违约金不足以弥补甲方的实际损失，乙方还需继续赔偿差额部分。</w:t>
      </w:r>
    </w:p>
    <w:p w14:paraId="14118230">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（三）因乙方交付的货物存在质量问题或隐蔽瑕疵、权属瑕疵或知识产权争议的，乙方应一次性向甲方支付该批货物含税价款的10%作为违约金，并承担相应责任。</w:t>
      </w:r>
    </w:p>
    <w:p w14:paraId="50A984F7">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四）因货物在质保期内出现问题影响到甲方正常使用，乙方应在接到通知后7日内对货物进行修复或更换，未在约定时间内进行修复或更换的，甲方有权自行或委托第三方进行处理，所产生的一切费用均由乙方承担。</w:t>
      </w:r>
    </w:p>
    <w:p w14:paraId="68BF8046">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（五）乙方在货物的交货、搬运、装卸、安装、调试、维修、保修、保养等服务过程中，造成甲方或第三方财产损失、人身损害的，由乙方承担全部责任。</w:t>
      </w:r>
    </w:p>
    <w:p w14:paraId="3291BE14">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六）乙方应向甲方承担的损失及相关费用，乙方怠于主动支付的，甲方有权在质保金中直接扣除，质保金不足以抵偿费用的，甲方有权全额向乙方追偿全部直接损失和间接损失（间接损失以直接经济损失数额为基数，自损失发生之日起按万分之四的标准计算至款清之日止）并同时要求乙方承担因追偿产生的诉讼费、保全费、诉讼保全保险费、律师代理费等费用。</w:t>
      </w:r>
    </w:p>
    <w:p w14:paraId="7DD843E7">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（七）本合同任何一方应承担的违约责任不因合同的解除而予以免除。</w:t>
      </w:r>
    </w:p>
    <w:p w14:paraId="34F9A9F7">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十、合同的变更、解除和终止</w:t>
      </w:r>
    </w:p>
    <w:p w14:paraId="149F70A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（一）经双方协商一致，可以变更或解除本合同，并以书面形式确定。</w:t>
      </w:r>
    </w:p>
    <w:p w14:paraId="12266722">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（二）甲方有以下情形之一的，乙方可以解除合同：</w:t>
      </w:r>
    </w:p>
    <w:p w14:paraId="55821EC2">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1.甲方无正当理由，在乙方发出催款通知书后仍逾期30日未支付合同价款的。</w:t>
      </w:r>
    </w:p>
    <w:p w14:paraId="6D9529C8">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（三）乙方有以下情形之一的，甲方可以解除合同。甲方的解除合同通知书到达乙方时，合同解除。</w:t>
      </w:r>
    </w:p>
    <w:p w14:paraId="0DED50F2">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1.乙方无正当理由逾期5日未交付货物的。</w:t>
      </w:r>
    </w:p>
    <w:p w14:paraId="1D403772">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2.乙方交付的货物经修理或更换后仍不能正常使用的。</w:t>
      </w:r>
    </w:p>
    <w:p w14:paraId="461F55D7">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3.货物在工艺、设计、材料等方面存在缺陷和不足,经甲方通知后未在甲方要求的合同时间内及时更换的。</w:t>
      </w:r>
    </w:p>
    <w:p w14:paraId="11C0C159">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十一、保密条款</w:t>
      </w:r>
    </w:p>
    <w:p w14:paraId="3A2BA020">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甲乙双方同意，任何一方为履行本合同而提供给对方的任何商业信息或技术信息，以及一方在履约过程所知悉的对方的商业秘密、缔约条件、谈判内容等，包括本合同的内容，除非提供方书面明确说明为公知信息的以外，均可能构成其“保密信息”。信息获取一方保证应采取合理的保密措施保护该等保密信息免受公开，不向任何第三方公开该等保密信息，并且除为履行本合同目的外非经对方事先书面同意不得使用任何保密信息。前述保密措施应合理并不得低于知悉一方对自己的保密信息所采取的保护效果。因一方泄露或者不正当使用该等保密信息而给对方造成损失的，应当赔偿对方的所有损失。</w:t>
      </w:r>
    </w:p>
    <w:p w14:paraId="3559BDD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上述保密规定不应当适用于以下信息：收到信息的一方有书面记录可以证明其在披露方向其披露该等信息之前已经知晓该信息；收到信息的一方没有违反本合同的保密义务即从其他渠道获得的公开信息；或者收到信息的一方从对该等信息不负有保密义务的第三方获得的信息。</w:t>
      </w:r>
    </w:p>
    <w:p w14:paraId="6EEC6617">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十二、不可抗力</w:t>
      </w:r>
    </w:p>
    <w:p w14:paraId="5C211F24">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在合同履行结束之前任何时候，如发生任何合同签订时双方不可预见、不可避免并且不能克服的客观情况，包括地震、水灾、重大传染性疾病以及战争等不可抗力情形，双方协商一致后可决定暂缓履行或终止履行本合同。如上述不可抗力事件的发生影响一方履行其在本合同项下的义务，则在不可抗力造成的延误期内中止履行不视为违约。</w:t>
      </w:r>
    </w:p>
    <w:p w14:paraId="2C8BA0F3">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十三、通知</w:t>
      </w:r>
    </w:p>
    <w:p w14:paraId="31425866">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甲、乙双方因履行本合同或与本合同有关的一切通知，除本合同另有约定外，都应以书面形式送达对方。双方确认本合同载明的地址或住所地、联系电话等为相关通知、法律文书、诉讼文件等的送达地址。双方上述送达地址适用范围包括本合同履行期间各类通知、合同等文件以及就合同发生纠纷时相关文件和法律文书、诉讼仲裁文件的送达，同时包括在争议进入诉讼程序的一审、二审、再审和执行程序的法律文件送达。</w:t>
      </w:r>
    </w:p>
    <w:p w14:paraId="16D21A28">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十四、争议解决</w:t>
      </w:r>
    </w:p>
    <w:p w14:paraId="39E126EE">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所有因本合同引起的或与本合同有关的任何争议将通过双方友好协商解决。如果双方不能协商达成一致的，双方向甲方所在地有管辖权的法院提起诉讼。</w:t>
      </w:r>
    </w:p>
    <w:p w14:paraId="07E0B6EE">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十五、合同生效条件及文本数量</w:t>
      </w:r>
    </w:p>
    <w:p w14:paraId="1DCF6417">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本合同一式肆份，甲方执贰份，乙方执贰份，具有同等法律效力。本合同自双方法定代表人/负责人或委托代理人签名并经双方加盖印章起生效。</w:t>
      </w:r>
    </w:p>
    <w:p w14:paraId="2FBB61E6">
      <w:pPr>
        <w:keepNext w:val="0"/>
        <w:keepLines w:val="0"/>
        <w:pageBreakBefore w:val="0"/>
        <w:widowControl w:val="0"/>
        <w:kinsoku/>
        <w:wordWrap/>
        <w:overflowPunct/>
        <w:topLinePunct w:val="0"/>
        <w:autoSpaceDE/>
        <w:autoSpaceDN/>
        <w:bidi w:val="0"/>
        <w:adjustRightInd/>
        <w:snapToGrid/>
        <w:spacing w:line="500" w:lineRule="exact"/>
        <w:ind w:firstLine="498" w:firstLineChars="200"/>
        <w:textAlignment w:val="auto"/>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b/>
          <w:bCs/>
          <w:i w:val="0"/>
          <w:iCs w:val="0"/>
          <w:caps w:val="0"/>
          <w:color w:val="auto"/>
          <w:spacing w:val="4"/>
          <w:sz w:val="24"/>
          <w:szCs w:val="24"/>
          <w:highlight w:val="none"/>
          <w:shd w:val="clear" w:color="auto" w:fill="FFFFFF"/>
          <w:lang w:val="en-US" w:eastAsia="zh-CN"/>
        </w:rPr>
        <w:t> 十六、其他约定</w:t>
      </w:r>
    </w:p>
    <w:p w14:paraId="3A3BC587">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一）对本合同做出的任何修改和补充应为书面形式，由甲、乙双方法定代表人/负责人或委托代理人签章并经双方加盖印章后成为本合同不可分割的部分。补充协议与本合同均具有法律效力。本合同与其补充协议约定不一致的，以补充协议为准。</w:t>
      </w:r>
    </w:p>
    <w:p w14:paraId="363E969B">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（二）本合同任何条款被禁止或被认定无效或被撤销，该禁止、无效或撤销不得影响合同任何其他条款的有效性和继续实施。</w:t>
      </w:r>
    </w:p>
    <w:p w14:paraId="2C75A66A">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（三）本合同所列附件（如有）作为合同的组成部分，与本合同具有同等法律效力，附件内容与本合同正文约定不一致的，以本合同正文为准。</w:t>
      </w:r>
    </w:p>
    <w:p w14:paraId="3805F606">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（四）除本合同其他条款有特别约定外，甲、乙双方应根据法律规定各自承担为履行本合同所发生的相关税费。</w:t>
      </w:r>
    </w:p>
    <w:p w14:paraId="0578554C">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（五）双方应遵守有关防止贿赂的法律法规，不得与其他方人员发生不正当的利益关系。</w:t>
      </w:r>
    </w:p>
    <w:p w14:paraId="03717F15">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（以下无正文内容，含附件《廉政合同》，为签署页）</w:t>
      </w:r>
    </w:p>
    <w:p w14:paraId="73A4D4BD">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p>
    <w:p w14:paraId="5EF75E65">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甲方（盖章）：赣州市交通投资集团     乙方（盖章）：</w:t>
      </w:r>
    </w:p>
    <w:p w14:paraId="6FA31D6A">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 xml:space="preserve">有限责任公司                          </w:t>
      </w:r>
    </w:p>
    <w:p w14:paraId="3445F319">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法定代表人/负责人                    法定代表人/负责人</w:t>
      </w:r>
    </w:p>
    <w:p w14:paraId="6FAF80AC">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或委托代理人(签章) ：                或委托代理人(签章) ：</w:t>
      </w:r>
    </w:p>
    <w:p w14:paraId="286C98D1">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 xml:space="preserve">联系电话:                            联系电话: </w:t>
      </w:r>
    </w:p>
    <w:p w14:paraId="6970C761">
      <w:pPr>
        <w:keepNext w:val="0"/>
        <w:keepLines w:val="0"/>
        <w:pageBreakBefore w:val="0"/>
        <w:widowControl w:val="0"/>
        <w:kinsoku/>
        <w:wordWrap/>
        <w:overflowPunct/>
        <w:topLinePunct w:val="0"/>
        <w:autoSpaceDE/>
        <w:autoSpaceDN/>
        <w:bidi w:val="0"/>
        <w:adjustRightInd/>
        <w:snapToGrid/>
        <w:spacing w:line="500" w:lineRule="exact"/>
        <w:ind w:firstLine="496" w:firstLineChars="200"/>
        <w:textAlignment w:val="auto"/>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t>年  月  日                            年  月  日</w:t>
      </w:r>
    </w:p>
    <w:p w14:paraId="67284517">
      <w:pPr>
        <w:pStyle w:val="2"/>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p>
    <w:p w14:paraId="744BCC38">
      <w:pPr>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p>
    <w:p w14:paraId="3820D3FA">
      <w:pPr>
        <w:pStyle w:val="2"/>
        <w:rPr>
          <w:rFonts w:hint="eastAsia" w:ascii="仿宋_GB2312" w:hAnsi="仿宋_GB2312" w:eastAsia="仿宋_GB2312" w:cs="仿宋_GB2312"/>
          <w:i w:val="0"/>
          <w:iCs w:val="0"/>
          <w:caps w:val="0"/>
          <w:color w:val="auto"/>
          <w:spacing w:val="4"/>
          <w:sz w:val="24"/>
          <w:szCs w:val="24"/>
          <w:highlight w:val="none"/>
          <w:shd w:val="clear" w:color="auto" w:fill="FFFFFF"/>
          <w:lang w:val="en-US" w:eastAsia="zh-CN"/>
        </w:rPr>
      </w:pPr>
    </w:p>
    <w:p w14:paraId="173821F2">
      <w:pPr>
        <w:rPr>
          <w:rFonts w:hint="eastAsia"/>
          <w:highlight w:val="none"/>
          <w:lang w:val="en-US" w:eastAsia="zh-CN"/>
        </w:rPr>
      </w:pPr>
    </w:p>
    <w:p w14:paraId="765804B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黑体" w:hAnsi="黑体" w:eastAsia="黑体" w:cs="黑体"/>
          <w:b/>
          <w:bCs w:val="0"/>
          <w:color w:val="auto"/>
          <w:sz w:val="32"/>
          <w:szCs w:val="32"/>
          <w:highlight w:val="none"/>
          <w:lang w:val="en-US" w:eastAsia="zh-CN"/>
        </w:rPr>
      </w:pPr>
      <w:bookmarkStart w:id="149" w:name="_Toc18197"/>
      <w:r>
        <w:rPr>
          <w:rFonts w:hint="eastAsia" w:ascii="黑体" w:hAnsi="黑体" w:eastAsia="黑体" w:cs="黑体"/>
          <w:b/>
          <w:bCs w:val="0"/>
          <w:color w:val="auto"/>
          <w:sz w:val="32"/>
          <w:szCs w:val="32"/>
          <w:highlight w:val="none"/>
          <w:lang w:val="en-US" w:eastAsia="zh-CN"/>
        </w:rPr>
        <w:t>廉政合同</w:t>
      </w:r>
      <w:bookmarkEnd w:id="149"/>
    </w:p>
    <w:p w14:paraId="4788CE50">
      <w:pPr>
        <w:adjustRightInd w:val="0"/>
        <w:snapToGrid w:val="0"/>
        <w:spacing w:line="460" w:lineRule="exact"/>
        <w:ind w:firstLine="420" w:firstLineChars="200"/>
        <w:rPr>
          <w:rFonts w:hint="eastAsia" w:hAnsi="宋体" w:cs="宋体"/>
          <w:color w:val="auto"/>
          <w:szCs w:val="20"/>
          <w:highlight w:val="none"/>
          <w:lang w:bidi="ar"/>
        </w:rPr>
      </w:pPr>
    </w:p>
    <w:p w14:paraId="7061D67D">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据《关于在交通基础设施建设中加强廉政建设的若干意见》以及有关廉政建设的规定，为做好党风廉政建设，保证高效优质，保证资金的安全和有效使用以及投资效益，</w:t>
      </w:r>
      <w:r>
        <w:rPr>
          <w:rFonts w:hint="eastAsia" w:hAnsi="宋体" w:cs="宋体"/>
          <w:color w:val="auto"/>
          <w:szCs w:val="20"/>
          <w:highlight w:val="none"/>
          <w:u w:val="single"/>
          <w:lang w:bidi="ar"/>
        </w:rPr>
        <w:t xml:space="preserve"> 赣州市交通投资集团有限责任公司 </w:t>
      </w:r>
      <w:r>
        <w:rPr>
          <w:rFonts w:hint="eastAsia" w:hAnsi="宋体" w:cs="宋体"/>
          <w:color w:val="auto"/>
          <w:szCs w:val="20"/>
          <w:highlight w:val="none"/>
          <w:lang w:bidi="ar"/>
        </w:rPr>
        <w:t>（以下简称“甲方”）与</w:t>
      </w:r>
      <w:r>
        <w:rPr>
          <w:rFonts w:hint="eastAsia" w:hAnsi="宋体" w:cs="宋体"/>
          <w:color w:val="auto"/>
          <w:szCs w:val="20"/>
          <w:highlight w:val="none"/>
          <w:u w:val="single"/>
          <w:lang w:bidi="ar"/>
        </w:rPr>
        <w:t xml:space="preserve"> </w:t>
      </w:r>
      <w:r>
        <w:rPr>
          <w:rFonts w:hint="eastAsia" w:hAnsi="宋体" w:cs="宋体"/>
          <w:color w:val="auto"/>
          <w:szCs w:val="20"/>
          <w:highlight w:val="none"/>
          <w:u w:val="single"/>
          <w:lang w:val="en-US" w:eastAsia="zh-CN" w:bidi="ar"/>
        </w:rPr>
        <w:t xml:space="preserve">         </w:t>
      </w:r>
      <w:r>
        <w:rPr>
          <w:rFonts w:hint="eastAsia" w:hAnsi="宋体" w:cs="宋体"/>
          <w:color w:val="auto"/>
          <w:szCs w:val="20"/>
          <w:highlight w:val="none"/>
          <w:u w:val="single"/>
          <w:lang w:bidi="ar"/>
        </w:rPr>
        <w:t xml:space="preserve"> </w:t>
      </w:r>
      <w:r>
        <w:rPr>
          <w:rFonts w:hint="eastAsia" w:hAnsi="宋体" w:cs="宋体"/>
          <w:color w:val="auto"/>
          <w:szCs w:val="20"/>
          <w:highlight w:val="none"/>
          <w:lang w:bidi="ar"/>
        </w:rPr>
        <w:t>（以下称“乙方”），特订立如下合同。</w:t>
      </w:r>
    </w:p>
    <w:p w14:paraId="070D5D70">
      <w:pPr>
        <w:adjustRightInd w:val="0"/>
        <w:snapToGrid w:val="0"/>
        <w:spacing w:line="460" w:lineRule="exact"/>
        <w:ind w:firstLine="420" w:firstLineChars="200"/>
        <w:rPr>
          <w:rFonts w:hint="eastAsia" w:hAnsi="宋体"/>
          <w:color w:val="auto"/>
          <w:szCs w:val="20"/>
          <w:highlight w:val="none"/>
        </w:rPr>
      </w:pPr>
      <w:r>
        <w:rPr>
          <w:rFonts w:hAnsi="宋体"/>
          <w:color w:val="auto"/>
          <w:szCs w:val="20"/>
          <w:highlight w:val="none"/>
          <w:lang w:bidi="ar"/>
        </w:rPr>
        <w:t>1</w:t>
      </w:r>
      <w:r>
        <w:rPr>
          <w:rFonts w:hint="eastAsia" w:hAnsi="宋体" w:cs="宋体"/>
          <w:color w:val="auto"/>
          <w:szCs w:val="20"/>
          <w:highlight w:val="none"/>
          <w:lang w:bidi="ar"/>
        </w:rPr>
        <w:t>．甲乙双方的权利和义务</w:t>
      </w:r>
    </w:p>
    <w:p w14:paraId="4456508F">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1</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严格遵守党的政策规定和国家有关法律法规及交通运输部的有关规定。</w:t>
      </w:r>
    </w:p>
    <w:p w14:paraId="339EDD86">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2</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严格执行合同文件，自觉按合同办事。</w:t>
      </w:r>
    </w:p>
    <w:p w14:paraId="21938952">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3</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双方的业务活动坚持公开、公正、诚信、透明的原则（法律认定的商业秘密和合同文件另有规定除外），不得损害国家和集体利益，不得违反工程建设管理规章制度。</w:t>
      </w:r>
    </w:p>
    <w:p w14:paraId="05875353">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4</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建立健全廉政制度，开展廉政教育，设立廉政告示牌，公布举报电话，监督并认真查处违法违纪行为。</w:t>
      </w:r>
    </w:p>
    <w:p w14:paraId="77849994">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5</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发现对方在业务活动中有违反廉政规定的行为，有及时提醒对方纠正的权利和义务。</w:t>
      </w:r>
    </w:p>
    <w:p w14:paraId="6DBFB040">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6</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发现对方严重违反本合同义务条款的行为，有向其上级有关部门举报、建议给予处理并要求告知处理结果的权利。</w:t>
      </w:r>
    </w:p>
    <w:p w14:paraId="31C480C7">
      <w:pPr>
        <w:adjustRightInd w:val="0"/>
        <w:snapToGrid w:val="0"/>
        <w:spacing w:line="460" w:lineRule="exact"/>
        <w:ind w:firstLine="420" w:firstLineChars="200"/>
        <w:rPr>
          <w:rFonts w:hint="eastAsia" w:hAnsi="宋体"/>
          <w:color w:val="auto"/>
          <w:szCs w:val="20"/>
          <w:highlight w:val="none"/>
        </w:rPr>
      </w:pPr>
      <w:r>
        <w:rPr>
          <w:rFonts w:hAnsi="宋体"/>
          <w:color w:val="auto"/>
          <w:szCs w:val="20"/>
          <w:highlight w:val="none"/>
          <w:lang w:bidi="ar"/>
        </w:rPr>
        <w:t>2</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甲方的义务</w:t>
      </w:r>
    </w:p>
    <w:p w14:paraId="3A07487D">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1</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甲方及其工作人员不得索要或接受乙方的礼金、有价证券和贵重物品，不得让乙方报销任何应由甲方或乙方工作人员个人支付的费用等。</w:t>
      </w:r>
    </w:p>
    <w:p w14:paraId="7F42EA73">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2</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甲方工作人员不得参加乙方安排的超标准宴请和娱乐活动；不得接受乙方提供的通讯工具、交通工具和高档办公用品等。</w:t>
      </w:r>
    </w:p>
    <w:p w14:paraId="5CFDA319">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3</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甲方及其工作人员不得要求或者接受乙方为其住房装修、婚丧嫁娶活动、配偶子女的工作安排以及出国出境、旅游等提供方便等。</w:t>
      </w:r>
    </w:p>
    <w:p w14:paraId="03DA68BB">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4</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甲方工作人员及其配偶、子女不得从事与甲方工作有关的材料设备供应、工程分包、劳务等经济活动等。</w:t>
      </w:r>
    </w:p>
    <w:p w14:paraId="05BF6209">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5</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甲方及其工作人员不得以任何理由向乙方推荐分包单位或推销材料，不得要求乙方购买合同规定外的材料和设备。</w:t>
      </w:r>
    </w:p>
    <w:p w14:paraId="0C26EFCD">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6</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甲方工作人员要秉公办事，不准营私舞弊，不准利用职权从事各种个人有偿中介活动和安排个人施工队伍。</w:t>
      </w:r>
    </w:p>
    <w:p w14:paraId="761A97B8">
      <w:pPr>
        <w:adjustRightInd w:val="0"/>
        <w:snapToGrid w:val="0"/>
        <w:spacing w:line="460" w:lineRule="exact"/>
        <w:ind w:firstLine="420" w:firstLineChars="200"/>
        <w:rPr>
          <w:rFonts w:hint="eastAsia" w:hAnsi="宋体"/>
          <w:color w:val="auto"/>
          <w:szCs w:val="20"/>
          <w:highlight w:val="none"/>
        </w:rPr>
      </w:pPr>
      <w:r>
        <w:rPr>
          <w:rFonts w:hAnsi="宋体"/>
          <w:color w:val="auto"/>
          <w:szCs w:val="20"/>
          <w:highlight w:val="none"/>
          <w:lang w:bidi="ar"/>
        </w:rPr>
        <w:t>3</w:t>
      </w:r>
      <w:r>
        <w:rPr>
          <w:rFonts w:hint="eastAsia" w:hAnsi="宋体" w:cs="宋体"/>
          <w:color w:val="auto"/>
          <w:szCs w:val="20"/>
          <w:highlight w:val="none"/>
          <w:lang w:bidi="ar"/>
        </w:rPr>
        <w:t>．乙方的义务</w:t>
      </w:r>
    </w:p>
    <w:p w14:paraId="70C7AF50">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1</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乙方不得以任何理由向甲方及其工作人员行贿或馈赠礼金、有价证券、贵重礼品。</w:t>
      </w:r>
    </w:p>
    <w:p w14:paraId="685BD878">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2</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乙方不得以任何名义为甲方及其工作人员报销应由甲方单位或个人支付的任何费用。</w:t>
      </w:r>
    </w:p>
    <w:p w14:paraId="5797E201">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3</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乙方不得以任何理由安排甲方工作人员参加超标准宴请及娱乐活动。</w:t>
      </w:r>
    </w:p>
    <w:p w14:paraId="2FB51224">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4</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乙方不得为甲方单位和个人购置或提供通讯工具、交通工具和高档办公用品等。</w:t>
      </w:r>
    </w:p>
    <w:p w14:paraId="476AAA0F">
      <w:pPr>
        <w:adjustRightInd w:val="0"/>
        <w:snapToGrid w:val="0"/>
        <w:spacing w:line="460" w:lineRule="exact"/>
        <w:ind w:firstLine="420" w:firstLineChars="200"/>
        <w:rPr>
          <w:rFonts w:hint="eastAsia" w:hAnsi="宋体"/>
          <w:color w:val="auto"/>
          <w:szCs w:val="20"/>
          <w:highlight w:val="none"/>
        </w:rPr>
      </w:pPr>
      <w:r>
        <w:rPr>
          <w:rFonts w:hAnsi="宋体"/>
          <w:color w:val="auto"/>
          <w:szCs w:val="20"/>
          <w:highlight w:val="none"/>
          <w:lang w:bidi="ar"/>
        </w:rPr>
        <w:t>4</w:t>
      </w:r>
      <w:r>
        <w:rPr>
          <w:rFonts w:hint="eastAsia" w:hAnsi="宋体" w:cs="宋体"/>
          <w:color w:val="auto"/>
          <w:szCs w:val="20"/>
          <w:highlight w:val="none"/>
          <w:lang w:bidi="ar"/>
        </w:rPr>
        <w:t>．违约责任</w:t>
      </w:r>
    </w:p>
    <w:p w14:paraId="15D97B54">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1</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甲方及其工作人员违反本合同第</w:t>
      </w:r>
      <w:r>
        <w:rPr>
          <w:rFonts w:hAnsi="宋体"/>
          <w:color w:val="auto"/>
          <w:szCs w:val="20"/>
          <w:highlight w:val="none"/>
          <w:lang w:bidi="ar"/>
        </w:rPr>
        <w:t>1</w:t>
      </w:r>
      <w:r>
        <w:rPr>
          <w:rFonts w:hint="eastAsia" w:hAnsi="宋体" w:cs="宋体"/>
          <w:color w:val="auto"/>
          <w:szCs w:val="20"/>
          <w:highlight w:val="none"/>
          <w:lang w:bidi="ar"/>
        </w:rPr>
        <w:t>、</w:t>
      </w:r>
      <w:r>
        <w:rPr>
          <w:rFonts w:hAnsi="宋体"/>
          <w:color w:val="auto"/>
          <w:szCs w:val="20"/>
          <w:highlight w:val="none"/>
          <w:lang w:bidi="ar"/>
        </w:rPr>
        <w:t>2</w:t>
      </w:r>
      <w:r>
        <w:rPr>
          <w:rFonts w:hint="eastAsia" w:hAnsi="宋体" w:cs="宋体"/>
          <w:color w:val="auto"/>
          <w:szCs w:val="20"/>
          <w:highlight w:val="none"/>
          <w:lang w:bidi="ar"/>
        </w:rPr>
        <w:t>条，按管理权限，依据有关规定给予党纪、政纪或组织处理；涉嫌犯罪的，移交司法机关追究刑事责任；给乙方单位造成经济损失的，应予以赔偿。</w:t>
      </w:r>
    </w:p>
    <w:p w14:paraId="4700E0E3">
      <w:pPr>
        <w:adjustRightInd w:val="0"/>
        <w:snapToGrid w:val="0"/>
        <w:spacing w:line="460" w:lineRule="exact"/>
        <w:ind w:firstLine="420" w:firstLineChars="200"/>
        <w:rPr>
          <w:rFonts w:hint="eastAsia" w:hAnsi="宋体"/>
          <w:color w:val="auto"/>
          <w:szCs w:val="20"/>
          <w:highlight w:val="none"/>
        </w:rPr>
      </w:pPr>
      <w:r>
        <w:rPr>
          <w:rFonts w:hint="eastAsia" w:hAnsi="宋体" w:cs="宋体"/>
          <w:color w:val="auto"/>
          <w:szCs w:val="20"/>
          <w:highlight w:val="none"/>
          <w:lang w:bidi="ar"/>
        </w:rPr>
        <w:t>（</w:t>
      </w:r>
      <w:r>
        <w:rPr>
          <w:rFonts w:hAnsi="宋体"/>
          <w:color w:val="auto"/>
          <w:szCs w:val="20"/>
          <w:highlight w:val="none"/>
          <w:lang w:bidi="ar"/>
        </w:rPr>
        <w:t>2</w:t>
      </w:r>
      <w:r>
        <w:rPr>
          <w:rFonts w:hint="eastAsia" w:hAnsi="宋体" w:cs="宋体"/>
          <w:color w:val="auto"/>
          <w:szCs w:val="20"/>
          <w:highlight w:val="none"/>
          <w:lang w:bidi="ar"/>
        </w:rPr>
        <w:t>）</w:t>
      </w:r>
      <w:r>
        <w:rPr>
          <w:rFonts w:hAnsi="宋体"/>
          <w:color w:val="auto"/>
          <w:szCs w:val="20"/>
          <w:highlight w:val="none"/>
          <w:lang w:bidi="ar"/>
        </w:rPr>
        <w:t xml:space="preserve"> </w:t>
      </w:r>
      <w:r>
        <w:rPr>
          <w:rFonts w:hint="eastAsia" w:hAnsi="宋体" w:cs="宋体"/>
          <w:color w:val="auto"/>
          <w:szCs w:val="20"/>
          <w:highlight w:val="none"/>
          <w:lang w:bidi="ar"/>
        </w:rPr>
        <w:t>乙方及其工作人员违反本合同第</w:t>
      </w:r>
      <w:r>
        <w:rPr>
          <w:rFonts w:hAnsi="宋体"/>
          <w:color w:val="auto"/>
          <w:szCs w:val="20"/>
          <w:highlight w:val="none"/>
          <w:lang w:bidi="ar"/>
        </w:rPr>
        <w:t>1</w:t>
      </w:r>
      <w:r>
        <w:rPr>
          <w:rFonts w:hint="eastAsia" w:hAnsi="宋体" w:cs="宋体"/>
          <w:color w:val="auto"/>
          <w:szCs w:val="20"/>
          <w:highlight w:val="none"/>
          <w:lang w:bidi="ar"/>
        </w:rPr>
        <w:t>、</w:t>
      </w:r>
      <w:r>
        <w:rPr>
          <w:rFonts w:hAnsi="宋体"/>
          <w:color w:val="auto"/>
          <w:szCs w:val="20"/>
          <w:highlight w:val="none"/>
          <w:lang w:bidi="ar"/>
        </w:rPr>
        <w:t>3</w:t>
      </w:r>
      <w:r>
        <w:rPr>
          <w:rFonts w:hint="eastAsia" w:hAnsi="宋体" w:cs="宋体"/>
          <w:color w:val="auto"/>
          <w:szCs w:val="20"/>
          <w:highlight w:val="none"/>
          <w:lang w:bidi="ar"/>
        </w:rPr>
        <w:t>条，按管理权限，依据有关规定给予党纪、政纪或组织处理；给甲方单位造成经济损失的，应予以赔偿；情节严重的，甲方建议交通主管部门给予乙方一至三年内不得进入其主管的公路建设市场的处罚。</w:t>
      </w:r>
    </w:p>
    <w:p w14:paraId="5DADA338">
      <w:pPr>
        <w:adjustRightInd w:val="0"/>
        <w:snapToGrid w:val="0"/>
        <w:spacing w:line="460" w:lineRule="exact"/>
        <w:ind w:firstLine="420" w:firstLineChars="200"/>
        <w:rPr>
          <w:rFonts w:hint="eastAsia" w:hAnsi="宋体"/>
          <w:color w:val="auto"/>
          <w:szCs w:val="20"/>
          <w:highlight w:val="none"/>
        </w:rPr>
      </w:pPr>
      <w:r>
        <w:rPr>
          <w:rFonts w:hAnsi="宋体"/>
          <w:color w:val="auto"/>
          <w:szCs w:val="20"/>
          <w:highlight w:val="none"/>
          <w:lang w:bidi="ar"/>
        </w:rPr>
        <w:t>5</w:t>
      </w:r>
      <w:r>
        <w:rPr>
          <w:rFonts w:hint="eastAsia" w:hAnsi="宋体" w:cs="宋体"/>
          <w:color w:val="auto"/>
          <w:szCs w:val="20"/>
          <w:highlight w:val="none"/>
          <w:lang w:bidi="ar"/>
        </w:rPr>
        <w:t>．双方约定：本合同由双方或双方上级单位的纪检监察机关负责监督执行。由甲方或甲方上级单位的纪检监察部门约请乙方或乙方上级单位纪检监察部门对本合同执行情况进行检查，提出在本合同规定范围内的裁定意见。</w:t>
      </w:r>
    </w:p>
    <w:p w14:paraId="40F3BA5B">
      <w:pPr>
        <w:adjustRightInd w:val="0"/>
        <w:snapToGrid w:val="0"/>
        <w:spacing w:line="460" w:lineRule="exact"/>
        <w:ind w:firstLine="420" w:firstLineChars="200"/>
        <w:rPr>
          <w:rFonts w:hint="eastAsia" w:hAnsi="宋体"/>
          <w:color w:val="auto"/>
          <w:szCs w:val="20"/>
          <w:highlight w:val="none"/>
        </w:rPr>
      </w:pPr>
      <w:r>
        <w:rPr>
          <w:rFonts w:hAnsi="宋体"/>
          <w:color w:val="auto"/>
          <w:szCs w:val="20"/>
          <w:highlight w:val="none"/>
          <w:lang w:bidi="ar"/>
        </w:rPr>
        <w:t>6</w:t>
      </w:r>
      <w:r>
        <w:rPr>
          <w:rFonts w:hint="eastAsia" w:hAnsi="宋体" w:cs="宋体"/>
          <w:color w:val="auto"/>
          <w:szCs w:val="20"/>
          <w:highlight w:val="none"/>
          <w:lang w:bidi="ar"/>
        </w:rPr>
        <w:t>．本合同有效期为甲方和乙方签署之日起至该合同有效截止日期止。</w:t>
      </w:r>
    </w:p>
    <w:p w14:paraId="583C5104">
      <w:pPr>
        <w:adjustRightInd w:val="0"/>
        <w:snapToGrid w:val="0"/>
        <w:spacing w:line="460" w:lineRule="exact"/>
        <w:ind w:firstLine="420" w:firstLineChars="200"/>
        <w:rPr>
          <w:rFonts w:hint="eastAsia" w:hAnsi="宋体"/>
          <w:color w:val="auto"/>
          <w:szCs w:val="20"/>
          <w:highlight w:val="none"/>
        </w:rPr>
      </w:pPr>
      <w:r>
        <w:rPr>
          <w:rFonts w:hAnsi="宋体"/>
          <w:color w:val="auto"/>
          <w:szCs w:val="20"/>
          <w:highlight w:val="none"/>
          <w:lang w:bidi="ar"/>
        </w:rPr>
        <w:t>7</w:t>
      </w:r>
      <w:r>
        <w:rPr>
          <w:rFonts w:hint="eastAsia" w:hAnsi="宋体" w:cs="宋体"/>
          <w:color w:val="auto"/>
          <w:szCs w:val="20"/>
          <w:highlight w:val="none"/>
          <w:lang w:bidi="ar"/>
        </w:rPr>
        <w:t>．本合同作为</w:t>
      </w:r>
      <w:r>
        <w:rPr>
          <w:rFonts w:hint="eastAsia" w:hAnsi="宋体" w:cs="宋体"/>
          <w:color w:val="auto"/>
          <w:szCs w:val="20"/>
          <w:highlight w:val="none"/>
          <w:u w:val="single"/>
          <w:lang w:bidi="ar"/>
        </w:rPr>
        <w:t xml:space="preserve"> 《</w:t>
      </w:r>
      <w:r>
        <w:rPr>
          <w:rFonts w:hint="eastAsia" w:hAnsi="宋体" w:cs="宋体"/>
          <w:color w:val="auto"/>
          <w:szCs w:val="20"/>
          <w:highlight w:val="none"/>
          <w:u w:val="single"/>
          <w:lang w:val="en-US" w:eastAsia="zh-CN" w:bidi="ar"/>
        </w:rPr>
        <w:t>2026-2027年度</w:t>
      </w:r>
      <w:r>
        <w:rPr>
          <w:rFonts w:hint="eastAsia" w:hAnsi="宋体" w:cs="宋体"/>
          <w:color w:val="auto"/>
          <w:szCs w:val="20"/>
          <w:highlight w:val="none"/>
          <w:u w:val="single"/>
          <w:lang w:bidi="ar"/>
        </w:rPr>
        <w:t>沥青</w:t>
      </w:r>
      <w:r>
        <w:rPr>
          <w:rFonts w:hint="eastAsia" w:hAnsi="宋体" w:cs="宋体"/>
          <w:color w:val="auto"/>
          <w:szCs w:val="20"/>
          <w:highlight w:val="none"/>
          <w:u w:val="single"/>
          <w:lang w:val="en-US" w:eastAsia="zh-CN" w:bidi="ar"/>
        </w:rPr>
        <w:t>采购</w:t>
      </w:r>
      <w:r>
        <w:rPr>
          <w:rFonts w:hint="eastAsia" w:hAnsi="宋体" w:cs="宋体"/>
          <w:color w:val="auto"/>
          <w:szCs w:val="20"/>
          <w:highlight w:val="none"/>
          <w:u w:val="single"/>
          <w:lang w:bidi="ar"/>
        </w:rPr>
        <w:t xml:space="preserve">合同》 </w:t>
      </w:r>
      <w:r>
        <w:rPr>
          <w:rFonts w:hint="eastAsia" w:hAnsi="宋体" w:cs="宋体"/>
          <w:color w:val="auto"/>
          <w:szCs w:val="20"/>
          <w:highlight w:val="none"/>
          <w:lang w:bidi="ar"/>
        </w:rPr>
        <w:t>的附件，与合同协议书具有同等的法律效力，经合同双方签署立即生效。</w:t>
      </w:r>
    </w:p>
    <w:p w14:paraId="0DC03BA1">
      <w:pPr>
        <w:adjustRightInd w:val="0"/>
        <w:snapToGrid w:val="0"/>
        <w:spacing w:line="460" w:lineRule="exact"/>
        <w:ind w:firstLine="420" w:firstLineChars="200"/>
        <w:rPr>
          <w:rFonts w:hint="eastAsia" w:hAnsi="宋体"/>
          <w:color w:val="auto"/>
          <w:szCs w:val="20"/>
          <w:highlight w:val="none"/>
        </w:rPr>
      </w:pPr>
      <w:r>
        <w:rPr>
          <w:rFonts w:hAnsi="宋体"/>
          <w:color w:val="auto"/>
          <w:szCs w:val="20"/>
          <w:highlight w:val="none"/>
          <w:lang w:bidi="ar"/>
        </w:rPr>
        <w:t>8</w:t>
      </w:r>
      <w:r>
        <w:rPr>
          <w:rFonts w:hint="eastAsia" w:hAnsi="宋体" w:cs="宋体"/>
          <w:color w:val="auto"/>
          <w:szCs w:val="20"/>
          <w:highlight w:val="none"/>
          <w:lang w:bidi="ar"/>
        </w:rPr>
        <w:t>．本合同一式</w:t>
      </w:r>
      <w:r>
        <w:rPr>
          <w:rFonts w:hint="eastAsia" w:hAnsi="宋体" w:cs="宋体"/>
          <w:color w:val="auto"/>
          <w:szCs w:val="20"/>
          <w:highlight w:val="none"/>
          <w:lang w:val="en-US" w:eastAsia="zh-CN" w:bidi="ar"/>
        </w:rPr>
        <w:t>肆</w:t>
      </w:r>
      <w:r>
        <w:rPr>
          <w:rFonts w:hint="eastAsia" w:hAnsi="宋体" w:cs="宋体"/>
          <w:color w:val="auto"/>
          <w:szCs w:val="20"/>
          <w:highlight w:val="none"/>
          <w:lang w:bidi="ar"/>
        </w:rPr>
        <w:t>份，由甲方和乙方各执</w:t>
      </w:r>
      <w:r>
        <w:rPr>
          <w:rFonts w:hint="eastAsia" w:hAnsi="宋体" w:cs="宋体"/>
          <w:color w:val="auto"/>
          <w:szCs w:val="20"/>
          <w:highlight w:val="none"/>
          <w:lang w:val="en-US" w:eastAsia="zh-CN" w:bidi="ar"/>
        </w:rPr>
        <w:t>贰</w:t>
      </w:r>
      <w:r>
        <w:rPr>
          <w:rFonts w:hint="eastAsia" w:hAnsi="宋体" w:cs="宋体"/>
          <w:color w:val="auto"/>
          <w:szCs w:val="20"/>
          <w:highlight w:val="none"/>
          <w:lang w:bidi="ar"/>
        </w:rPr>
        <w:t>份。</w:t>
      </w:r>
    </w:p>
    <w:p w14:paraId="63506E5D">
      <w:pPr>
        <w:adjustRightInd w:val="0"/>
        <w:snapToGrid w:val="0"/>
        <w:spacing w:line="360" w:lineRule="auto"/>
        <w:ind w:firstLine="420" w:firstLineChars="200"/>
        <w:rPr>
          <w:rFonts w:hint="eastAsia" w:hAnsi="宋体"/>
          <w:color w:val="auto"/>
          <w:szCs w:val="20"/>
          <w:highlight w:val="none"/>
        </w:rPr>
      </w:pPr>
    </w:p>
    <w:p w14:paraId="381BC13C">
      <w:pPr>
        <w:adjustRightInd w:val="0"/>
        <w:snapToGrid w:val="0"/>
        <w:spacing w:line="360" w:lineRule="auto"/>
        <w:ind w:firstLine="420" w:firstLineChars="200"/>
        <w:rPr>
          <w:rFonts w:hint="eastAsia" w:hAnsi="宋体"/>
          <w:color w:val="auto"/>
          <w:szCs w:val="20"/>
          <w:highlight w:val="none"/>
        </w:rPr>
      </w:pPr>
    </w:p>
    <w:p w14:paraId="5A4E83F3">
      <w:pPr>
        <w:adjustRightInd w:val="0"/>
        <w:snapToGrid w:val="0"/>
        <w:spacing w:line="360" w:lineRule="auto"/>
        <w:ind w:firstLine="420" w:firstLineChars="200"/>
        <w:rPr>
          <w:rFonts w:hint="eastAsia" w:hAnsi="宋体"/>
          <w:color w:val="auto"/>
          <w:szCs w:val="20"/>
          <w:highlight w:val="none"/>
        </w:rPr>
      </w:pPr>
    </w:p>
    <w:p w14:paraId="43F99F28">
      <w:pPr>
        <w:spacing w:line="480" w:lineRule="auto"/>
        <w:ind w:firstLine="420" w:firstLineChars="200"/>
        <w:rPr>
          <w:rFonts w:hint="eastAsia" w:ascii="Times New Roman" w:hAnsi="宋体" w:cs="宋体"/>
          <w:color w:val="auto"/>
          <w:szCs w:val="20"/>
          <w:highlight w:val="none"/>
          <w:lang w:val="en-US" w:eastAsia="zh-CN" w:bidi="ar"/>
        </w:rPr>
      </w:pPr>
      <w:r>
        <w:rPr>
          <w:rFonts w:hint="eastAsia" w:cs="宋体"/>
          <w:color w:val="auto"/>
          <w:szCs w:val="20"/>
          <w:highlight w:val="none"/>
          <w:lang w:bidi="ar"/>
        </w:rPr>
        <w:t>甲</w:t>
      </w:r>
      <w:r>
        <w:rPr>
          <w:rFonts w:hint="eastAsia" w:cs="宋体"/>
          <w:color w:val="auto"/>
          <w:szCs w:val="20"/>
          <w:highlight w:val="none"/>
          <w:lang w:val="en-US" w:eastAsia="zh-CN" w:bidi="ar"/>
        </w:rPr>
        <w:t xml:space="preserve">   </w:t>
      </w:r>
      <w:r>
        <w:rPr>
          <w:rFonts w:hint="eastAsia" w:cs="宋体"/>
          <w:color w:val="auto"/>
          <w:szCs w:val="20"/>
          <w:highlight w:val="none"/>
          <w:lang w:bidi="ar"/>
        </w:rPr>
        <w:t>方：</w:t>
      </w:r>
      <w:r>
        <w:rPr>
          <w:rFonts w:hint="eastAsia" w:ascii="Times New Roman" w:hAnsi="宋体" w:cs="宋体"/>
          <w:color w:val="auto"/>
          <w:szCs w:val="20"/>
          <w:highlight w:val="none"/>
          <w:lang w:val="en-US" w:eastAsia="zh-CN" w:bidi="ar"/>
        </w:rPr>
        <w:t xml:space="preserve">赣州市交通投资集团               </w:t>
      </w:r>
      <w:r>
        <w:rPr>
          <w:rFonts w:hint="eastAsia"/>
          <w:color w:val="auto"/>
          <w:szCs w:val="20"/>
          <w:highlight w:val="none"/>
          <w:lang w:val="en-US" w:eastAsia="zh-CN" w:bidi="ar"/>
        </w:rPr>
        <w:t xml:space="preserve"> </w:t>
      </w:r>
      <w:r>
        <w:rPr>
          <w:rFonts w:hint="eastAsia" w:cs="宋体"/>
          <w:color w:val="auto"/>
          <w:szCs w:val="20"/>
          <w:highlight w:val="none"/>
          <w:lang w:bidi="ar"/>
        </w:rPr>
        <w:t>乙</w:t>
      </w:r>
      <w:r>
        <w:rPr>
          <w:rFonts w:hint="eastAsia" w:cs="宋体"/>
          <w:color w:val="auto"/>
          <w:szCs w:val="20"/>
          <w:highlight w:val="none"/>
          <w:lang w:val="en-US" w:eastAsia="zh-CN" w:bidi="ar"/>
        </w:rPr>
        <w:t xml:space="preserve">    </w:t>
      </w:r>
      <w:r>
        <w:rPr>
          <w:rFonts w:hint="eastAsia" w:cs="宋体"/>
          <w:color w:val="auto"/>
          <w:szCs w:val="20"/>
          <w:highlight w:val="none"/>
          <w:lang w:bidi="ar"/>
        </w:rPr>
        <w:t>方：</w:t>
      </w:r>
    </w:p>
    <w:p w14:paraId="416F6E64">
      <w:pPr>
        <w:spacing w:line="480" w:lineRule="auto"/>
        <w:ind w:firstLine="420" w:firstLineChars="200"/>
        <w:rPr>
          <w:rFonts w:hint="eastAsia" w:cs="宋体"/>
          <w:color w:val="auto"/>
          <w:szCs w:val="20"/>
          <w:highlight w:val="none"/>
          <w:lang w:bidi="ar"/>
        </w:rPr>
      </w:pPr>
      <w:r>
        <w:rPr>
          <w:rFonts w:hint="eastAsia" w:ascii="Times New Roman" w:hAnsi="宋体" w:cs="宋体"/>
          <w:color w:val="auto"/>
          <w:szCs w:val="20"/>
          <w:highlight w:val="none"/>
          <w:lang w:val="en-US" w:eastAsia="zh-CN" w:bidi="ar"/>
        </w:rPr>
        <w:t>有限责任公司</w:t>
      </w:r>
      <w:r>
        <w:rPr>
          <w:color w:val="auto"/>
          <w:szCs w:val="20"/>
          <w:highlight w:val="none"/>
          <w:lang w:bidi="ar"/>
        </w:rPr>
        <w:t xml:space="preserve">               </w:t>
      </w:r>
      <w:r>
        <w:rPr>
          <w:rFonts w:hint="eastAsia"/>
          <w:color w:val="auto"/>
          <w:szCs w:val="20"/>
          <w:highlight w:val="none"/>
          <w:lang w:val="en-US" w:eastAsia="zh-CN" w:bidi="ar"/>
        </w:rPr>
        <w:t xml:space="preserve">                  </w:t>
      </w:r>
    </w:p>
    <w:p w14:paraId="2ACE97EB">
      <w:pPr>
        <w:spacing w:line="480" w:lineRule="auto"/>
        <w:ind w:firstLine="420" w:firstLineChars="200"/>
        <w:rPr>
          <w:rFonts w:hint="eastAsia" w:cs="宋体"/>
          <w:color w:val="auto"/>
          <w:szCs w:val="20"/>
          <w:highlight w:val="none"/>
          <w:lang w:bidi="ar"/>
        </w:rPr>
      </w:pPr>
    </w:p>
    <w:p w14:paraId="476B7EAF">
      <w:pPr>
        <w:spacing w:line="480" w:lineRule="auto"/>
        <w:ind w:firstLine="420" w:firstLineChars="200"/>
        <w:rPr>
          <w:rFonts w:cs="宋体"/>
          <w:color w:val="auto"/>
          <w:szCs w:val="20"/>
          <w:highlight w:val="none"/>
          <w:lang w:bidi="ar"/>
        </w:rPr>
      </w:pPr>
      <w:r>
        <w:rPr>
          <w:rFonts w:hint="eastAsia" w:cs="宋体"/>
          <w:color w:val="auto"/>
          <w:szCs w:val="20"/>
          <w:highlight w:val="none"/>
          <w:lang w:bidi="ar"/>
        </w:rPr>
        <w:t xml:space="preserve">法定代表人或 </w:t>
      </w:r>
      <w:r>
        <w:rPr>
          <w:rFonts w:cs="宋体"/>
          <w:color w:val="auto"/>
          <w:szCs w:val="20"/>
          <w:highlight w:val="none"/>
          <w:lang w:bidi="ar"/>
        </w:rPr>
        <w:t xml:space="preserve">                         </w:t>
      </w:r>
      <w:r>
        <w:rPr>
          <w:rFonts w:hint="eastAsia" w:cs="宋体"/>
          <w:color w:val="auto"/>
          <w:szCs w:val="20"/>
          <w:highlight w:val="none"/>
          <w:lang w:val="en-US" w:eastAsia="zh-CN" w:bidi="ar"/>
        </w:rPr>
        <w:t xml:space="preserve">     </w:t>
      </w:r>
      <w:r>
        <w:rPr>
          <w:rFonts w:cs="宋体"/>
          <w:color w:val="auto"/>
          <w:szCs w:val="20"/>
          <w:highlight w:val="none"/>
          <w:lang w:bidi="ar"/>
        </w:rPr>
        <w:t xml:space="preserve"> </w:t>
      </w:r>
      <w:r>
        <w:rPr>
          <w:rFonts w:hint="eastAsia" w:cs="宋体"/>
          <w:color w:val="auto"/>
          <w:szCs w:val="20"/>
          <w:highlight w:val="none"/>
          <w:lang w:bidi="ar"/>
        </w:rPr>
        <w:t>法定代表人或</w:t>
      </w:r>
    </w:p>
    <w:p w14:paraId="5A259180">
      <w:pPr>
        <w:spacing w:line="480" w:lineRule="auto"/>
        <w:ind w:firstLine="420" w:firstLineChars="200"/>
        <w:rPr>
          <w:rFonts w:cs="宋体"/>
          <w:color w:val="auto"/>
          <w:szCs w:val="20"/>
          <w:highlight w:val="none"/>
          <w:u w:val="single"/>
          <w:lang w:bidi="ar"/>
        </w:rPr>
      </w:pPr>
      <w:r>
        <w:rPr>
          <w:rFonts w:hint="eastAsia" w:cs="宋体"/>
          <w:color w:val="auto"/>
          <w:szCs w:val="20"/>
          <w:highlight w:val="none"/>
          <w:lang w:bidi="ar"/>
        </w:rPr>
        <w:t>其委托代理人：</w:t>
      </w:r>
      <w:r>
        <w:rPr>
          <w:color w:val="auto"/>
          <w:szCs w:val="20"/>
          <w:highlight w:val="none"/>
          <w:lang w:bidi="ar"/>
        </w:rPr>
        <w:t xml:space="preserve">                        </w:t>
      </w:r>
      <w:r>
        <w:rPr>
          <w:rFonts w:hint="eastAsia"/>
          <w:color w:val="auto"/>
          <w:szCs w:val="20"/>
          <w:highlight w:val="none"/>
          <w:lang w:val="en-US" w:eastAsia="zh-CN" w:bidi="ar"/>
        </w:rPr>
        <w:t xml:space="preserve">      </w:t>
      </w:r>
      <w:r>
        <w:rPr>
          <w:rFonts w:hint="eastAsia" w:cs="宋体"/>
          <w:color w:val="auto"/>
          <w:szCs w:val="20"/>
          <w:highlight w:val="none"/>
          <w:lang w:bidi="ar"/>
        </w:rPr>
        <w:t>其委托代理人：</w:t>
      </w:r>
    </w:p>
    <w:p w14:paraId="0FA0159D">
      <w:pPr>
        <w:spacing w:line="480" w:lineRule="auto"/>
        <w:ind w:firstLine="2310" w:firstLineChars="1100"/>
        <w:rPr>
          <w:rFonts w:hint="eastAsia" w:cs="宋体"/>
          <w:color w:val="auto"/>
          <w:szCs w:val="20"/>
          <w:highlight w:val="none"/>
          <w:lang w:bidi="ar"/>
        </w:rPr>
      </w:pPr>
    </w:p>
    <w:p w14:paraId="0F15EC00">
      <w:pPr>
        <w:spacing w:line="480" w:lineRule="auto"/>
        <w:ind w:firstLine="2310" w:firstLineChars="1100"/>
        <w:rPr>
          <w:rFonts w:hint="eastAsia" w:ascii="仿宋_GB2312" w:hAnsi="仿宋_GB2312" w:eastAsia="仿宋_GB2312" w:cs="仿宋_GB2312"/>
          <w:b/>
          <w:bCs w:val="0"/>
          <w:color w:val="auto"/>
          <w:sz w:val="28"/>
          <w:szCs w:val="28"/>
          <w:highlight w:val="none"/>
          <w:lang w:val="en-US" w:eastAsia="zh-CN"/>
        </w:rPr>
      </w:pPr>
      <w:r>
        <w:rPr>
          <w:rFonts w:hint="eastAsia" w:cs="宋体"/>
          <w:color w:val="auto"/>
          <w:szCs w:val="20"/>
          <w:highlight w:val="none"/>
          <w:lang w:bidi="ar"/>
        </w:rPr>
        <w:t>年</w:t>
      </w:r>
      <w:r>
        <w:rPr>
          <w:rFonts w:hint="eastAsia" w:cs="宋体"/>
          <w:color w:val="auto"/>
          <w:szCs w:val="20"/>
          <w:highlight w:val="none"/>
          <w:lang w:val="en-US" w:eastAsia="zh-CN" w:bidi="ar"/>
        </w:rPr>
        <w:t xml:space="preserve">  </w:t>
      </w:r>
      <w:r>
        <w:rPr>
          <w:rFonts w:hint="eastAsia" w:cs="宋体"/>
          <w:color w:val="auto"/>
          <w:szCs w:val="20"/>
          <w:highlight w:val="none"/>
          <w:lang w:bidi="ar"/>
        </w:rPr>
        <w:t>月</w:t>
      </w:r>
      <w:r>
        <w:rPr>
          <w:rFonts w:hint="eastAsia" w:cs="宋体"/>
          <w:color w:val="auto"/>
          <w:szCs w:val="20"/>
          <w:highlight w:val="none"/>
          <w:lang w:val="en-US" w:eastAsia="zh-CN" w:bidi="ar"/>
        </w:rPr>
        <w:t xml:space="preserve">  </w:t>
      </w:r>
      <w:r>
        <w:rPr>
          <w:rFonts w:hint="eastAsia" w:cs="宋体"/>
          <w:color w:val="auto"/>
          <w:szCs w:val="20"/>
          <w:highlight w:val="none"/>
          <w:lang w:bidi="ar"/>
        </w:rPr>
        <w:t>日</w:t>
      </w:r>
      <w:r>
        <w:rPr>
          <w:color w:val="auto"/>
          <w:szCs w:val="20"/>
          <w:highlight w:val="none"/>
          <w:lang w:bidi="ar"/>
        </w:rPr>
        <w:t xml:space="preserve">                          </w:t>
      </w:r>
      <w:r>
        <w:rPr>
          <w:rFonts w:hint="eastAsia"/>
          <w:color w:val="auto"/>
          <w:szCs w:val="20"/>
          <w:highlight w:val="none"/>
          <w:lang w:val="en-US" w:eastAsia="zh-CN" w:bidi="ar"/>
        </w:rPr>
        <w:t xml:space="preserve">           </w:t>
      </w:r>
      <w:r>
        <w:rPr>
          <w:color w:val="auto"/>
          <w:szCs w:val="20"/>
          <w:highlight w:val="none"/>
          <w:lang w:bidi="ar"/>
        </w:rPr>
        <w:t xml:space="preserve"> </w:t>
      </w:r>
      <w:r>
        <w:rPr>
          <w:rFonts w:hint="eastAsia" w:cs="宋体"/>
          <w:color w:val="auto"/>
          <w:szCs w:val="20"/>
          <w:highlight w:val="none"/>
          <w:lang w:bidi="ar"/>
        </w:rPr>
        <w:t>年</w:t>
      </w:r>
      <w:r>
        <w:rPr>
          <w:rFonts w:hint="eastAsia" w:cs="宋体"/>
          <w:color w:val="auto"/>
          <w:szCs w:val="20"/>
          <w:highlight w:val="none"/>
          <w:lang w:val="en-US" w:eastAsia="zh-CN" w:bidi="ar"/>
        </w:rPr>
        <w:t xml:space="preserve">  </w:t>
      </w:r>
      <w:r>
        <w:rPr>
          <w:rFonts w:hint="eastAsia" w:cs="宋体"/>
          <w:color w:val="auto"/>
          <w:szCs w:val="20"/>
          <w:highlight w:val="none"/>
          <w:lang w:bidi="ar"/>
        </w:rPr>
        <w:t>月</w:t>
      </w:r>
      <w:r>
        <w:rPr>
          <w:rFonts w:hint="eastAsia" w:cs="宋体"/>
          <w:color w:val="auto"/>
          <w:szCs w:val="20"/>
          <w:highlight w:val="none"/>
          <w:lang w:val="en-US" w:eastAsia="zh-CN" w:bidi="ar"/>
        </w:rPr>
        <w:t xml:space="preserve">  </w:t>
      </w:r>
      <w:r>
        <w:rPr>
          <w:rFonts w:hint="eastAsia" w:cs="宋体"/>
          <w:color w:val="auto"/>
          <w:szCs w:val="20"/>
          <w:highlight w:val="none"/>
          <w:lang w:bidi="ar"/>
        </w:rPr>
        <w:t>日</w:t>
      </w:r>
    </w:p>
    <w:sectPr>
      <w:footerReference r:id="rId6" w:type="default"/>
      <w:pgSz w:w="11906" w:h="16838"/>
      <w:pgMar w:top="1588" w:right="1588" w:bottom="1588"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ADAB7B-1645-4917-9EB8-653C124DF0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FD661843-6B7C-41F8-ACD0-FCB3E66DA23A}"/>
  </w:font>
  <w:font w:name="方正仿宋_GB18030">
    <w:panose1 w:val="02000000000000000000"/>
    <w:charset w:val="86"/>
    <w:family w:val="auto"/>
    <w:pitch w:val="default"/>
    <w:sig w:usb0="00000001" w:usb1="08000000" w:usb2="00000000" w:usb3="00000000" w:csb0="00040000" w:csb1="00000000"/>
    <w:embedRegular r:id="rId3" w:fontKey="{AE20D938-172A-4DCD-AED6-68F98E3F3505}"/>
  </w:font>
  <w:font w:name="Cambria Math">
    <w:panose1 w:val="02040503050406030204"/>
    <w:charset w:val="00"/>
    <w:family w:val="auto"/>
    <w:pitch w:val="default"/>
    <w:sig w:usb0="E00006FF" w:usb1="420024FF" w:usb2="02000000" w:usb3="00000000" w:csb0="2000019F" w:csb1="00000000"/>
    <w:embedRegular r:id="rId4" w:fontKey="{C0B56C92-BDD7-4442-BB74-CCFD7693CE70}"/>
  </w:font>
  <w:font w:name="仿宋">
    <w:panose1 w:val="02010609060101010101"/>
    <w:charset w:val="86"/>
    <w:family w:val="modern"/>
    <w:pitch w:val="default"/>
    <w:sig w:usb0="800002BF" w:usb1="38CF7CFA" w:usb2="00000016" w:usb3="00000000" w:csb0="00040001" w:csb1="00000000"/>
    <w:embedRegular r:id="rId5" w:fontKey="{03D531E1-F796-43A2-BBEF-213D17B2458B}"/>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B3C48">
    <w:pPr>
      <w:pStyle w:val="1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B916C8">
                          <w:pPr>
                            <w:pStyle w:val="14"/>
                            <w:rPr>
                              <w:rFonts w:hint="eastAsia"/>
                            </w:rPr>
                          </w:pPr>
                        </w:p>
                        <w:p w14:paraId="474389AB">
                          <w:pPr>
                            <w:pStyle w:val="14"/>
                            <w:rPr>
                              <w:rFonts w:hint="eastAsia"/>
                            </w:rPr>
                          </w:pPr>
                        </w:p>
                      </w:txbxContent>
                    </wps:txbx>
                    <wps:bodyPr wrap="none" lIns="0" tIns="0" rIns="0" bIns="0" upright="0">
                      <a:spAutoFit/>
                    </wps:bodyPr>
                  </wps:wsp>
                </a:graphicData>
              </a:graphic>
            </wp:anchor>
          </w:drawing>
        </mc:Choice>
        <mc:Fallback>
          <w:pict>
            <v:shape id="文本框 4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z/wQ8oBAACaAwAADgAAAAAAAAABACAAAAAeAQAAZHJzL2Uyb0Rv&#10;Yy54bWxQSwUGAAAAAAYABgBZAQAAWgUAAAAA&#10;">
              <v:fill on="f" focussize="0,0"/>
              <v:stroke on="f"/>
              <v:imagedata o:title=""/>
              <o:lock v:ext="edit" aspectratio="f"/>
              <v:textbox inset="0mm,0mm,0mm,0mm" style="mso-fit-shape-to-text:t;">
                <w:txbxContent>
                  <w:p w14:paraId="45B916C8">
                    <w:pPr>
                      <w:pStyle w:val="14"/>
                      <w:rPr>
                        <w:rFonts w:hint="eastAsia"/>
                      </w:rPr>
                    </w:pPr>
                  </w:p>
                  <w:p w14:paraId="474389AB">
                    <w:pPr>
                      <w:pStyle w:val="14"/>
                      <w:rPr>
                        <w:rFonts w:hint="eastAsi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70678">
    <w:pPr>
      <w:pStyle w:val="1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989CB4">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7tYIMoBAACaAwAADgAAAAAAAAABACAAAAAeAQAAZHJzL2Uyb0Rv&#10;Yy54bWxQSwUGAAAAAAYABgBZAQAAWgUAAAAA&#10;">
              <v:fill on="f" focussize="0,0"/>
              <v:stroke on="f"/>
              <v:imagedata o:title=""/>
              <o:lock v:ext="edit" aspectratio="f"/>
              <v:textbox inset="0mm,0mm,0mm,0mm" style="mso-fit-shape-to-text:t;">
                <w:txbxContent>
                  <w:p w14:paraId="1B989CB4">
                    <w:pPr>
                      <w:pStyle w:val="14"/>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293648">
                          <w:pPr>
                            <w:pStyle w:val="14"/>
                            <w:rPr>
                              <w:rFonts w:hint="eastAsia"/>
                            </w:rPr>
                          </w:pPr>
                        </w:p>
                        <w:p w14:paraId="66702F66">
                          <w:pPr>
                            <w:pStyle w:val="14"/>
                            <w:rPr>
                              <w:rFonts w:hint="eastAsia"/>
                            </w:rPr>
                          </w:pPr>
                        </w:p>
                      </w:txbxContent>
                    </wps:txbx>
                    <wps:bodyPr wrap="none" lIns="0" tIns="0" rIns="0" bIns="0" upright="0">
                      <a:spAutoFit/>
                    </wps:bodyPr>
                  </wps:wsp>
                </a:graphicData>
              </a:graphic>
            </wp:anchor>
          </w:drawing>
        </mc:Choice>
        <mc:Fallback>
          <w:pict>
            <v:shape id="文本框 4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9id8coBAACaAwAADgAAAAAAAAABACAAAAAeAQAAZHJzL2Uyb0Rv&#10;Yy54bWxQSwUGAAAAAAYABgBZAQAAWgUAAAAA&#10;">
              <v:fill on="f" focussize="0,0"/>
              <v:stroke on="f"/>
              <v:imagedata o:title=""/>
              <o:lock v:ext="edit" aspectratio="f"/>
              <v:textbox inset="0mm,0mm,0mm,0mm" style="mso-fit-shape-to-text:t;">
                <w:txbxContent>
                  <w:p w14:paraId="2F293648">
                    <w:pPr>
                      <w:pStyle w:val="14"/>
                      <w:rPr>
                        <w:rFonts w:hint="eastAsia"/>
                      </w:rPr>
                    </w:pPr>
                  </w:p>
                  <w:p w14:paraId="66702F66">
                    <w:pPr>
                      <w:pStyle w:val="14"/>
                      <w:rPr>
                        <w:rFonts w:hint="eastAsia"/>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AA967">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2AAE7F">
                          <w:pPr>
                            <w:pStyle w:val="1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4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SoLfjN8BAAC/AwAADgAAAAAA&#10;AAABACAAAAAeAQAAZHJzL2Uyb0RvYy54bWxQSwUGAAAAAAYABgBZAQAAbwUAAAAA&#10;">
              <v:fill on="f" focussize="0,0"/>
              <v:stroke on="f"/>
              <v:imagedata o:title=""/>
              <o:lock v:ext="edit" aspectratio="f"/>
              <v:textbox inset="0mm,0mm,0mm,0mm" style="mso-fit-shape-to-text:t;">
                <w:txbxContent>
                  <w:p w14:paraId="272AAE7F">
                    <w:pPr>
                      <w:pStyle w:val="14"/>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B8F88A">
                          <w:pPr>
                            <w:pStyle w:val="14"/>
                            <w:rPr>
                              <w:rFonts w:hint="eastAsia"/>
                            </w:rPr>
                          </w:pPr>
                        </w:p>
                        <w:p w14:paraId="5B193ADC">
                          <w:pPr>
                            <w:pStyle w:val="14"/>
                            <w:rPr>
                              <w:rFonts w:hint="eastAsia"/>
                            </w:rPr>
                          </w:pPr>
                        </w:p>
                      </w:txbxContent>
                    </wps:txbx>
                    <wps:bodyPr wrap="none" lIns="0" tIns="0" rIns="0" bIns="0" upright="0">
                      <a:spAutoFit/>
                    </wps:bodyPr>
                  </wps:wsp>
                </a:graphicData>
              </a:graphic>
            </wp:anchor>
          </w:drawing>
        </mc:Choice>
        <mc:Fallback>
          <w:pict>
            <v:shape id="文本框 3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AhacgBAACaAwAADgAAAGRycy9lMm9Eb2MueG1srVPNjtMwEL4j8Q6W&#10;79TZIqE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uqbEcYsDv3z/dvnx6/LzK3lZ&#10;Z32GAA2m3QdMTOMbP+LWLH5AZ6Y9qmjzFwkRjKO656u6ckxE5Ef1uq4rDAmMLRfEZw/PQ4T0VnpL&#10;stHSiOMrqvLTe0hT6pKSqzl/p40pIzTuLwdiZg/LvU89ZiuN+3EmtPfdGfkMOPmWOlx0Ssw7h8Lm&#10;JVmMuBj7xTiGqA992aJcD8LrY8ImSm+5wgQ7F8aRFXbzeuWd+PNesh5+qe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6QIWnIAQAAmgMAAA4AAAAAAAAAAQAgAAAAHgEAAGRycy9lMm9Eb2Mu&#10;eG1sUEsFBgAAAAAGAAYAWQEAAFgFAAAAAA==&#10;">
              <v:fill on="f" focussize="0,0"/>
              <v:stroke on="f"/>
              <v:imagedata o:title=""/>
              <o:lock v:ext="edit" aspectratio="f"/>
              <v:textbox inset="0mm,0mm,0mm,0mm" style="mso-fit-shape-to-text:t;">
                <w:txbxContent>
                  <w:p w14:paraId="6FB8F88A">
                    <w:pPr>
                      <w:pStyle w:val="14"/>
                      <w:rPr>
                        <w:rFonts w:hint="eastAsia"/>
                      </w:rPr>
                    </w:pPr>
                  </w:p>
                  <w:p w14:paraId="5B193ADC">
                    <w:pPr>
                      <w:pStyle w:val="14"/>
                      <w:rPr>
                        <w:rFonts w:hint="eastAsia"/>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DC8AC">
    <w:pPr>
      <w:pStyle w:val="9"/>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1MzNkNjdiYzA2ZTYzOWUzYjg5NzlmYzg0MjU4M2YifQ=="/>
  </w:docVars>
  <w:rsids>
    <w:rsidRoot w:val="0014523A"/>
    <w:rsid w:val="000222FA"/>
    <w:rsid w:val="0003701A"/>
    <w:rsid w:val="00052AF6"/>
    <w:rsid w:val="000575B6"/>
    <w:rsid w:val="00064CA7"/>
    <w:rsid w:val="00080DBB"/>
    <w:rsid w:val="00085FEE"/>
    <w:rsid w:val="0009388E"/>
    <w:rsid w:val="000942E9"/>
    <w:rsid w:val="000A2AB4"/>
    <w:rsid w:val="000A5D5A"/>
    <w:rsid w:val="000C0FC7"/>
    <w:rsid w:val="000C458D"/>
    <w:rsid w:val="000C51C2"/>
    <w:rsid w:val="000C6EB2"/>
    <w:rsid w:val="000D47DA"/>
    <w:rsid w:val="000E511F"/>
    <w:rsid w:val="000E60D0"/>
    <w:rsid w:val="000E7521"/>
    <w:rsid w:val="00103792"/>
    <w:rsid w:val="001077FF"/>
    <w:rsid w:val="001104D7"/>
    <w:rsid w:val="00122416"/>
    <w:rsid w:val="0013164C"/>
    <w:rsid w:val="00134A91"/>
    <w:rsid w:val="001357B2"/>
    <w:rsid w:val="0014523A"/>
    <w:rsid w:val="001609E4"/>
    <w:rsid w:val="001718B4"/>
    <w:rsid w:val="0017366F"/>
    <w:rsid w:val="0018099E"/>
    <w:rsid w:val="00181EEE"/>
    <w:rsid w:val="001A1376"/>
    <w:rsid w:val="001A7218"/>
    <w:rsid w:val="001B1244"/>
    <w:rsid w:val="001B1747"/>
    <w:rsid w:val="001B3942"/>
    <w:rsid w:val="001C634F"/>
    <w:rsid w:val="001E5C5B"/>
    <w:rsid w:val="001E6EC4"/>
    <w:rsid w:val="001E7AA0"/>
    <w:rsid w:val="002031E1"/>
    <w:rsid w:val="00203FA2"/>
    <w:rsid w:val="002401F1"/>
    <w:rsid w:val="0025264E"/>
    <w:rsid w:val="00257E91"/>
    <w:rsid w:val="002644BC"/>
    <w:rsid w:val="002755BB"/>
    <w:rsid w:val="00277020"/>
    <w:rsid w:val="0028045E"/>
    <w:rsid w:val="00287C3D"/>
    <w:rsid w:val="002A0483"/>
    <w:rsid w:val="002C0A26"/>
    <w:rsid w:val="002C0D66"/>
    <w:rsid w:val="002D0D60"/>
    <w:rsid w:val="002D3D5C"/>
    <w:rsid w:val="00305B78"/>
    <w:rsid w:val="0031244C"/>
    <w:rsid w:val="003149AB"/>
    <w:rsid w:val="00314B37"/>
    <w:rsid w:val="003205D8"/>
    <w:rsid w:val="00337E81"/>
    <w:rsid w:val="00341002"/>
    <w:rsid w:val="003432FD"/>
    <w:rsid w:val="00364F28"/>
    <w:rsid w:val="00387AAD"/>
    <w:rsid w:val="003A4B8B"/>
    <w:rsid w:val="003E01C5"/>
    <w:rsid w:val="00412787"/>
    <w:rsid w:val="00412876"/>
    <w:rsid w:val="00423207"/>
    <w:rsid w:val="00427F9E"/>
    <w:rsid w:val="004328B3"/>
    <w:rsid w:val="004343BF"/>
    <w:rsid w:val="004457FC"/>
    <w:rsid w:val="004460A4"/>
    <w:rsid w:val="004668A3"/>
    <w:rsid w:val="0047029A"/>
    <w:rsid w:val="0047166F"/>
    <w:rsid w:val="004749EE"/>
    <w:rsid w:val="0048430F"/>
    <w:rsid w:val="004930E5"/>
    <w:rsid w:val="00493A90"/>
    <w:rsid w:val="00495C63"/>
    <w:rsid w:val="004965D1"/>
    <w:rsid w:val="004A57ED"/>
    <w:rsid w:val="004B41E5"/>
    <w:rsid w:val="004B43F4"/>
    <w:rsid w:val="004C36D1"/>
    <w:rsid w:val="004D2DD6"/>
    <w:rsid w:val="004D6EE8"/>
    <w:rsid w:val="004E15E7"/>
    <w:rsid w:val="004E2A0E"/>
    <w:rsid w:val="004E374B"/>
    <w:rsid w:val="00504C08"/>
    <w:rsid w:val="00506400"/>
    <w:rsid w:val="005104DE"/>
    <w:rsid w:val="005209E6"/>
    <w:rsid w:val="00521CD5"/>
    <w:rsid w:val="00546CC4"/>
    <w:rsid w:val="005473F4"/>
    <w:rsid w:val="00564AE5"/>
    <w:rsid w:val="00572062"/>
    <w:rsid w:val="00577EF4"/>
    <w:rsid w:val="005A143C"/>
    <w:rsid w:val="005C0C7B"/>
    <w:rsid w:val="005C4635"/>
    <w:rsid w:val="005E34E0"/>
    <w:rsid w:val="00600723"/>
    <w:rsid w:val="006135DA"/>
    <w:rsid w:val="00614C12"/>
    <w:rsid w:val="00625F72"/>
    <w:rsid w:val="006303A2"/>
    <w:rsid w:val="00641F16"/>
    <w:rsid w:val="00645146"/>
    <w:rsid w:val="0066013B"/>
    <w:rsid w:val="00667311"/>
    <w:rsid w:val="00682C6D"/>
    <w:rsid w:val="006859EC"/>
    <w:rsid w:val="006A00EE"/>
    <w:rsid w:val="006B56D1"/>
    <w:rsid w:val="006B62E3"/>
    <w:rsid w:val="006C5F76"/>
    <w:rsid w:val="006D5B67"/>
    <w:rsid w:val="00703E51"/>
    <w:rsid w:val="0070456B"/>
    <w:rsid w:val="00716D7F"/>
    <w:rsid w:val="007206A8"/>
    <w:rsid w:val="007214D6"/>
    <w:rsid w:val="00742759"/>
    <w:rsid w:val="007656F2"/>
    <w:rsid w:val="00776559"/>
    <w:rsid w:val="007835ED"/>
    <w:rsid w:val="00793C53"/>
    <w:rsid w:val="007B59DB"/>
    <w:rsid w:val="007C4C7E"/>
    <w:rsid w:val="007D4441"/>
    <w:rsid w:val="007D7E2A"/>
    <w:rsid w:val="007F357F"/>
    <w:rsid w:val="007F4A14"/>
    <w:rsid w:val="00802502"/>
    <w:rsid w:val="008049FF"/>
    <w:rsid w:val="00806C07"/>
    <w:rsid w:val="00810642"/>
    <w:rsid w:val="00813B01"/>
    <w:rsid w:val="00814DC6"/>
    <w:rsid w:val="008478A7"/>
    <w:rsid w:val="00850244"/>
    <w:rsid w:val="00863C30"/>
    <w:rsid w:val="008649C8"/>
    <w:rsid w:val="0087628C"/>
    <w:rsid w:val="008A60D8"/>
    <w:rsid w:val="008D1DAB"/>
    <w:rsid w:val="008F37E8"/>
    <w:rsid w:val="00906A2E"/>
    <w:rsid w:val="00920349"/>
    <w:rsid w:val="00921E39"/>
    <w:rsid w:val="009329D6"/>
    <w:rsid w:val="00960846"/>
    <w:rsid w:val="00967894"/>
    <w:rsid w:val="00980C1A"/>
    <w:rsid w:val="00984841"/>
    <w:rsid w:val="009C178C"/>
    <w:rsid w:val="009C2284"/>
    <w:rsid w:val="009C7C5A"/>
    <w:rsid w:val="009D3FF9"/>
    <w:rsid w:val="00A15967"/>
    <w:rsid w:val="00A247EF"/>
    <w:rsid w:val="00A36E83"/>
    <w:rsid w:val="00A525EA"/>
    <w:rsid w:val="00A54884"/>
    <w:rsid w:val="00A67E13"/>
    <w:rsid w:val="00A817FD"/>
    <w:rsid w:val="00A83D8C"/>
    <w:rsid w:val="00AB4ED0"/>
    <w:rsid w:val="00AD5D00"/>
    <w:rsid w:val="00AE7EBE"/>
    <w:rsid w:val="00AF2EB5"/>
    <w:rsid w:val="00AF71EC"/>
    <w:rsid w:val="00B07F61"/>
    <w:rsid w:val="00B07FAC"/>
    <w:rsid w:val="00B13D4B"/>
    <w:rsid w:val="00B16628"/>
    <w:rsid w:val="00B17D16"/>
    <w:rsid w:val="00B2002A"/>
    <w:rsid w:val="00B26772"/>
    <w:rsid w:val="00B30C4A"/>
    <w:rsid w:val="00B33FAC"/>
    <w:rsid w:val="00B34970"/>
    <w:rsid w:val="00B370F2"/>
    <w:rsid w:val="00B54465"/>
    <w:rsid w:val="00B54DEF"/>
    <w:rsid w:val="00B61CC3"/>
    <w:rsid w:val="00B64E66"/>
    <w:rsid w:val="00B7150C"/>
    <w:rsid w:val="00B74145"/>
    <w:rsid w:val="00B8634C"/>
    <w:rsid w:val="00B92A49"/>
    <w:rsid w:val="00BB546D"/>
    <w:rsid w:val="00BD2926"/>
    <w:rsid w:val="00BE702F"/>
    <w:rsid w:val="00BE7452"/>
    <w:rsid w:val="00C20C54"/>
    <w:rsid w:val="00C3337F"/>
    <w:rsid w:val="00C57083"/>
    <w:rsid w:val="00C85900"/>
    <w:rsid w:val="00C9205D"/>
    <w:rsid w:val="00C97BC4"/>
    <w:rsid w:val="00CC52E0"/>
    <w:rsid w:val="00CF2309"/>
    <w:rsid w:val="00CF311E"/>
    <w:rsid w:val="00D12D06"/>
    <w:rsid w:val="00D17242"/>
    <w:rsid w:val="00D21E7C"/>
    <w:rsid w:val="00D40852"/>
    <w:rsid w:val="00D45941"/>
    <w:rsid w:val="00D56C59"/>
    <w:rsid w:val="00D6705E"/>
    <w:rsid w:val="00D71DCC"/>
    <w:rsid w:val="00D77B41"/>
    <w:rsid w:val="00D83FCB"/>
    <w:rsid w:val="00D85E33"/>
    <w:rsid w:val="00DA754E"/>
    <w:rsid w:val="00DB7525"/>
    <w:rsid w:val="00DD0973"/>
    <w:rsid w:val="00DD356E"/>
    <w:rsid w:val="00DD6E1A"/>
    <w:rsid w:val="00DE3B45"/>
    <w:rsid w:val="00DF75CE"/>
    <w:rsid w:val="00E03E88"/>
    <w:rsid w:val="00E06971"/>
    <w:rsid w:val="00E11173"/>
    <w:rsid w:val="00E17488"/>
    <w:rsid w:val="00E22CB2"/>
    <w:rsid w:val="00E30130"/>
    <w:rsid w:val="00E43089"/>
    <w:rsid w:val="00E45513"/>
    <w:rsid w:val="00E52C4B"/>
    <w:rsid w:val="00E65825"/>
    <w:rsid w:val="00E717AD"/>
    <w:rsid w:val="00E72CA3"/>
    <w:rsid w:val="00E82342"/>
    <w:rsid w:val="00E82865"/>
    <w:rsid w:val="00E87E79"/>
    <w:rsid w:val="00EA5C7E"/>
    <w:rsid w:val="00EB1BCC"/>
    <w:rsid w:val="00EC2BB6"/>
    <w:rsid w:val="00EC30B8"/>
    <w:rsid w:val="00EC41B1"/>
    <w:rsid w:val="00EC6524"/>
    <w:rsid w:val="00EC7743"/>
    <w:rsid w:val="00ED228A"/>
    <w:rsid w:val="00EF6B72"/>
    <w:rsid w:val="00F10B22"/>
    <w:rsid w:val="00F251DB"/>
    <w:rsid w:val="00F26C44"/>
    <w:rsid w:val="00F36828"/>
    <w:rsid w:val="00F36968"/>
    <w:rsid w:val="00F46E93"/>
    <w:rsid w:val="00F809D0"/>
    <w:rsid w:val="00F93E94"/>
    <w:rsid w:val="00FB1580"/>
    <w:rsid w:val="00FB3671"/>
    <w:rsid w:val="00FF3A01"/>
    <w:rsid w:val="01320746"/>
    <w:rsid w:val="01391E9C"/>
    <w:rsid w:val="01431A4A"/>
    <w:rsid w:val="01700E48"/>
    <w:rsid w:val="01792DBE"/>
    <w:rsid w:val="01E44FDB"/>
    <w:rsid w:val="02353E57"/>
    <w:rsid w:val="02812DC3"/>
    <w:rsid w:val="02B835E6"/>
    <w:rsid w:val="02F178FE"/>
    <w:rsid w:val="0306061F"/>
    <w:rsid w:val="03355C1D"/>
    <w:rsid w:val="038A570F"/>
    <w:rsid w:val="03DA15F5"/>
    <w:rsid w:val="04025202"/>
    <w:rsid w:val="041D42E4"/>
    <w:rsid w:val="048672A8"/>
    <w:rsid w:val="04ED4871"/>
    <w:rsid w:val="050F6813"/>
    <w:rsid w:val="052B42E1"/>
    <w:rsid w:val="05F55C60"/>
    <w:rsid w:val="06110369"/>
    <w:rsid w:val="06352500"/>
    <w:rsid w:val="06B07B82"/>
    <w:rsid w:val="06DB0D6F"/>
    <w:rsid w:val="06F14B78"/>
    <w:rsid w:val="070B2B57"/>
    <w:rsid w:val="07C24D3A"/>
    <w:rsid w:val="07CD02C0"/>
    <w:rsid w:val="08136B24"/>
    <w:rsid w:val="08241527"/>
    <w:rsid w:val="08652D45"/>
    <w:rsid w:val="08A62512"/>
    <w:rsid w:val="08CF54BA"/>
    <w:rsid w:val="09BD40D1"/>
    <w:rsid w:val="09C86F91"/>
    <w:rsid w:val="09D37EE2"/>
    <w:rsid w:val="0A2379CC"/>
    <w:rsid w:val="0A5173C9"/>
    <w:rsid w:val="0A964711"/>
    <w:rsid w:val="0ABF0394"/>
    <w:rsid w:val="0AC84F74"/>
    <w:rsid w:val="0AF32A97"/>
    <w:rsid w:val="0BD57BE1"/>
    <w:rsid w:val="0BF342F2"/>
    <w:rsid w:val="0CBA007B"/>
    <w:rsid w:val="0D3B4591"/>
    <w:rsid w:val="0D6B42BD"/>
    <w:rsid w:val="0DB50DA2"/>
    <w:rsid w:val="0E2F6667"/>
    <w:rsid w:val="0EF065E7"/>
    <w:rsid w:val="0EF94CF1"/>
    <w:rsid w:val="0F437492"/>
    <w:rsid w:val="0F5C5CE0"/>
    <w:rsid w:val="0FD103E7"/>
    <w:rsid w:val="1001273E"/>
    <w:rsid w:val="10151461"/>
    <w:rsid w:val="10545A22"/>
    <w:rsid w:val="109473A2"/>
    <w:rsid w:val="10A83678"/>
    <w:rsid w:val="10AB211B"/>
    <w:rsid w:val="10CD0DA7"/>
    <w:rsid w:val="115A63BA"/>
    <w:rsid w:val="11965BC6"/>
    <w:rsid w:val="120D5E88"/>
    <w:rsid w:val="12470213"/>
    <w:rsid w:val="125910CE"/>
    <w:rsid w:val="126B4006"/>
    <w:rsid w:val="126C17A9"/>
    <w:rsid w:val="128679E9"/>
    <w:rsid w:val="12A04F4F"/>
    <w:rsid w:val="12A85BB1"/>
    <w:rsid w:val="12B94B15"/>
    <w:rsid w:val="1323239B"/>
    <w:rsid w:val="132C691B"/>
    <w:rsid w:val="135D2549"/>
    <w:rsid w:val="137B5074"/>
    <w:rsid w:val="13BB54E9"/>
    <w:rsid w:val="146D2C0E"/>
    <w:rsid w:val="148F6462"/>
    <w:rsid w:val="149463C6"/>
    <w:rsid w:val="14FE0089"/>
    <w:rsid w:val="150E4950"/>
    <w:rsid w:val="151C6194"/>
    <w:rsid w:val="153465DF"/>
    <w:rsid w:val="155023CF"/>
    <w:rsid w:val="15630848"/>
    <w:rsid w:val="157224A6"/>
    <w:rsid w:val="157E3A08"/>
    <w:rsid w:val="15AA73AE"/>
    <w:rsid w:val="15DE3456"/>
    <w:rsid w:val="166242C9"/>
    <w:rsid w:val="16F517A5"/>
    <w:rsid w:val="172024F9"/>
    <w:rsid w:val="1741762B"/>
    <w:rsid w:val="17A74D31"/>
    <w:rsid w:val="17D0090B"/>
    <w:rsid w:val="17FC6F46"/>
    <w:rsid w:val="17FF65A0"/>
    <w:rsid w:val="180D2A13"/>
    <w:rsid w:val="187C371F"/>
    <w:rsid w:val="18945D65"/>
    <w:rsid w:val="18BF29A5"/>
    <w:rsid w:val="1A5463ED"/>
    <w:rsid w:val="1AA11F34"/>
    <w:rsid w:val="1AE942E3"/>
    <w:rsid w:val="1AF21F11"/>
    <w:rsid w:val="1B8D3B96"/>
    <w:rsid w:val="1BBD665B"/>
    <w:rsid w:val="1BC60FEE"/>
    <w:rsid w:val="1C3759C3"/>
    <w:rsid w:val="1C646FED"/>
    <w:rsid w:val="1C6D7E29"/>
    <w:rsid w:val="1C8841FB"/>
    <w:rsid w:val="1C9032BB"/>
    <w:rsid w:val="1D0D0FA0"/>
    <w:rsid w:val="1D470009"/>
    <w:rsid w:val="1D586D83"/>
    <w:rsid w:val="1D9158F6"/>
    <w:rsid w:val="1DAA14AE"/>
    <w:rsid w:val="1DAD0520"/>
    <w:rsid w:val="1DD812A0"/>
    <w:rsid w:val="1DFC1044"/>
    <w:rsid w:val="1E37603B"/>
    <w:rsid w:val="1E6C03DB"/>
    <w:rsid w:val="1E7877DE"/>
    <w:rsid w:val="1E805C34"/>
    <w:rsid w:val="1EBB0803"/>
    <w:rsid w:val="1EC22356"/>
    <w:rsid w:val="1EEC01A0"/>
    <w:rsid w:val="1F021871"/>
    <w:rsid w:val="1F3B0574"/>
    <w:rsid w:val="1FA35104"/>
    <w:rsid w:val="1FCA31C6"/>
    <w:rsid w:val="1FFFBF2B"/>
    <w:rsid w:val="20284750"/>
    <w:rsid w:val="207E631A"/>
    <w:rsid w:val="20B9619D"/>
    <w:rsid w:val="21090163"/>
    <w:rsid w:val="21A70722"/>
    <w:rsid w:val="21D0506B"/>
    <w:rsid w:val="21D32B1D"/>
    <w:rsid w:val="21E32762"/>
    <w:rsid w:val="21F62C0B"/>
    <w:rsid w:val="22272F5F"/>
    <w:rsid w:val="22B83252"/>
    <w:rsid w:val="22E600BF"/>
    <w:rsid w:val="22EE5862"/>
    <w:rsid w:val="2325297C"/>
    <w:rsid w:val="245B6F27"/>
    <w:rsid w:val="249B0159"/>
    <w:rsid w:val="25260FDF"/>
    <w:rsid w:val="257638ED"/>
    <w:rsid w:val="261142D6"/>
    <w:rsid w:val="268566D0"/>
    <w:rsid w:val="26FC7CDF"/>
    <w:rsid w:val="274456D7"/>
    <w:rsid w:val="27871DE1"/>
    <w:rsid w:val="27B6351B"/>
    <w:rsid w:val="27C9309C"/>
    <w:rsid w:val="27DB42BF"/>
    <w:rsid w:val="27DC0AE4"/>
    <w:rsid w:val="281164FE"/>
    <w:rsid w:val="28480559"/>
    <w:rsid w:val="28D210B6"/>
    <w:rsid w:val="291A29A1"/>
    <w:rsid w:val="291B6C7F"/>
    <w:rsid w:val="29350848"/>
    <w:rsid w:val="29492E0C"/>
    <w:rsid w:val="2966195F"/>
    <w:rsid w:val="29792148"/>
    <w:rsid w:val="29F43116"/>
    <w:rsid w:val="2A1769A9"/>
    <w:rsid w:val="2A372A61"/>
    <w:rsid w:val="2A4319D5"/>
    <w:rsid w:val="2A895E70"/>
    <w:rsid w:val="2AD36B76"/>
    <w:rsid w:val="2B560448"/>
    <w:rsid w:val="2B9736E1"/>
    <w:rsid w:val="2BA22AC7"/>
    <w:rsid w:val="2BC95916"/>
    <w:rsid w:val="2BD30826"/>
    <w:rsid w:val="2BFD1859"/>
    <w:rsid w:val="2C4766F9"/>
    <w:rsid w:val="2C6A1833"/>
    <w:rsid w:val="2C9F197B"/>
    <w:rsid w:val="2D0978AA"/>
    <w:rsid w:val="2D821828"/>
    <w:rsid w:val="2DA82EA5"/>
    <w:rsid w:val="2E106489"/>
    <w:rsid w:val="2E8B05DA"/>
    <w:rsid w:val="2F1C6BA3"/>
    <w:rsid w:val="2F3A53B7"/>
    <w:rsid w:val="2F7F6ADC"/>
    <w:rsid w:val="2FE54E46"/>
    <w:rsid w:val="300A1801"/>
    <w:rsid w:val="30297EDA"/>
    <w:rsid w:val="30371526"/>
    <w:rsid w:val="30C34030"/>
    <w:rsid w:val="3131020F"/>
    <w:rsid w:val="317D7D8D"/>
    <w:rsid w:val="31F24B33"/>
    <w:rsid w:val="31F82498"/>
    <w:rsid w:val="326E3F53"/>
    <w:rsid w:val="32790B1D"/>
    <w:rsid w:val="32B60008"/>
    <w:rsid w:val="32D37F5C"/>
    <w:rsid w:val="32FF13C6"/>
    <w:rsid w:val="33137AD9"/>
    <w:rsid w:val="33BE132C"/>
    <w:rsid w:val="33BF56E2"/>
    <w:rsid w:val="344F1ED9"/>
    <w:rsid w:val="34795F5C"/>
    <w:rsid w:val="349F67AD"/>
    <w:rsid w:val="34E63DBA"/>
    <w:rsid w:val="34EB3B2A"/>
    <w:rsid w:val="35E7527E"/>
    <w:rsid w:val="36476633"/>
    <w:rsid w:val="36B56CD6"/>
    <w:rsid w:val="36BF5C50"/>
    <w:rsid w:val="36EB3111"/>
    <w:rsid w:val="370135D7"/>
    <w:rsid w:val="371C57B2"/>
    <w:rsid w:val="374B223F"/>
    <w:rsid w:val="37A02878"/>
    <w:rsid w:val="37D406C2"/>
    <w:rsid w:val="37E963EC"/>
    <w:rsid w:val="38304BA3"/>
    <w:rsid w:val="38343AF6"/>
    <w:rsid w:val="384D1477"/>
    <w:rsid w:val="38555055"/>
    <w:rsid w:val="387B2BB3"/>
    <w:rsid w:val="38AB2CA1"/>
    <w:rsid w:val="38D214FF"/>
    <w:rsid w:val="38F012E0"/>
    <w:rsid w:val="3900331E"/>
    <w:rsid w:val="390844F6"/>
    <w:rsid w:val="390D3658"/>
    <w:rsid w:val="39F4002A"/>
    <w:rsid w:val="3AD41E56"/>
    <w:rsid w:val="3AD9406F"/>
    <w:rsid w:val="3B0D1C2F"/>
    <w:rsid w:val="3B17312B"/>
    <w:rsid w:val="3B311EB0"/>
    <w:rsid w:val="3B9A5DB7"/>
    <w:rsid w:val="3C072A0F"/>
    <w:rsid w:val="3C20641B"/>
    <w:rsid w:val="3C212D8D"/>
    <w:rsid w:val="3C4A6C32"/>
    <w:rsid w:val="3C7641E9"/>
    <w:rsid w:val="3CD61ACB"/>
    <w:rsid w:val="3CE53B02"/>
    <w:rsid w:val="3D346A31"/>
    <w:rsid w:val="3D432D04"/>
    <w:rsid w:val="3D540E65"/>
    <w:rsid w:val="3DC27438"/>
    <w:rsid w:val="3DC6070E"/>
    <w:rsid w:val="3DE60FB3"/>
    <w:rsid w:val="3E02032E"/>
    <w:rsid w:val="3E0F1060"/>
    <w:rsid w:val="3E1727FA"/>
    <w:rsid w:val="3EAA3805"/>
    <w:rsid w:val="3EC86B10"/>
    <w:rsid w:val="3F400D9C"/>
    <w:rsid w:val="3F9976A2"/>
    <w:rsid w:val="40053771"/>
    <w:rsid w:val="401D732F"/>
    <w:rsid w:val="409A1E95"/>
    <w:rsid w:val="40C80843"/>
    <w:rsid w:val="40FE4A6B"/>
    <w:rsid w:val="41092326"/>
    <w:rsid w:val="41516369"/>
    <w:rsid w:val="41565547"/>
    <w:rsid w:val="41C2004A"/>
    <w:rsid w:val="41CE369A"/>
    <w:rsid w:val="42453464"/>
    <w:rsid w:val="426E5962"/>
    <w:rsid w:val="42863658"/>
    <w:rsid w:val="42C52E22"/>
    <w:rsid w:val="433462CE"/>
    <w:rsid w:val="43370708"/>
    <w:rsid w:val="435234BD"/>
    <w:rsid w:val="438B126F"/>
    <w:rsid w:val="43C111A2"/>
    <w:rsid w:val="43DC5C0B"/>
    <w:rsid w:val="44347EAF"/>
    <w:rsid w:val="44A92F3F"/>
    <w:rsid w:val="44CC70BE"/>
    <w:rsid w:val="450E5498"/>
    <w:rsid w:val="452A22D2"/>
    <w:rsid w:val="452E2980"/>
    <w:rsid w:val="45442C68"/>
    <w:rsid w:val="458850C5"/>
    <w:rsid w:val="459443F9"/>
    <w:rsid w:val="45B51A91"/>
    <w:rsid w:val="45DD10D7"/>
    <w:rsid w:val="45EB0256"/>
    <w:rsid w:val="46DE415E"/>
    <w:rsid w:val="46E353C7"/>
    <w:rsid w:val="46F14C34"/>
    <w:rsid w:val="471C5C4A"/>
    <w:rsid w:val="475431C1"/>
    <w:rsid w:val="47A0534D"/>
    <w:rsid w:val="47BC5956"/>
    <w:rsid w:val="4833400F"/>
    <w:rsid w:val="483A0A6A"/>
    <w:rsid w:val="48B22206"/>
    <w:rsid w:val="48BD345D"/>
    <w:rsid w:val="48F66AAE"/>
    <w:rsid w:val="4910358D"/>
    <w:rsid w:val="494859DF"/>
    <w:rsid w:val="49F01F51"/>
    <w:rsid w:val="4A3D7457"/>
    <w:rsid w:val="4A5E7F8F"/>
    <w:rsid w:val="4A925EB3"/>
    <w:rsid w:val="4AA67668"/>
    <w:rsid w:val="4ACC3272"/>
    <w:rsid w:val="4AE17BFC"/>
    <w:rsid w:val="4AF93BB3"/>
    <w:rsid w:val="4B4E184B"/>
    <w:rsid w:val="4BB70EB0"/>
    <w:rsid w:val="4BC87E8A"/>
    <w:rsid w:val="4C070B66"/>
    <w:rsid w:val="4C2F01CE"/>
    <w:rsid w:val="4C43011D"/>
    <w:rsid w:val="4C676463"/>
    <w:rsid w:val="4C915602"/>
    <w:rsid w:val="4CAF7561"/>
    <w:rsid w:val="4CD72668"/>
    <w:rsid w:val="4D2711DB"/>
    <w:rsid w:val="4D5E65D1"/>
    <w:rsid w:val="4D616AAD"/>
    <w:rsid w:val="4D72425A"/>
    <w:rsid w:val="4DCD5EF0"/>
    <w:rsid w:val="4DEF6387"/>
    <w:rsid w:val="4E576D44"/>
    <w:rsid w:val="4E6258E3"/>
    <w:rsid w:val="4EC16C36"/>
    <w:rsid w:val="4F294853"/>
    <w:rsid w:val="4F4076FE"/>
    <w:rsid w:val="4F4E7EFF"/>
    <w:rsid w:val="4F6F4D85"/>
    <w:rsid w:val="4FEE03A0"/>
    <w:rsid w:val="50191524"/>
    <w:rsid w:val="508605D9"/>
    <w:rsid w:val="50DA44E2"/>
    <w:rsid w:val="50FD0E42"/>
    <w:rsid w:val="51B727A0"/>
    <w:rsid w:val="51C413B8"/>
    <w:rsid w:val="51E834F0"/>
    <w:rsid w:val="52781346"/>
    <w:rsid w:val="528D5C4E"/>
    <w:rsid w:val="52B7716F"/>
    <w:rsid w:val="52D12AB5"/>
    <w:rsid w:val="52D46A51"/>
    <w:rsid w:val="52E9577B"/>
    <w:rsid w:val="53274B48"/>
    <w:rsid w:val="537B38B9"/>
    <w:rsid w:val="53B65679"/>
    <w:rsid w:val="53C72283"/>
    <w:rsid w:val="53D05F64"/>
    <w:rsid w:val="53D63625"/>
    <w:rsid w:val="542663BF"/>
    <w:rsid w:val="545A1D22"/>
    <w:rsid w:val="54654913"/>
    <w:rsid w:val="54A87049"/>
    <w:rsid w:val="54C0055D"/>
    <w:rsid w:val="54EC64AE"/>
    <w:rsid w:val="55015040"/>
    <w:rsid w:val="55367074"/>
    <w:rsid w:val="554B1A07"/>
    <w:rsid w:val="55630EE8"/>
    <w:rsid w:val="55A161AD"/>
    <w:rsid w:val="55B131C9"/>
    <w:rsid w:val="55CF28DC"/>
    <w:rsid w:val="55D352B8"/>
    <w:rsid w:val="560162DD"/>
    <w:rsid w:val="565076BF"/>
    <w:rsid w:val="56903F5F"/>
    <w:rsid w:val="56DF660A"/>
    <w:rsid w:val="5761321F"/>
    <w:rsid w:val="57BD0C66"/>
    <w:rsid w:val="58204D4F"/>
    <w:rsid w:val="582D6D32"/>
    <w:rsid w:val="58650BDF"/>
    <w:rsid w:val="58F5279F"/>
    <w:rsid w:val="5983F8D6"/>
    <w:rsid w:val="598632BB"/>
    <w:rsid w:val="598C622E"/>
    <w:rsid w:val="598E335E"/>
    <w:rsid w:val="59EB5A22"/>
    <w:rsid w:val="59F21E1B"/>
    <w:rsid w:val="5A0A5DD6"/>
    <w:rsid w:val="5A34624D"/>
    <w:rsid w:val="5A696437"/>
    <w:rsid w:val="5B140B76"/>
    <w:rsid w:val="5B21162A"/>
    <w:rsid w:val="5B39527F"/>
    <w:rsid w:val="5B521A65"/>
    <w:rsid w:val="5B9927E7"/>
    <w:rsid w:val="5BDF7D12"/>
    <w:rsid w:val="5BE2525D"/>
    <w:rsid w:val="5BE508A9"/>
    <w:rsid w:val="5C2E0F3F"/>
    <w:rsid w:val="5C847886"/>
    <w:rsid w:val="5C9664F6"/>
    <w:rsid w:val="5CDA64FD"/>
    <w:rsid w:val="5D1E4DD5"/>
    <w:rsid w:val="5D314D64"/>
    <w:rsid w:val="5D543F38"/>
    <w:rsid w:val="5DA34A2F"/>
    <w:rsid w:val="5DB26EB1"/>
    <w:rsid w:val="5E03564B"/>
    <w:rsid w:val="5E440500"/>
    <w:rsid w:val="5E7175FE"/>
    <w:rsid w:val="5E9C5622"/>
    <w:rsid w:val="5EA74B33"/>
    <w:rsid w:val="5ED30E8D"/>
    <w:rsid w:val="5F0D7192"/>
    <w:rsid w:val="5F213536"/>
    <w:rsid w:val="5F77638B"/>
    <w:rsid w:val="5FB54A36"/>
    <w:rsid w:val="5FC54B21"/>
    <w:rsid w:val="60C063D2"/>
    <w:rsid w:val="60C92BBC"/>
    <w:rsid w:val="61251748"/>
    <w:rsid w:val="61315B6E"/>
    <w:rsid w:val="61442950"/>
    <w:rsid w:val="61CD0911"/>
    <w:rsid w:val="61E37639"/>
    <w:rsid w:val="61F11F36"/>
    <w:rsid w:val="61F80483"/>
    <w:rsid w:val="620D6DAC"/>
    <w:rsid w:val="623F245F"/>
    <w:rsid w:val="62432CD8"/>
    <w:rsid w:val="626C770B"/>
    <w:rsid w:val="626C7B78"/>
    <w:rsid w:val="62797BE6"/>
    <w:rsid w:val="62A35686"/>
    <w:rsid w:val="62A91A32"/>
    <w:rsid w:val="62E32EC0"/>
    <w:rsid w:val="62F117D2"/>
    <w:rsid w:val="630B5A9F"/>
    <w:rsid w:val="63681E3D"/>
    <w:rsid w:val="637E2B0B"/>
    <w:rsid w:val="639A5679"/>
    <w:rsid w:val="63E30DDE"/>
    <w:rsid w:val="63E65881"/>
    <w:rsid w:val="63E71FC7"/>
    <w:rsid w:val="63FF00B7"/>
    <w:rsid w:val="641D037B"/>
    <w:rsid w:val="64383C38"/>
    <w:rsid w:val="644B1A3D"/>
    <w:rsid w:val="65383304"/>
    <w:rsid w:val="65436640"/>
    <w:rsid w:val="654A277D"/>
    <w:rsid w:val="654D2FA7"/>
    <w:rsid w:val="65593B96"/>
    <w:rsid w:val="65C87244"/>
    <w:rsid w:val="65CC4B28"/>
    <w:rsid w:val="65E725B2"/>
    <w:rsid w:val="65F87903"/>
    <w:rsid w:val="662B6C73"/>
    <w:rsid w:val="665B01D8"/>
    <w:rsid w:val="669047B5"/>
    <w:rsid w:val="66CD4802"/>
    <w:rsid w:val="66D6319D"/>
    <w:rsid w:val="67637942"/>
    <w:rsid w:val="67FD4085"/>
    <w:rsid w:val="683A7542"/>
    <w:rsid w:val="68502514"/>
    <w:rsid w:val="689C1091"/>
    <w:rsid w:val="68AC5E38"/>
    <w:rsid w:val="694A0126"/>
    <w:rsid w:val="695C649E"/>
    <w:rsid w:val="699F1278"/>
    <w:rsid w:val="69C7527F"/>
    <w:rsid w:val="6A6908F7"/>
    <w:rsid w:val="6A960799"/>
    <w:rsid w:val="6AA732A6"/>
    <w:rsid w:val="6ACA7667"/>
    <w:rsid w:val="6B17728B"/>
    <w:rsid w:val="6B1D354E"/>
    <w:rsid w:val="6B92539A"/>
    <w:rsid w:val="6BCF41C4"/>
    <w:rsid w:val="6BD31197"/>
    <w:rsid w:val="6BDD77EF"/>
    <w:rsid w:val="6C3275AF"/>
    <w:rsid w:val="6C3B4A4B"/>
    <w:rsid w:val="6C435F41"/>
    <w:rsid w:val="6C532A59"/>
    <w:rsid w:val="6C636246"/>
    <w:rsid w:val="6C6720D6"/>
    <w:rsid w:val="6C733CAF"/>
    <w:rsid w:val="6CEB04C6"/>
    <w:rsid w:val="6D205BE5"/>
    <w:rsid w:val="6DAD55AC"/>
    <w:rsid w:val="6DB619D9"/>
    <w:rsid w:val="6E217BB5"/>
    <w:rsid w:val="6E5813AF"/>
    <w:rsid w:val="6E6A2423"/>
    <w:rsid w:val="6E9D2E7A"/>
    <w:rsid w:val="6E9D5809"/>
    <w:rsid w:val="6EFD2D54"/>
    <w:rsid w:val="6F0D03EB"/>
    <w:rsid w:val="6F6C3363"/>
    <w:rsid w:val="6F804A91"/>
    <w:rsid w:val="6FCE7B7A"/>
    <w:rsid w:val="6FD20CED"/>
    <w:rsid w:val="6FE773E1"/>
    <w:rsid w:val="6FEB3AD6"/>
    <w:rsid w:val="6FEF1D69"/>
    <w:rsid w:val="6FFD6078"/>
    <w:rsid w:val="702746E5"/>
    <w:rsid w:val="707B7F92"/>
    <w:rsid w:val="70FE5B86"/>
    <w:rsid w:val="71156528"/>
    <w:rsid w:val="7138265A"/>
    <w:rsid w:val="713E63D0"/>
    <w:rsid w:val="716F713B"/>
    <w:rsid w:val="71F0056A"/>
    <w:rsid w:val="71FC02A3"/>
    <w:rsid w:val="720E61DC"/>
    <w:rsid w:val="72474499"/>
    <w:rsid w:val="72E254FD"/>
    <w:rsid w:val="73D96C62"/>
    <w:rsid w:val="740A5EBF"/>
    <w:rsid w:val="742325E0"/>
    <w:rsid w:val="74A0585D"/>
    <w:rsid w:val="74AE7E81"/>
    <w:rsid w:val="74BD48CA"/>
    <w:rsid w:val="75116A04"/>
    <w:rsid w:val="7530273D"/>
    <w:rsid w:val="75565B94"/>
    <w:rsid w:val="75797C0B"/>
    <w:rsid w:val="75E26420"/>
    <w:rsid w:val="75E33C54"/>
    <w:rsid w:val="75EF4A12"/>
    <w:rsid w:val="760360A4"/>
    <w:rsid w:val="76233429"/>
    <w:rsid w:val="76255B63"/>
    <w:rsid w:val="76CABADF"/>
    <w:rsid w:val="772D3A8A"/>
    <w:rsid w:val="7737091C"/>
    <w:rsid w:val="778B4529"/>
    <w:rsid w:val="779C40BA"/>
    <w:rsid w:val="786F26CC"/>
    <w:rsid w:val="788039DC"/>
    <w:rsid w:val="78B669B9"/>
    <w:rsid w:val="78CB4368"/>
    <w:rsid w:val="78EC49F4"/>
    <w:rsid w:val="78FF067A"/>
    <w:rsid w:val="795054F6"/>
    <w:rsid w:val="798F24A1"/>
    <w:rsid w:val="799C3946"/>
    <w:rsid w:val="79A60BD9"/>
    <w:rsid w:val="79FE52CF"/>
    <w:rsid w:val="7A1062A7"/>
    <w:rsid w:val="7A462FDC"/>
    <w:rsid w:val="7A574C10"/>
    <w:rsid w:val="7B186E89"/>
    <w:rsid w:val="7B222219"/>
    <w:rsid w:val="7B242D44"/>
    <w:rsid w:val="7B2E6D2B"/>
    <w:rsid w:val="7BCE2F61"/>
    <w:rsid w:val="7BDC200B"/>
    <w:rsid w:val="7BF37A92"/>
    <w:rsid w:val="7C2D7ABE"/>
    <w:rsid w:val="7C3F1A84"/>
    <w:rsid w:val="7D0338A2"/>
    <w:rsid w:val="7D867658"/>
    <w:rsid w:val="7D9A72BB"/>
    <w:rsid w:val="7E062BD5"/>
    <w:rsid w:val="7E355268"/>
    <w:rsid w:val="7E3F7E95"/>
    <w:rsid w:val="7E4B6E7F"/>
    <w:rsid w:val="7ECB1729"/>
    <w:rsid w:val="7ED607B6"/>
    <w:rsid w:val="7EDE0F2F"/>
    <w:rsid w:val="7EE245BD"/>
    <w:rsid w:val="7F1D1CE5"/>
    <w:rsid w:val="7FA96D4C"/>
    <w:rsid w:val="7FC70040"/>
    <w:rsid w:val="7FCC09B1"/>
    <w:rsid w:val="7FE4647F"/>
    <w:rsid w:val="7FF8D783"/>
    <w:rsid w:val="7FFF3D69"/>
    <w:rsid w:val="935F7864"/>
    <w:rsid w:val="97FF45FC"/>
    <w:rsid w:val="9FECD5CA"/>
    <w:rsid w:val="AAD7422E"/>
    <w:rsid w:val="AF655288"/>
    <w:rsid w:val="BFFB14B6"/>
    <w:rsid w:val="C67F7553"/>
    <w:rsid w:val="CBB9E90D"/>
    <w:rsid w:val="CFBCC0E9"/>
    <w:rsid w:val="D1DDFCDA"/>
    <w:rsid w:val="D6DDA3F7"/>
    <w:rsid w:val="D7FCCDAC"/>
    <w:rsid w:val="DFBBAECA"/>
    <w:rsid w:val="EBEF607E"/>
    <w:rsid w:val="EFDE1C8D"/>
    <w:rsid w:val="EFEF8237"/>
    <w:rsid w:val="F1DF7A8B"/>
    <w:rsid w:val="F5ED3054"/>
    <w:rsid w:val="F97A22B2"/>
    <w:rsid w:val="FDFB0D41"/>
    <w:rsid w:val="FEF4A702"/>
    <w:rsid w:val="FFACFDB1"/>
    <w:rsid w:val="FFFFE44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1" w:name="heading 5"/>
    <w:lsdException w:qFormat="1" w:uiPriority="0" w:name="heading 6"/>
    <w:lsdException w:qFormat="1" w:unhideWhenUsed="0" w:uiPriority="1" w:semiHidden="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1" w:semiHidden="0" w:name="toc 3"/>
    <w:lsdException w:qFormat="1" w:unhideWhenUsed="0" w:uiPriority="1"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6"/>
    <w:qFormat/>
    <w:uiPriority w:val="0"/>
    <w:pPr>
      <w:keepNext/>
      <w:keepLines/>
      <w:spacing w:before="260" w:after="260" w:line="415" w:lineRule="auto"/>
      <w:outlineLvl w:val="1"/>
    </w:pPr>
    <w:rPr>
      <w:rFonts w:ascii="Arial" w:hAnsi="Arial" w:eastAsia="黑体"/>
      <w:b/>
      <w:bCs/>
      <w:kern w:val="0"/>
      <w:sz w:val="32"/>
      <w:szCs w:val="32"/>
    </w:rPr>
  </w:style>
  <w:style w:type="paragraph" w:styleId="2">
    <w:name w:val="heading 3"/>
    <w:basedOn w:val="1"/>
    <w:next w:val="1"/>
    <w:qFormat/>
    <w:uiPriority w:val="0"/>
    <w:pPr>
      <w:keepNext/>
      <w:keepLines/>
      <w:spacing w:before="120" w:after="120"/>
      <w:outlineLvl w:val="2"/>
    </w:pPr>
    <w:rPr>
      <w:b/>
      <w:bCs/>
      <w:sz w:val="21"/>
      <w:szCs w:val="32"/>
    </w:rPr>
  </w:style>
  <w:style w:type="paragraph" w:styleId="5">
    <w:name w:val="heading 4"/>
    <w:basedOn w:val="1"/>
    <w:next w:val="1"/>
    <w:qFormat/>
    <w:uiPriority w:val="0"/>
    <w:pPr>
      <w:keepNext/>
      <w:keepLines/>
      <w:spacing w:before="280" w:after="290" w:line="372" w:lineRule="auto"/>
      <w:outlineLvl w:val="3"/>
    </w:pPr>
    <w:rPr>
      <w:rFonts w:ascii="Cambria" w:hAnsi="Cambria"/>
      <w:b/>
      <w:bCs/>
      <w:sz w:val="28"/>
      <w:szCs w:val="28"/>
    </w:rPr>
  </w:style>
  <w:style w:type="paragraph" w:styleId="6">
    <w:name w:val="heading 7"/>
    <w:basedOn w:val="1"/>
    <w:next w:val="1"/>
    <w:qFormat/>
    <w:uiPriority w:val="1"/>
    <w:pPr>
      <w:ind w:left="398"/>
      <w:outlineLvl w:val="6"/>
    </w:pPr>
    <w:rPr>
      <w:rFonts w:ascii="宋体" w:hAnsi="宋体" w:eastAsia="宋体" w:cs="宋体"/>
      <w:b/>
      <w:bCs/>
      <w:sz w:val="21"/>
      <w:szCs w:val="21"/>
      <w:lang w:val="zh-CN" w:eastAsia="zh-CN" w:bidi="zh-CN"/>
    </w:rPr>
  </w:style>
  <w:style w:type="paragraph" w:styleId="7">
    <w:name w:val="heading 8"/>
    <w:basedOn w:val="1"/>
    <w:next w:val="1"/>
    <w:qFormat/>
    <w:uiPriority w:val="1"/>
    <w:pPr>
      <w:outlineLvl w:val="7"/>
    </w:pPr>
    <w:rPr>
      <w:rFonts w:ascii="宋体" w:hAnsi="宋体" w:eastAsia="宋体" w:cs="宋体"/>
      <w:b/>
      <w:bCs/>
      <w:sz w:val="24"/>
      <w:szCs w:val="24"/>
      <w:lang w:val="zh-CN" w:eastAsia="zh-CN" w:bidi="zh-CN"/>
    </w:rPr>
  </w:style>
  <w:style w:type="character" w:default="1" w:styleId="23">
    <w:name w:val="Default Paragraph Font"/>
    <w:semiHidden/>
    <w:qFormat/>
    <w:uiPriority w:val="0"/>
  </w:style>
  <w:style w:type="table" w:default="1" w:styleId="21">
    <w:name w:val="Normal Table"/>
    <w:semiHidden/>
    <w:qFormat/>
    <w:uiPriority w:val="0"/>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styleId="8">
    <w:name w:val="Normal Indent"/>
    <w:basedOn w:val="1"/>
    <w:next w:val="1"/>
    <w:qFormat/>
    <w:uiPriority w:val="0"/>
    <w:pPr>
      <w:ind w:firstLine="420" w:firstLineChars="200"/>
    </w:pPr>
  </w:style>
  <w:style w:type="paragraph" w:styleId="9">
    <w:name w:val="Body Text"/>
    <w:basedOn w:val="1"/>
    <w:next w:val="1"/>
    <w:qFormat/>
    <w:uiPriority w:val="0"/>
    <w:pPr>
      <w:spacing w:line="360" w:lineRule="auto"/>
    </w:pPr>
  </w:style>
  <w:style w:type="paragraph" w:styleId="10">
    <w:name w:val="Body Text Indent"/>
    <w:basedOn w:val="1"/>
    <w:qFormat/>
    <w:uiPriority w:val="0"/>
    <w:pPr>
      <w:ind w:firstLine="730" w:firstLineChars="228"/>
    </w:pPr>
    <w:rPr>
      <w:rFonts w:ascii="仿宋_GB2312" w:eastAsia="仿宋_GB2312"/>
      <w:sz w:val="32"/>
    </w:rPr>
  </w:style>
  <w:style w:type="paragraph" w:styleId="11">
    <w:name w:val="toc 3"/>
    <w:basedOn w:val="1"/>
    <w:next w:val="1"/>
    <w:qFormat/>
    <w:uiPriority w:val="1"/>
    <w:pPr>
      <w:spacing w:before="230"/>
      <w:ind w:left="520"/>
    </w:pPr>
    <w:rPr>
      <w:rFonts w:ascii="宋体" w:hAnsi="宋体" w:eastAsia="宋体" w:cs="宋体"/>
      <w:sz w:val="21"/>
      <w:szCs w:val="21"/>
      <w:lang w:val="zh-CN" w:eastAsia="zh-CN" w:bidi="zh-CN"/>
    </w:rPr>
  </w:style>
  <w:style w:type="paragraph" w:styleId="12">
    <w:name w:val="Date"/>
    <w:basedOn w:val="1"/>
    <w:next w:val="1"/>
    <w:qFormat/>
    <w:uiPriority w:val="0"/>
    <w:pPr>
      <w:ind w:left="100" w:leftChars="2500"/>
    </w:pPr>
  </w:style>
  <w:style w:type="paragraph" w:styleId="13">
    <w:name w:val="Balloon Text"/>
    <w:basedOn w:val="1"/>
    <w:link w:val="27"/>
    <w:qFormat/>
    <w:uiPriority w:val="0"/>
    <w:rPr>
      <w:sz w:val="18"/>
      <w:szCs w:val="18"/>
    </w:rPr>
  </w:style>
  <w:style w:type="paragraph" w:styleId="14">
    <w:name w:val="footer"/>
    <w:basedOn w:val="1"/>
    <w:link w:val="28"/>
    <w:qFormat/>
    <w:uiPriority w:val="0"/>
    <w:pPr>
      <w:tabs>
        <w:tab w:val="center" w:pos="4153"/>
        <w:tab w:val="right" w:pos="8306"/>
      </w:tabs>
      <w:snapToGrid w:val="0"/>
      <w:jc w:val="left"/>
    </w:pPr>
    <w:rPr>
      <w:sz w:val="18"/>
      <w:szCs w:val="18"/>
    </w:rPr>
  </w:style>
  <w:style w:type="paragraph" w:styleId="15">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rPr>
      <w:rFonts w:ascii="Calibri" w:hAnsi="Calibri" w:eastAsia="宋体" w:cs="Times New Roman"/>
    </w:rPr>
  </w:style>
  <w:style w:type="paragraph" w:styleId="17">
    <w:name w:val="toc 4"/>
    <w:basedOn w:val="1"/>
    <w:next w:val="1"/>
    <w:qFormat/>
    <w:uiPriority w:val="1"/>
    <w:pPr>
      <w:spacing w:before="278"/>
      <w:ind w:left="940"/>
    </w:pPr>
    <w:rPr>
      <w:rFonts w:ascii="宋体" w:hAnsi="宋体" w:eastAsia="宋体" w:cs="宋体"/>
      <w:sz w:val="21"/>
      <w:szCs w:val="21"/>
      <w:lang w:val="zh-CN" w:eastAsia="zh-CN" w:bidi="zh-CN"/>
    </w:rPr>
  </w:style>
  <w:style w:type="paragraph" w:styleId="18">
    <w:name w:val="toc 2"/>
    <w:basedOn w:val="1"/>
    <w:next w:val="1"/>
    <w:qFormat/>
    <w:uiPriority w:val="39"/>
    <w:pPr>
      <w:spacing w:before="290"/>
      <w:ind w:right="245"/>
      <w:jc w:val="right"/>
    </w:pPr>
    <w:rPr>
      <w:rFonts w:ascii="宋体" w:hAnsi="宋体" w:eastAsia="宋体" w:cs="宋体"/>
      <w:sz w:val="21"/>
      <w:szCs w:val="21"/>
      <w:lang w:val="zh-CN" w:eastAsia="zh-CN" w:bidi="zh-CN"/>
    </w:rPr>
  </w:style>
  <w:style w:type="paragraph" w:styleId="1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0">
    <w:name w:val="Title"/>
    <w:basedOn w:val="3"/>
    <w:next w:val="1"/>
    <w:qFormat/>
    <w:uiPriority w:val="0"/>
    <w:pPr>
      <w:spacing w:before="50" w:beforeLines="50" w:after="0" w:line="360" w:lineRule="auto"/>
      <w:ind w:firstLine="0" w:firstLineChars="0"/>
      <w:jc w:val="center"/>
    </w:pPr>
    <w:rPr>
      <w:rFonts w:ascii="Cambria" w:hAnsi="Cambria" w:eastAsia="黑体"/>
      <w:b w:val="0"/>
      <w:bCs w:val="0"/>
      <w:sz w:val="36"/>
      <w:szCs w:val="32"/>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Hyperlink"/>
    <w:basedOn w:val="23"/>
    <w:unhideWhenUsed/>
    <w:qFormat/>
    <w:uiPriority w:val="99"/>
    <w:rPr>
      <w:color w:val="0563C1"/>
      <w:u w:val="single"/>
    </w:rPr>
  </w:style>
  <w:style w:type="character" w:customStyle="1" w:styleId="26">
    <w:name w:val="标题 2 Char"/>
    <w:link w:val="4"/>
    <w:qFormat/>
    <w:uiPriority w:val="0"/>
    <w:rPr>
      <w:rFonts w:ascii="Arial" w:hAnsi="Arial" w:eastAsia="黑体"/>
      <w:b/>
      <w:bCs/>
      <w:sz w:val="32"/>
      <w:szCs w:val="32"/>
    </w:rPr>
  </w:style>
  <w:style w:type="character" w:customStyle="1" w:styleId="27">
    <w:name w:val="批注框文本 Char"/>
    <w:link w:val="13"/>
    <w:qFormat/>
    <w:uiPriority w:val="0"/>
    <w:rPr>
      <w:kern w:val="2"/>
      <w:sz w:val="18"/>
      <w:szCs w:val="18"/>
    </w:rPr>
  </w:style>
  <w:style w:type="character" w:customStyle="1" w:styleId="28">
    <w:name w:val="页脚 Char"/>
    <w:link w:val="14"/>
    <w:qFormat/>
    <w:uiPriority w:val="0"/>
    <w:rPr>
      <w:kern w:val="2"/>
      <w:sz w:val="18"/>
      <w:szCs w:val="18"/>
    </w:rPr>
  </w:style>
  <w:style w:type="character" w:customStyle="1" w:styleId="29">
    <w:name w:val="页眉 Char"/>
    <w:link w:val="15"/>
    <w:qFormat/>
    <w:uiPriority w:val="0"/>
    <w:rPr>
      <w:kern w:val="2"/>
      <w:sz w:val="18"/>
      <w:szCs w:val="18"/>
    </w:rPr>
  </w:style>
  <w:style w:type="paragraph" w:styleId="30">
    <w:name w:val="List Paragraph"/>
    <w:basedOn w:val="1"/>
    <w:qFormat/>
    <w:uiPriority w:val="1"/>
    <w:pPr>
      <w:spacing w:before="110"/>
      <w:ind w:left="248" w:firstLine="427"/>
    </w:pPr>
    <w:rPr>
      <w:rFonts w:ascii="宋体" w:hAnsi="宋体" w:eastAsia="宋体" w:cs="宋体"/>
      <w:lang w:val="zh-CN" w:eastAsia="zh-CN" w:bidi="zh-CN"/>
    </w:rPr>
  </w:style>
  <w:style w:type="paragraph" w:customStyle="1" w:styleId="31">
    <w:name w:val="Table Paragraph"/>
    <w:basedOn w:val="1"/>
    <w:qFormat/>
    <w:uiPriority w:val="1"/>
    <w:rPr>
      <w:rFonts w:ascii="宋体" w:hAnsi="宋体" w:eastAsia="宋体" w:cs="宋体"/>
      <w:lang w:val="zh-CN" w:eastAsia="zh-CN" w:bidi="zh-CN"/>
    </w:rPr>
  </w:style>
  <w:style w:type="paragraph" w:customStyle="1" w:styleId="32">
    <w:name w:val="目录1"/>
    <w:basedOn w:val="1"/>
    <w:qFormat/>
    <w:uiPriority w:val="0"/>
    <w:rPr>
      <w:rFonts w:ascii="黑体" w:hAnsi="Calibri" w:eastAsia="黑体" w:cs="Times New Roman"/>
      <w:sz w:val="52"/>
      <w:szCs w:val="52"/>
    </w:rPr>
  </w:style>
  <w:style w:type="paragraph" w:customStyle="1" w:styleId="33">
    <w:name w:val="List Paragraph1"/>
    <w:basedOn w:val="1"/>
    <w:qFormat/>
    <w:uiPriority w:val="0"/>
    <w:pPr>
      <w:keepNext w:val="0"/>
      <w:keepLines w:val="0"/>
      <w:widowControl w:val="0"/>
      <w:suppressLineNumbers w:val="0"/>
      <w:autoSpaceDE w:val="0"/>
      <w:autoSpaceDN w:val="0"/>
      <w:spacing w:before="0" w:beforeAutospacing="0" w:after="0" w:afterAutospacing="0"/>
      <w:ind w:left="657" w:right="0" w:hanging="602"/>
      <w:jc w:val="left"/>
    </w:pPr>
    <w:rPr>
      <w:rFonts w:hint="eastAsia" w:ascii="宋体" w:hAnsi="宋体" w:eastAsia="宋体" w:cs="宋体"/>
      <w:kern w:val="0"/>
      <w:sz w:val="22"/>
      <w:szCs w:val="22"/>
      <w:lang w:val="en-US" w:eastAsia="zh-CN" w:bidi="ar"/>
    </w:rPr>
  </w:style>
  <w:style w:type="paragraph" w:customStyle="1" w:styleId="34">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4"/>
      <w:lang w:val="en-US" w:eastAsia="zh-CN" w:bidi="ar"/>
    </w:rPr>
  </w:style>
  <w:style w:type="paragraph" w:customStyle="1" w:styleId="35">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35</Pages>
  <Words>7831</Words>
  <Characters>8520</Characters>
  <Lines>48</Lines>
  <Paragraphs>13</Paragraphs>
  <TotalTime>6</TotalTime>
  <ScaleCrop>false</ScaleCrop>
  <LinksUpToDate>false</LinksUpToDate>
  <CharactersWithSpaces>9059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2023-03-06T05:19:00Z</dcterms:created>
  <dc:creator>user</dc:creator>
  <cp:lastModifiedBy>哄哄</cp:lastModifiedBy>
  <cp:lastPrinted>2026-09-21T01:07:00Z</cp:lastPrinted>
  <dcterms:modified xsi:type="dcterms:W3CDTF">2026-09-30T01:04:11Z</dcterms:modified>
  <dc:title>关于谢洁雯家庭困难补助的请示</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65DF2023EA274A0A886CF44BEC9D0F13_13</vt:lpwstr>
  </property>
  <property fmtid="{D5CDD505-2E9C-101B-9397-08002B2CF9AE}" pid="4" name="KSOTemplateDocerSaveRecord">
    <vt:lpwstr>eyJoZGlkIjoiZmM1MzNkNjdiYzA2ZTYzOWUzYjg5NzlmYzg0MjU4M2YiLCJ1c2VySWQiOiIxNzUyNTk4MzA3In0=</vt:lpwstr>
  </property>
</Properties>
</file>