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7235">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rFonts w:hint="eastAsia" w:ascii="黑体" w:hAnsi="宋体" w:eastAsia="黑体" w:cs="黑体"/>
          <w:kern w:val="0"/>
          <w:sz w:val="36"/>
          <w:szCs w:val="36"/>
          <w:highlight w:val="none"/>
          <w:lang w:val="en-US" w:eastAsia="zh-CN" w:bidi="ar"/>
        </w:rPr>
      </w:pPr>
      <w:r>
        <w:rPr>
          <w:rFonts w:hint="eastAsia" w:ascii="黑体" w:hAnsi="宋体" w:eastAsia="黑体" w:cs="黑体"/>
          <w:kern w:val="0"/>
          <w:sz w:val="36"/>
          <w:szCs w:val="36"/>
          <w:highlight w:val="none"/>
          <w:lang w:val="en-US" w:eastAsia="zh-CN" w:bidi="ar"/>
        </w:rPr>
        <w:t>赣州交控高速服务区新能源项目工程（低压、土建部分）</w:t>
      </w:r>
    </w:p>
    <w:p w14:paraId="693DCC0D">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highlight w:val="none"/>
        </w:rPr>
      </w:pPr>
      <w:r>
        <w:rPr>
          <w:rFonts w:hint="eastAsia" w:ascii="黑体" w:hAnsi="宋体" w:eastAsia="黑体" w:cs="黑体"/>
          <w:kern w:val="0"/>
          <w:sz w:val="36"/>
          <w:szCs w:val="36"/>
          <w:highlight w:val="none"/>
          <w:lang w:val="en-US" w:eastAsia="zh-CN" w:bidi="ar"/>
        </w:rPr>
        <w:t>第二次施工招标关键内容公开</w:t>
      </w:r>
    </w:p>
    <w:p w14:paraId="1F662B16">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根据《公路工程建设项目招标投标管理办法》的规定，现对赣州交控高速服务区新能源项目工程（低压、土建部分）</w:t>
      </w:r>
      <w:r>
        <w:rPr>
          <w:rFonts w:hint="eastAsia" w:ascii="宋体" w:hAnsi="宋体" w:eastAsia="宋体" w:cs="宋体"/>
          <w:sz w:val="24"/>
          <w:szCs w:val="24"/>
          <w:highlight w:val="none"/>
          <w:lang w:val="en-US" w:eastAsia="zh-CN"/>
        </w:rPr>
        <w:t>第二次</w:t>
      </w:r>
      <w:r>
        <w:rPr>
          <w:rFonts w:hint="eastAsia" w:ascii="宋体" w:hAnsi="宋体" w:eastAsia="宋体" w:cs="宋体"/>
          <w:sz w:val="24"/>
          <w:szCs w:val="24"/>
          <w:highlight w:val="none"/>
        </w:rPr>
        <w:t>施工招标招标文件中的关键内容进行公开：</w:t>
      </w:r>
    </w:p>
    <w:p w14:paraId="0A95D72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一、项目概况</w:t>
      </w:r>
    </w:p>
    <w:p w14:paraId="4ADE3DD5">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详见赣州交控高速服务区新能源项目工程（低压、土建部分）</w:t>
      </w:r>
      <w:r>
        <w:rPr>
          <w:rFonts w:hint="eastAsia" w:ascii="宋体" w:hAnsi="宋体" w:eastAsia="宋体" w:cs="宋体"/>
          <w:sz w:val="24"/>
          <w:szCs w:val="24"/>
          <w:highlight w:val="none"/>
          <w:lang w:val="en-US" w:eastAsia="zh-CN"/>
        </w:rPr>
        <w:t>第二次</w:t>
      </w:r>
      <w:r>
        <w:rPr>
          <w:rFonts w:hint="eastAsia" w:ascii="宋体" w:hAnsi="宋体" w:eastAsia="宋体" w:cs="宋体"/>
          <w:sz w:val="24"/>
          <w:szCs w:val="24"/>
          <w:highlight w:val="none"/>
        </w:rPr>
        <w:t>施工招标公告。</w:t>
      </w:r>
    </w:p>
    <w:p w14:paraId="408B15C4">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二、投标人资格要求</w:t>
      </w:r>
    </w:p>
    <w:p w14:paraId="215730CE">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详见赣州交控高速服务区新能源项目工程（低压、土建部分）</w:t>
      </w:r>
      <w:r>
        <w:rPr>
          <w:rFonts w:hint="eastAsia" w:ascii="宋体" w:hAnsi="宋体" w:eastAsia="宋体" w:cs="宋体"/>
          <w:sz w:val="24"/>
          <w:szCs w:val="24"/>
          <w:highlight w:val="none"/>
          <w:lang w:val="en-US" w:eastAsia="zh-CN"/>
        </w:rPr>
        <w:t>第二次</w:t>
      </w:r>
      <w:r>
        <w:rPr>
          <w:rFonts w:hint="eastAsia" w:ascii="宋体" w:hAnsi="宋体" w:eastAsia="宋体" w:cs="宋体"/>
          <w:sz w:val="24"/>
          <w:szCs w:val="24"/>
          <w:highlight w:val="none"/>
        </w:rPr>
        <w:t>施工招标公告。</w:t>
      </w:r>
    </w:p>
    <w:p w14:paraId="2A2C03FC">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三、评标办法</w:t>
      </w:r>
    </w:p>
    <w:p w14:paraId="75E96C4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本次招标采用</w:t>
      </w:r>
      <w:r>
        <w:rPr>
          <w:rFonts w:hint="eastAsia" w:hAnsi="宋体" w:eastAsia="宋体" w:cs="宋体"/>
          <w:color w:val="000000"/>
          <w:spacing w:val="0"/>
          <w:sz w:val="24"/>
          <w:szCs w:val="24"/>
          <w:highlight w:val="none"/>
          <w:lang w:val="en-US" w:eastAsia="zh-CN"/>
        </w:rPr>
        <w:t>合理低价价法（详见附件）</w:t>
      </w:r>
      <w:r>
        <w:rPr>
          <w:rFonts w:hint="eastAsia" w:ascii="宋体" w:hAnsi="宋体" w:eastAsia="宋体" w:cs="宋体"/>
          <w:sz w:val="24"/>
          <w:szCs w:val="24"/>
          <w:highlight w:val="none"/>
        </w:rPr>
        <w:t>。</w:t>
      </w:r>
    </w:p>
    <w:p w14:paraId="33DA6C1A">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四、联系方式</w:t>
      </w:r>
    </w:p>
    <w:p w14:paraId="7AB78D28">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bookmarkStart w:id="0" w:name="_Toc6877"/>
      <w:bookmarkStart w:id="1" w:name="_Toc18027"/>
      <w:bookmarkStart w:id="2" w:name="_Toc1029"/>
      <w:bookmarkStart w:id="3" w:name="_Toc16566"/>
      <w:r>
        <w:rPr>
          <w:rFonts w:hint="eastAsia" w:ascii="宋体" w:hAnsi="宋体" w:eastAsia="宋体" w:cs="宋体"/>
          <w:color w:val="000000"/>
          <w:spacing w:val="0"/>
          <w:sz w:val="24"/>
          <w:szCs w:val="24"/>
          <w:highlight w:val="none"/>
        </w:rPr>
        <w:t>招 标人：</w:t>
      </w:r>
      <w:r>
        <w:rPr>
          <w:rFonts w:hint="eastAsia" w:ascii="宋体" w:hAnsi="宋体" w:eastAsia="宋体" w:cs="宋体"/>
          <w:color w:val="000000"/>
          <w:spacing w:val="0"/>
          <w:sz w:val="24"/>
          <w:szCs w:val="24"/>
          <w:highlight w:val="none"/>
          <w:lang w:eastAsia="zh-CN"/>
        </w:rPr>
        <w:t>赣州交控数智能源有限责任公司</w:t>
      </w:r>
      <w:r>
        <w:rPr>
          <w:rFonts w:hint="eastAsia" w:ascii="宋体" w:hAnsi="宋体" w:eastAsia="宋体" w:cs="宋体"/>
          <w:color w:val="000000"/>
          <w:spacing w:val="0"/>
          <w:sz w:val="24"/>
          <w:szCs w:val="24"/>
          <w:highlight w:val="none"/>
        </w:rPr>
        <w:t xml:space="preserve">          </w:t>
      </w:r>
    </w:p>
    <w:p w14:paraId="4A3F5F33">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w:t>
      </w:r>
      <w:r>
        <w:rPr>
          <w:rFonts w:hint="eastAsia" w:ascii="宋体" w:hAnsi="宋体" w:eastAsia="宋体" w:cs="宋体"/>
          <w:color w:val="000000"/>
          <w:spacing w:val="0"/>
          <w:sz w:val="24"/>
          <w:szCs w:val="24"/>
          <w:highlight w:val="none"/>
          <w:lang w:eastAsia="zh-CN"/>
        </w:rPr>
        <w:t>江西省赣州市章贡区沙河镇赣州绕城高速赣州东出口右侧办公楼三层</w:t>
      </w:r>
      <w:r>
        <w:rPr>
          <w:rFonts w:hint="eastAsia" w:ascii="宋体" w:hAnsi="宋体" w:eastAsia="宋体" w:cs="宋体"/>
          <w:color w:val="000000"/>
          <w:spacing w:val="0"/>
          <w:sz w:val="24"/>
          <w:szCs w:val="24"/>
          <w:highlight w:val="none"/>
        </w:rPr>
        <w:t xml:space="preserve">   </w:t>
      </w:r>
    </w:p>
    <w:p w14:paraId="0E145F67">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联 系人：</w:t>
      </w:r>
      <w:r>
        <w:rPr>
          <w:rFonts w:hint="eastAsia" w:ascii="宋体" w:hAnsi="宋体" w:eastAsia="宋体" w:cs="宋体"/>
          <w:color w:val="000000"/>
          <w:spacing w:val="0"/>
          <w:sz w:val="24"/>
          <w:szCs w:val="24"/>
          <w:highlight w:val="none"/>
          <w:lang w:val="en-US" w:eastAsia="zh-CN"/>
        </w:rPr>
        <w:t>温先生</w:t>
      </w:r>
      <w:r>
        <w:rPr>
          <w:rFonts w:hint="eastAsia" w:ascii="宋体" w:hAnsi="宋体" w:eastAsia="宋体" w:cs="宋体"/>
          <w:color w:val="000000"/>
          <w:spacing w:val="0"/>
          <w:sz w:val="24"/>
          <w:szCs w:val="24"/>
          <w:highlight w:val="none"/>
        </w:rPr>
        <w:t xml:space="preserve">                  </w:t>
      </w:r>
    </w:p>
    <w:p w14:paraId="35D0B75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电   话：</w:t>
      </w:r>
      <w:r>
        <w:rPr>
          <w:rFonts w:hint="eastAsia" w:ascii="宋体" w:hAnsi="宋体" w:eastAsia="宋体" w:cs="宋体"/>
          <w:color w:val="000000"/>
          <w:spacing w:val="0"/>
          <w:sz w:val="24"/>
          <w:szCs w:val="24"/>
          <w:highlight w:val="none"/>
          <w:lang w:eastAsia="zh-CN"/>
        </w:rPr>
        <w:t>0797-</w:t>
      </w:r>
      <w:r>
        <w:rPr>
          <w:rFonts w:hint="eastAsia" w:ascii="宋体" w:hAnsi="宋体" w:eastAsia="宋体" w:cs="宋体"/>
          <w:color w:val="000000"/>
          <w:spacing w:val="0"/>
          <w:sz w:val="24"/>
          <w:szCs w:val="24"/>
          <w:highlight w:val="none"/>
          <w:lang w:val="en-US" w:eastAsia="zh-CN"/>
        </w:rPr>
        <w:t>5021032</w:t>
      </w:r>
    </w:p>
    <w:p w14:paraId="0F900E52">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邮   编：341000</w:t>
      </w:r>
    </w:p>
    <w:p w14:paraId="6710CD4C">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            </w:t>
      </w:r>
    </w:p>
    <w:p w14:paraId="38DF64A5">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招标代理机构：</w:t>
      </w:r>
      <w:r>
        <w:rPr>
          <w:rFonts w:hint="eastAsia" w:ascii="宋体" w:hAnsi="宋体" w:eastAsia="宋体" w:cs="宋体"/>
          <w:color w:val="000000"/>
          <w:spacing w:val="0"/>
          <w:sz w:val="24"/>
          <w:szCs w:val="24"/>
          <w:highlight w:val="none"/>
          <w:lang w:eastAsia="zh-CN"/>
        </w:rPr>
        <w:t>江西省赣南公路勘察设计院有限公司</w:t>
      </w:r>
    </w:p>
    <w:p w14:paraId="7AAA0A0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址：赣州市赞贤路36号金桥花园</w:t>
      </w:r>
    </w:p>
    <w:p w14:paraId="52BCA0C3">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刘工</w:t>
      </w:r>
      <w:r>
        <w:rPr>
          <w:rFonts w:hint="eastAsia" w:ascii="宋体" w:hAnsi="宋体" w:eastAsia="宋体" w:cs="宋体"/>
          <w:color w:val="auto"/>
          <w:spacing w:val="0"/>
          <w:sz w:val="24"/>
          <w:szCs w:val="24"/>
          <w:highlight w:val="none"/>
        </w:rPr>
        <w:t xml:space="preserve">     </w:t>
      </w:r>
    </w:p>
    <w:p w14:paraId="66A7D191">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14:paraId="66EFB56A">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14:paraId="0AADD13D">
      <w:pPr>
        <w:pStyle w:val="5"/>
        <w:keepNext w:val="0"/>
        <w:keepLines w:val="0"/>
        <w:pageBreakBefore w:val="0"/>
        <w:widowControl/>
        <w:kinsoku w:val="0"/>
        <w:wordWrap/>
        <w:overflowPunct w:val="0"/>
        <w:topLinePunct w:val="0"/>
        <w:autoSpaceDE w:val="0"/>
        <w:autoSpaceDN w:val="0"/>
        <w:bidi w:val="0"/>
        <w:adjustRightInd w:val="0"/>
        <w:snapToGrid w:val="0"/>
        <w:spacing w:after="0" w:afterLines="50" w:line="240" w:lineRule="auto"/>
        <w:ind w:firstLine="416" w:firstLineChars="200"/>
        <w:jc w:val="left"/>
        <w:textAlignment w:val="baseline"/>
        <w:rPr>
          <w:rFonts w:ascii="Arial" w:hAnsi="Arial" w:eastAsia="Arial" w:cs="Arial"/>
          <w:snapToGrid w:val="0"/>
          <w:color w:val="000000"/>
          <w:spacing w:val="-1"/>
          <w:sz w:val="21"/>
          <w:szCs w:val="21"/>
          <w:highlight w:val="none"/>
          <w:lang w:eastAsia="en-US"/>
        </w:rPr>
      </w:pPr>
      <w:r>
        <w:rPr>
          <w:rFonts w:ascii="Arial" w:hAnsi="Arial" w:eastAsia="Arial" w:cs="Arial"/>
          <w:snapToGrid w:val="0"/>
          <w:color w:val="000000"/>
          <w:spacing w:val="-1"/>
          <w:sz w:val="21"/>
          <w:szCs w:val="21"/>
          <w:highlight w:val="none"/>
          <w:lang w:eastAsia="en-US"/>
        </w:rPr>
        <w:t>电子邮件：</w:t>
      </w:r>
      <w:r>
        <w:rPr>
          <w:rFonts w:ascii="Arial" w:hAnsi="Arial" w:eastAsia="Arial" w:cs="Arial"/>
          <w:snapToGrid w:val="0"/>
          <w:color w:val="000000"/>
          <w:spacing w:val="-1"/>
          <w:sz w:val="21"/>
          <w:szCs w:val="21"/>
          <w:highlight w:val="none"/>
          <w:lang w:eastAsia="en-US"/>
        </w:rPr>
        <w:fldChar w:fldCharType="begin"/>
      </w:r>
      <w:r>
        <w:rPr>
          <w:rFonts w:ascii="Arial" w:hAnsi="Arial" w:eastAsia="Arial" w:cs="Arial"/>
          <w:snapToGrid w:val="0"/>
          <w:color w:val="000000"/>
          <w:spacing w:val="-1"/>
          <w:sz w:val="21"/>
          <w:szCs w:val="21"/>
          <w:highlight w:val="none"/>
          <w:lang w:eastAsia="en-US"/>
        </w:rPr>
        <w:instrText xml:space="preserve"> HYPERLINK "mailto:gnglkcsjy@163.com" </w:instrText>
      </w:r>
      <w:r>
        <w:rPr>
          <w:rFonts w:ascii="Arial" w:hAnsi="Arial" w:eastAsia="Arial" w:cs="Arial"/>
          <w:snapToGrid w:val="0"/>
          <w:color w:val="000000"/>
          <w:spacing w:val="-1"/>
          <w:sz w:val="21"/>
          <w:szCs w:val="21"/>
          <w:highlight w:val="none"/>
          <w:lang w:eastAsia="en-US"/>
        </w:rPr>
        <w:fldChar w:fldCharType="separate"/>
      </w:r>
      <w:r>
        <w:rPr>
          <w:rFonts w:ascii="Arial" w:hAnsi="Arial" w:eastAsia="Arial" w:cs="Arial"/>
          <w:snapToGrid w:val="0"/>
          <w:color w:val="000000"/>
          <w:spacing w:val="-1"/>
          <w:sz w:val="21"/>
          <w:szCs w:val="21"/>
          <w:highlight w:val="none"/>
          <w:lang w:eastAsia="en-US"/>
        </w:rPr>
        <w:t>gnglkcsjy@163.com</w:t>
      </w:r>
      <w:r>
        <w:rPr>
          <w:rFonts w:ascii="Arial" w:hAnsi="Arial" w:eastAsia="Arial" w:cs="Arial"/>
          <w:snapToGrid w:val="0"/>
          <w:color w:val="000000"/>
          <w:spacing w:val="-1"/>
          <w:sz w:val="21"/>
          <w:szCs w:val="21"/>
          <w:highlight w:val="none"/>
          <w:lang w:eastAsia="en-US"/>
        </w:rPr>
        <w:fldChar w:fldCharType="end"/>
      </w:r>
    </w:p>
    <w:p w14:paraId="1138F865">
      <w:pPr>
        <w:pStyle w:val="5"/>
        <w:keepNext w:val="0"/>
        <w:keepLines w:val="0"/>
        <w:pageBreakBefore w:val="0"/>
        <w:widowControl w:val="0"/>
        <w:kinsoku w:val="0"/>
        <w:wordWrap/>
        <w:overflowPunct w:val="0"/>
        <w:topLinePunct w:val="0"/>
        <w:autoSpaceDE w:val="0"/>
        <w:autoSpaceDN w:val="0"/>
        <w:bidi w:val="0"/>
        <w:adjustRightInd w:val="0"/>
        <w:snapToGrid/>
        <w:spacing w:after="0" w:afterLines="50" w:line="240" w:lineRule="auto"/>
        <w:ind w:left="0" w:firstLine="876" w:firstLineChars="200"/>
        <w:textAlignment w:val="auto"/>
        <w:rPr>
          <w:spacing w:val="-1"/>
          <w:highlight w:val="none"/>
        </w:rPr>
      </w:pPr>
    </w:p>
    <w:p w14:paraId="38DEF969">
      <w:pPr>
        <w:pStyle w:val="5"/>
        <w:keepNext w:val="0"/>
        <w:keepLines w:val="0"/>
        <w:pageBreakBefore w:val="0"/>
        <w:tabs>
          <w:tab w:val="left" w:pos="3898"/>
          <w:tab w:val="left" w:pos="4978"/>
          <w:tab w:val="left" w:pos="6898"/>
          <w:tab w:val="left" w:pos="7859"/>
          <w:tab w:val="left" w:pos="8699"/>
          <w:tab w:val="clear" w:pos="6480"/>
        </w:tabs>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监 督 单 位： 赣州市交通运输局、</w:t>
      </w:r>
      <w:r>
        <w:rPr>
          <w:rFonts w:hint="eastAsia" w:ascii="宋体" w:hAnsi="宋体" w:eastAsia="宋体" w:cs="宋体"/>
          <w:color w:val="000000"/>
          <w:spacing w:val="0"/>
          <w:sz w:val="24"/>
          <w:szCs w:val="24"/>
          <w:highlight w:val="none"/>
          <w:lang w:eastAsia="zh-CN"/>
        </w:rPr>
        <w:t>赣州交通控股集团有限公司</w:t>
      </w:r>
      <w:r>
        <w:rPr>
          <w:rFonts w:hint="eastAsia" w:ascii="宋体" w:hAnsi="宋体" w:eastAsia="宋体" w:cs="宋体"/>
          <w:color w:val="000000"/>
          <w:spacing w:val="0"/>
          <w:sz w:val="24"/>
          <w:szCs w:val="24"/>
          <w:highlight w:val="none"/>
        </w:rPr>
        <w:t xml:space="preserve">风控审计部 </w:t>
      </w:r>
    </w:p>
    <w:p w14:paraId="6F1F86E5">
      <w:pPr>
        <w:pStyle w:val="5"/>
        <w:spacing w:before="1"/>
        <w:ind w:firstLine="480" w:firstLineChars="200"/>
        <w:outlineLvl w:val="2"/>
        <w:rPr>
          <w:rFonts w:hint="eastAsia"/>
          <w:sz w:val="28"/>
          <w:szCs w:val="28"/>
          <w:highlight w:val="none"/>
        </w:rPr>
      </w:pPr>
      <w:r>
        <w:rPr>
          <w:rFonts w:hint="eastAsia" w:ascii="宋体" w:hAnsi="宋体" w:eastAsia="宋体" w:cs="宋体"/>
          <w:color w:val="000000"/>
          <w:spacing w:val="0"/>
          <w:sz w:val="24"/>
          <w:szCs w:val="24"/>
          <w:highlight w:val="none"/>
        </w:rPr>
        <w:t>监 督 电 话： 0797-8996559、 0797-8289879</w:t>
      </w:r>
    </w:p>
    <w:p w14:paraId="0E08C4AE">
      <w:pPr>
        <w:pStyle w:val="5"/>
        <w:spacing w:before="1"/>
        <w:outlineLvl w:val="2"/>
        <w:rPr>
          <w:rFonts w:hint="eastAsia"/>
          <w:sz w:val="28"/>
          <w:szCs w:val="28"/>
          <w:highlight w:val="none"/>
        </w:rPr>
      </w:pPr>
    </w:p>
    <w:p w14:paraId="0A96FB5A">
      <w:pPr>
        <w:pStyle w:val="5"/>
        <w:spacing w:before="1"/>
        <w:outlineLvl w:val="2"/>
        <w:rPr>
          <w:rFonts w:hint="eastAsia"/>
          <w:sz w:val="28"/>
          <w:szCs w:val="28"/>
          <w:highlight w:val="none"/>
        </w:rPr>
      </w:pPr>
    </w:p>
    <w:p w14:paraId="43306ED8">
      <w:pPr>
        <w:pStyle w:val="5"/>
        <w:spacing w:before="1"/>
        <w:outlineLvl w:val="2"/>
        <w:rPr>
          <w:rFonts w:hint="eastAsia"/>
          <w:sz w:val="28"/>
          <w:szCs w:val="28"/>
          <w:highlight w:val="none"/>
        </w:rPr>
      </w:pPr>
    </w:p>
    <w:p w14:paraId="77CE7F8F">
      <w:pPr>
        <w:pStyle w:val="5"/>
        <w:spacing w:before="1"/>
        <w:outlineLvl w:val="2"/>
        <w:rPr>
          <w:rFonts w:hint="eastAsia"/>
          <w:b/>
          <w:sz w:val="28"/>
          <w:szCs w:val="28"/>
          <w:highlight w:val="none"/>
        </w:rPr>
      </w:pPr>
      <w:r>
        <w:rPr>
          <w:rFonts w:hint="eastAsia"/>
          <w:sz w:val="28"/>
          <w:szCs w:val="28"/>
          <w:highlight w:val="none"/>
        </w:rPr>
        <w:t>评标办法前附表</w:t>
      </w:r>
      <w:bookmarkEnd w:id="0"/>
      <w:bookmarkEnd w:id="1"/>
      <w:bookmarkEnd w:id="2"/>
      <w:r>
        <w:rPr>
          <w:rFonts w:hint="eastAsia"/>
          <w:sz w:val="28"/>
          <w:szCs w:val="28"/>
          <w:highlight w:val="none"/>
        </w:rPr>
        <w:t xml:space="preserve"> </w:t>
      </w:r>
    </w:p>
    <w:tbl>
      <w:tblPr>
        <w:tblStyle w:val="1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14:paraId="5A51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353" w:type="dxa"/>
            <w:gridSpan w:val="2"/>
            <w:vAlign w:val="top"/>
          </w:tcPr>
          <w:p w14:paraId="4BE0BA8F">
            <w:pPr>
              <w:pStyle w:val="14"/>
              <w:spacing w:before="180" w:line="219" w:lineRule="auto"/>
              <w:ind w:left="358"/>
              <w:rPr>
                <w:spacing w:val="0"/>
                <w:sz w:val="21"/>
                <w:szCs w:val="21"/>
              </w:rPr>
            </w:pPr>
            <w:r>
              <w:rPr>
                <w:b/>
                <w:bCs/>
                <w:spacing w:val="0"/>
                <w:sz w:val="21"/>
                <w:szCs w:val="21"/>
              </w:rPr>
              <w:t>条款号</w:t>
            </w:r>
          </w:p>
        </w:tc>
        <w:tc>
          <w:tcPr>
            <w:tcW w:w="7767" w:type="dxa"/>
            <w:gridSpan w:val="3"/>
            <w:vAlign w:val="top"/>
          </w:tcPr>
          <w:p w14:paraId="74491C1C">
            <w:pPr>
              <w:pStyle w:val="14"/>
              <w:spacing w:before="180" w:line="219" w:lineRule="auto"/>
              <w:ind w:left="3234"/>
              <w:rPr>
                <w:rFonts w:hint="eastAsia" w:eastAsia="宋体"/>
                <w:spacing w:val="0"/>
                <w:sz w:val="21"/>
                <w:szCs w:val="21"/>
                <w:lang w:val="en-US" w:eastAsia="zh-CN"/>
              </w:rPr>
            </w:pPr>
            <w:r>
              <w:rPr>
                <w:b/>
                <w:bCs/>
                <w:spacing w:val="-2"/>
                <w:sz w:val="21"/>
                <w:szCs w:val="21"/>
              </w:rPr>
              <w:t>评审因素</w:t>
            </w:r>
            <w:r>
              <w:rPr>
                <w:rFonts w:hint="eastAsia"/>
                <w:b/>
                <w:bCs/>
                <w:spacing w:val="-2"/>
                <w:sz w:val="21"/>
                <w:szCs w:val="21"/>
                <w:lang w:val="en-US" w:eastAsia="zh-CN"/>
              </w:rPr>
              <w:t>及</w:t>
            </w:r>
            <w:r>
              <w:rPr>
                <w:b/>
                <w:bCs/>
                <w:spacing w:val="-2"/>
                <w:sz w:val="21"/>
                <w:szCs w:val="21"/>
              </w:rPr>
              <w:t>评审标准</w:t>
            </w:r>
          </w:p>
        </w:tc>
      </w:tr>
      <w:tr w14:paraId="2D73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74" w:type="dxa"/>
            <w:vAlign w:val="top"/>
          </w:tcPr>
          <w:p w14:paraId="5959E827">
            <w:pPr>
              <w:spacing w:line="298" w:lineRule="auto"/>
              <w:rPr>
                <w:rFonts w:ascii="Arial"/>
                <w:sz w:val="21"/>
                <w:highlight w:val="none"/>
              </w:rPr>
            </w:pPr>
          </w:p>
          <w:p w14:paraId="5BC25EC7">
            <w:pPr>
              <w:spacing w:line="299" w:lineRule="auto"/>
              <w:rPr>
                <w:rFonts w:ascii="Arial"/>
                <w:sz w:val="21"/>
                <w:highlight w:val="none"/>
              </w:rPr>
            </w:pPr>
          </w:p>
          <w:p w14:paraId="73343C8A">
            <w:pPr>
              <w:pStyle w:val="14"/>
              <w:spacing w:before="68" w:line="241" w:lineRule="auto"/>
              <w:ind w:left="325"/>
              <w:rPr>
                <w:sz w:val="21"/>
                <w:szCs w:val="21"/>
                <w:highlight w:val="none"/>
              </w:rPr>
            </w:pPr>
            <w:r>
              <w:rPr>
                <w:sz w:val="21"/>
                <w:szCs w:val="21"/>
                <w:highlight w:val="none"/>
              </w:rPr>
              <w:t>1</w:t>
            </w:r>
          </w:p>
        </w:tc>
        <w:tc>
          <w:tcPr>
            <w:tcW w:w="579" w:type="dxa"/>
            <w:textDirection w:val="tbRlV"/>
            <w:vAlign w:val="top"/>
          </w:tcPr>
          <w:p w14:paraId="0F3B4F8C">
            <w:pPr>
              <w:pStyle w:val="14"/>
              <w:keepNext w:val="0"/>
              <w:keepLines w:val="0"/>
              <w:pageBreakBefore w:val="0"/>
              <w:widowControl/>
              <w:kinsoku w:val="0"/>
              <w:wordWrap/>
              <w:overflowPunct/>
              <w:topLinePunct w:val="0"/>
              <w:autoSpaceDE w:val="0"/>
              <w:autoSpaceDN w:val="0"/>
              <w:bidi w:val="0"/>
              <w:adjustRightInd w:val="0"/>
              <w:snapToGrid w:val="0"/>
              <w:spacing w:before="195" w:line="202" w:lineRule="auto"/>
              <w:ind w:left="0"/>
              <w:textAlignment w:val="baseline"/>
              <w:rPr>
                <w:sz w:val="21"/>
                <w:szCs w:val="21"/>
                <w:highlight w:val="none"/>
              </w:rPr>
            </w:pPr>
            <w:r>
              <w:rPr>
                <w:spacing w:val="0"/>
                <w:sz w:val="21"/>
                <w:szCs w:val="21"/>
                <w:highlight w:val="none"/>
              </w:rPr>
              <w:t>评 标 办 法</w:t>
            </w:r>
          </w:p>
        </w:tc>
        <w:tc>
          <w:tcPr>
            <w:tcW w:w="7767" w:type="dxa"/>
            <w:gridSpan w:val="3"/>
            <w:vAlign w:val="center"/>
          </w:tcPr>
          <w:p w14:paraId="2A5D008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14:paraId="5B9BCE4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7"/>
                <w:sz w:val="21"/>
                <w:szCs w:val="21"/>
                <w:highlight w:val="none"/>
              </w:rPr>
              <w:t>(1)投标报价低的投标人优先；</w:t>
            </w:r>
          </w:p>
          <w:p w14:paraId="6657A5C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5"/>
                <w:sz w:val="21"/>
                <w:szCs w:val="21"/>
                <w:highlight w:val="none"/>
              </w:rPr>
              <w:t>(2)</w:t>
            </w:r>
            <w:r>
              <w:rPr>
                <w:rFonts w:hint="eastAsia"/>
                <w:spacing w:val="5"/>
                <w:sz w:val="21"/>
                <w:szCs w:val="21"/>
                <w:highlight w:val="none"/>
                <w:lang w:val="en-US" w:eastAsia="zh-CN"/>
              </w:rPr>
              <w:t>建筑</w:t>
            </w:r>
            <w:r>
              <w:rPr>
                <w:spacing w:val="5"/>
                <w:sz w:val="21"/>
                <w:szCs w:val="21"/>
                <w:highlight w:val="none"/>
              </w:rPr>
              <w:t>工程施工总承包资质高的投标人优</w:t>
            </w:r>
            <w:r>
              <w:rPr>
                <w:spacing w:val="4"/>
                <w:sz w:val="21"/>
                <w:szCs w:val="21"/>
                <w:highlight w:val="none"/>
              </w:rPr>
              <w:t>先；</w:t>
            </w:r>
          </w:p>
          <w:p w14:paraId="0C34547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(3)</w:t>
            </w:r>
            <w:r>
              <w:rPr>
                <w:rFonts w:hint="eastAsia"/>
                <w:sz w:val="21"/>
                <w:szCs w:val="21"/>
                <w:highlight w:val="none"/>
                <w:lang w:val="en-US" w:eastAsia="zh-CN"/>
              </w:rPr>
              <w:t>抽签</w:t>
            </w:r>
            <w:r>
              <w:rPr>
                <w:spacing w:val="-1"/>
                <w:sz w:val="21"/>
                <w:szCs w:val="21"/>
                <w:highlight w:val="none"/>
              </w:rPr>
              <w:t>。</w:t>
            </w:r>
          </w:p>
        </w:tc>
      </w:tr>
      <w:tr w14:paraId="0A14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3" w:type="dxa"/>
            <w:gridSpan w:val="2"/>
            <w:vAlign w:val="top"/>
          </w:tcPr>
          <w:p w14:paraId="1086CE01">
            <w:pPr>
              <w:pStyle w:val="14"/>
              <w:spacing w:before="189" w:line="219" w:lineRule="auto"/>
              <w:ind w:left="355"/>
              <w:rPr>
                <w:b/>
                <w:bCs/>
                <w:sz w:val="21"/>
                <w:szCs w:val="21"/>
                <w:highlight w:val="none"/>
              </w:rPr>
            </w:pPr>
            <w:r>
              <w:rPr>
                <w:b/>
                <w:bCs/>
                <w:spacing w:val="4"/>
                <w:sz w:val="21"/>
                <w:szCs w:val="21"/>
                <w:highlight w:val="none"/>
              </w:rPr>
              <w:t>条款号</w:t>
            </w:r>
          </w:p>
        </w:tc>
        <w:tc>
          <w:tcPr>
            <w:tcW w:w="2487" w:type="dxa"/>
            <w:gridSpan w:val="2"/>
            <w:vAlign w:val="top"/>
          </w:tcPr>
          <w:p w14:paraId="08DEB456">
            <w:pPr>
              <w:pStyle w:val="14"/>
              <w:spacing w:before="189" w:line="219" w:lineRule="auto"/>
              <w:ind w:left="832"/>
              <w:rPr>
                <w:b/>
                <w:bCs/>
                <w:sz w:val="21"/>
                <w:szCs w:val="21"/>
                <w:highlight w:val="none"/>
              </w:rPr>
            </w:pPr>
            <w:r>
              <w:rPr>
                <w:b/>
                <w:bCs/>
                <w:spacing w:val="-2"/>
                <w:sz w:val="21"/>
                <w:szCs w:val="21"/>
                <w:highlight w:val="none"/>
              </w:rPr>
              <w:t>评审因素</w:t>
            </w:r>
          </w:p>
        </w:tc>
        <w:tc>
          <w:tcPr>
            <w:tcW w:w="5280" w:type="dxa"/>
            <w:vAlign w:val="top"/>
          </w:tcPr>
          <w:p w14:paraId="31F0387C">
            <w:pPr>
              <w:pStyle w:val="14"/>
              <w:spacing w:before="190" w:line="220" w:lineRule="auto"/>
              <w:ind w:left="2224"/>
              <w:rPr>
                <w:b/>
                <w:bCs/>
                <w:sz w:val="21"/>
                <w:szCs w:val="21"/>
                <w:highlight w:val="none"/>
              </w:rPr>
            </w:pPr>
            <w:r>
              <w:rPr>
                <w:b/>
                <w:bCs/>
                <w:spacing w:val="-2"/>
                <w:sz w:val="21"/>
                <w:szCs w:val="21"/>
                <w:highlight w:val="none"/>
              </w:rPr>
              <w:t>评审标准</w:t>
            </w:r>
          </w:p>
        </w:tc>
      </w:tr>
      <w:tr w14:paraId="286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Merge w:val="restart"/>
            <w:vAlign w:val="top"/>
          </w:tcPr>
          <w:p w14:paraId="08A7B19C">
            <w:pPr>
              <w:rPr>
                <w:rFonts w:ascii="Arial"/>
                <w:sz w:val="21"/>
                <w:highlight w:val="none"/>
              </w:rPr>
            </w:pPr>
          </w:p>
          <w:p w14:paraId="5B33AF3F">
            <w:pPr>
              <w:rPr>
                <w:rFonts w:ascii="Arial"/>
                <w:sz w:val="21"/>
                <w:highlight w:val="none"/>
              </w:rPr>
            </w:pPr>
          </w:p>
          <w:p w14:paraId="3C6597C0">
            <w:pPr>
              <w:rPr>
                <w:rFonts w:ascii="Arial"/>
                <w:sz w:val="21"/>
                <w:highlight w:val="none"/>
              </w:rPr>
            </w:pPr>
          </w:p>
          <w:p w14:paraId="123840C2">
            <w:pPr>
              <w:rPr>
                <w:rFonts w:ascii="Arial"/>
                <w:sz w:val="21"/>
                <w:highlight w:val="none"/>
              </w:rPr>
            </w:pPr>
          </w:p>
          <w:p w14:paraId="5A38E0EE">
            <w:pPr>
              <w:rPr>
                <w:rFonts w:ascii="Arial"/>
                <w:sz w:val="21"/>
                <w:highlight w:val="none"/>
              </w:rPr>
            </w:pPr>
          </w:p>
          <w:p w14:paraId="500528F8">
            <w:pPr>
              <w:rPr>
                <w:rFonts w:ascii="Arial"/>
                <w:sz w:val="21"/>
                <w:highlight w:val="none"/>
              </w:rPr>
            </w:pPr>
          </w:p>
          <w:p w14:paraId="7469849F">
            <w:pPr>
              <w:rPr>
                <w:rFonts w:ascii="Arial"/>
                <w:sz w:val="21"/>
                <w:highlight w:val="none"/>
              </w:rPr>
            </w:pPr>
          </w:p>
          <w:p w14:paraId="1FEFB85D">
            <w:pPr>
              <w:rPr>
                <w:rFonts w:ascii="Arial"/>
                <w:sz w:val="21"/>
                <w:highlight w:val="none"/>
              </w:rPr>
            </w:pPr>
          </w:p>
          <w:p w14:paraId="1D7149AB">
            <w:pPr>
              <w:rPr>
                <w:rFonts w:ascii="Arial"/>
                <w:sz w:val="21"/>
                <w:highlight w:val="none"/>
              </w:rPr>
            </w:pPr>
          </w:p>
          <w:p w14:paraId="6694CBC4">
            <w:pPr>
              <w:rPr>
                <w:rFonts w:ascii="Arial"/>
                <w:sz w:val="21"/>
                <w:highlight w:val="none"/>
              </w:rPr>
            </w:pPr>
          </w:p>
          <w:p w14:paraId="53A1A357">
            <w:pPr>
              <w:rPr>
                <w:rFonts w:ascii="Arial"/>
                <w:sz w:val="21"/>
                <w:highlight w:val="none"/>
              </w:rPr>
            </w:pPr>
          </w:p>
          <w:p w14:paraId="12DC4387">
            <w:pPr>
              <w:rPr>
                <w:rFonts w:ascii="Arial"/>
                <w:sz w:val="21"/>
                <w:highlight w:val="none"/>
              </w:rPr>
            </w:pPr>
          </w:p>
          <w:p w14:paraId="37E0E58C">
            <w:pPr>
              <w:rPr>
                <w:rFonts w:ascii="Arial"/>
                <w:sz w:val="21"/>
                <w:highlight w:val="none"/>
              </w:rPr>
            </w:pPr>
          </w:p>
          <w:p w14:paraId="7227A955">
            <w:pPr>
              <w:rPr>
                <w:rFonts w:ascii="Arial"/>
                <w:sz w:val="21"/>
                <w:highlight w:val="none"/>
              </w:rPr>
            </w:pPr>
          </w:p>
          <w:p w14:paraId="3B499029">
            <w:pPr>
              <w:rPr>
                <w:rFonts w:ascii="Arial"/>
                <w:sz w:val="21"/>
                <w:highlight w:val="none"/>
              </w:rPr>
            </w:pPr>
          </w:p>
          <w:p w14:paraId="3584D98C">
            <w:pPr>
              <w:spacing w:line="241" w:lineRule="auto"/>
              <w:rPr>
                <w:rFonts w:ascii="Arial"/>
                <w:sz w:val="21"/>
                <w:highlight w:val="none"/>
              </w:rPr>
            </w:pPr>
          </w:p>
          <w:p w14:paraId="55EBBB8F">
            <w:pPr>
              <w:spacing w:line="241" w:lineRule="auto"/>
              <w:rPr>
                <w:rFonts w:ascii="Arial"/>
                <w:sz w:val="21"/>
                <w:highlight w:val="none"/>
              </w:rPr>
            </w:pPr>
          </w:p>
          <w:p w14:paraId="00DC2659">
            <w:pPr>
              <w:spacing w:line="241" w:lineRule="auto"/>
              <w:rPr>
                <w:rFonts w:ascii="Arial"/>
                <w:sz w:val="21"/>
                <w:highlight w:val="none"/>
              </w:rPr>
            </w:pPr>
          </w:p>
          <w:p w14:paraId="65D86A2B">
            <w:pPr>
              <w:spacing w:line="241" w:lineRule="auto"/>
              <w:rPr>
                <w:rFonts w:ascii="Arial"/>
                <w:sz w:val="21"/>
                <w:highlight w:val="none"/>
              </w:rPr>
            </w:pPr>
          </w:p>
          <w:p w14:paraId="4DAE8F4A">
            <w:pPr>
              <w:pStyle w:val="14"/>
              <w:spacing w:before="68" w:line="239" w:lineRule="auto"/>
              <w:ind w:left="114"/>
              <w:rPr>
                <w:sz w:val="21"/>
                <w:szCs w:val="21"/>
                <w:highlight w:val="none"/>
              </w:rPr>
            </w:pPr>
            <w:r>
              <w:rPr>
                <w:spacing w:val="-2"/>
                <w:sz w:val="21"/>
                <w:szCs w:val="21"/>
                <w:highlight w:val="none"/>
              </w:rPr>
              <w:t>2.1.1</w:t>
            </w:r>
          </w:p>
          <w:p w14:paraId="4FD63177">
            <w:pPr>
              <w:pStyle w:val="14"/>
              <w:spacing w:before="38" w:line="239" w:lineRule="auto"/>
              <w:ind w:left="114"/>
              <w:rPr>
                <w:sz w:val="21"/>
                <w:szCs w:val="21"/>
                <w:highlight w:val="none"/>
              </w:rPr>
            </w:pPr>
            <w:r>
              <w:rPr>
                <w:spacing w:val="-2"/>
                <w:sz w:val="21"/>
                <w:szCs w:val="21"/>
                <w:highlight w:val="none"/>
              </w:rPr>
              <w:t>2.1.2</w:t>
            </w:r>
          </w:p>
        </w:tc>
        <w:tc>
          <w:tcPr>
            <w:tcW w:w="579" w:type="dxa"/>
            <w:vMerge w:val="restart"/>
            <w:textDirection w:val="tbRlV"/>
            <w:vAlign w:val="top"/>
          </w:tcPr>
          <w:p w14:paraId="35CA8291">
            <w:pPr>
              <w:pStyle w:val="14"/>
              <w:spacing w:before="195" w:line="202" w:lineRule="auto"/>
              <w:ind w:left="2950"/>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textDirection w:val="tbRlV"/>
            <w:vAlign w:val="top"/>
          </w:tcPr>
          <w:p w14:paraId="5E626980">
            <w:pPr>
              <w:pStyle w:val="14"/>
              <w:spacing w:before="134" w:line="202" w:lineRule="auto"/>
              <w:ind w:left="4291"/>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vAlign w:val="top"/>
          </w:tcPr>
          <w:p w14:paraId="70B68D0E">
            <w:pPr>
              <w:pStyle w:val="14"/>
              <w:spacing w:before="200" w:line="220" w:lineRule="auto"/>
              <w:ind w:left="472"/>
              <w:rPr>
                <w:sz w:val="21"/>
                <w:szCs w:val="21"/>
                <w:highlight w:val="none"/>
              </w:rPr>
            </w:pPr>
            <w:r>
              <w:rPr>
                <w:spacing w:val="3"/>
                <w:sz w:val="21"/>
                <w:szCs w:val="21"/>
                <w:highlight w:val="none"/>
              </w:rPr>
              <w:t>投标函填写</w:t>
            </w:r>
          </w:p>
        </w:tc>
        <w:tc>
          <w:tcPr>
            <w:tcW w:w="5280" w:type="dxa"/>
            <w:vAlign w:val="top"/>
          </w:tcPr>
          <w:p w14:paraId="2D458C25">
            <w:pPr>
              <w:pStyle w:val="14"/>
              <w:spacing w:before="58" w:line="238" w:lineRule="auto"/>
              <w:ind w:left="15" w:right="14"/>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14:paraId="4A2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vAlign w:val="top"/>
          </w:tcPr>
          <w:p w14:paraId="2C61DF83">
            <w:pPr>
              <w:rPr>
                <w:rFonts w:ascii="Arial"/>
                <w:sz w:val="21"/>
                <w:highlight w:val="none"/>
              </w:rPr>
            </w:pPr>
          </w:p>
        </w:tc>
        <w:tc>
          <w:tcPr>
            <w:tcW w:w="579" w:type="dxa"/>
            <w:vMerge w:val="continue"/>
            <w:textDirection w:val="tbRlV"/>
            <w:vAlign w:val="top"/>
          </w:tcPr>
          <w:p w14:paraId="28E92395">
            <w:pPr>
              <w:rPr>
                <w:rFonts w:ascii="Arial"/>
                <w:sz w:val="21"/>
                <w:highlight w:val="none"/>
              </w:rPr>
            </w:pPr>
          </w:p>
        </w:tc>
        <w:tc>
          <w:tcPr>
            <w:tcW w:w="479" w:type="dxa"/>
            <w:vMerge w:val="continue"/>
            <w:textDirection w:val="tbRlV"/>
            <w:vAlign w:val="top"/>
          </w:tcPr>
          <w:p w14:paraId="7D122B48">
            <w:pPr>
              <w:rPr>
                <w:rFonts w:ascii="Arial"/>
                <w:sz w:val="21"/>
                <w:highlight w:val="none"/>
              </w:rPr>
            </w:pPr>
          </w:p>
        </w:tc>
        <w:tc>
          <w:tcPr>
            <w:tcW w:w="2008" w:type="dxa"/>
            <w:vAlign w:val="top"/>
          </w:tcPr>
          <w:p w14:paraId="2AFB13D3">
            <w:pPr>
              <w:pStyle w:val="14"/>
              <w:spacing w:before="178" w:line="219" w:lineRule="auto"/>
              <w:ind w:left="262"/>
              <w:rPr>
                <w:sz w:val="21"/>
                <w:szCs w:val="21"/>
                <w:highlight w:val="none"/>
              </w:rPr>
            </w:pPr>
            <w:r>
              <w:rPr>
                <w:spacing w:val="1"/>
                <w:sz w:val="21"/>
                <w:szCs w:val="21"/>
                <w:highlight w:val="none"/>
              </w:rPr>
              <w:t>投标函附录数据</w:t>
            </w:r>
          </w:p>
        </w:tc>
        <w:tc>
          <w:tcPr>
            <w:tcW w:w="5280" w:type="dxa"/>
            <w:vAlign w:val="top"/>
          </w:tcPr>
          <w:p w14:paraId="7EAF2FD9">
            <w:pPr>
              <w:pStyle w:val="14"/>
              <w:spacing w:before="179" w:line="219" w:lineRule="auto"/>
              <w:ind w:left="15"/>
              <w:rPr>
                <w:sz w:val="21"/>
                <w:szCs w:val="21"/>
                <w:highlight w:val="none"/>
              </w:rPr>
            </w:pPr>
            <w:r>
              <w:rPr>
                <w:spacing w:val="9"/>
                <w:sz w:val="21"/>
                <w:szCs w:val="21"/>
                <w:highlight w:val="none"/>
              </w:rPr>
              <w:t>符合招标文件规定</w:t>
            </w:r>
          </w:p>
        </w:tc>
      </w:tr>
      <w:tr w14:paraId="006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16801B5B">
            <w:pPr>
              <w:rPr>
                <w:rFonts w:ascii="Arial"/>
                <w:sz w:val="21"/>
                <w:highlight w:val="none"/>
              </w:rPr>
            </w:pPr>
          </w:p>
        </w:tc>
        <w:tc>
          <w:tcPr>
            <w:tcW w:w="579" w:type="dxa"/>
            <w:vMerge w:val="continue"/>
            <w:textDirection w:val="tbRlV"/>
            <w:vAlign w:val="top"/>
          </w:tcPr>
          <w:p w14:paraId="58849BA8">
            <w:pPr>
              <w:rPr>
                <w:rFonts w:ascii="Arial"/>
                <w:sz w:val="21"/>
                <w:highlight w:val="none"/>
              </w:rPr>
            </w:pPr>
          </w:p>
        </w:tc>
        <w:tc>
          <w:tcPr>
            <w:tcW w:w="479" w:type="dxa"/>
            <w:vMerge w:val="continue"/>
            <w:textDirection w:val="tbRlV"/>
            <w:vAlign w:val="top"/>
          </w:tcPr>
          <w:p w14:paraId="58A4C3AA">
            <w:pPr>
              <w:rPr>
                <w:rFonts w:ascii="Arial"/>
                <w:sz w:val="21"/>
                <w:highlight w:val="none"/>
              </w:rPr>
            </w:pPr>
          </w:p>
        </w:tc>
        <w:tc>
          <w:tcPr>
            <w:tcW w:w="2008" w:type="dxa"/>
            <w:vAlign w:val="top"/>
          </w:tcPr>
          <w:p w14:paraId="3694DE5E">
            <w:pPr>
              <w:pStyle w:val="14"/>
              <w:spacing w:before="180" w:line="219" w:lineRule="auto"/>
              <w:ind w:left="262"/>
              <w:rPr>
                <w:sz w:val="21"/>
                <w:szCs w:val="21"/>
                <w:highlight w:val="none"/>
              </w:rPr>
            </w:pPr>
            <w:r>
              <w:rPr>
                <w:spacing w:val="-2"/>
                <w:sz w:val="21"/>
                <w:szCs w:val="21"/>
                <w:highlight w:val="none"/>
              </w:rPr>
              <w:t>文件填写及组成</w:t>
            </w:r>
          </w:p>
        </w:tc>
        <w:tc>
          <w:tcPr>
            <w:tcW w:w="5280" w:type="dxa"/>
            <w:vAlign w:val="top"/>
          </w:tcPr>
          <w:p w14:paraId="1C4C3D19">
            <w:pPr>
              <w:pStyle w:val="14"/>
              <w:spacing w:before="180" w:line="219" w:lineRule="auto"/>
              <w:jc w:val="right"/>
              <w:rPr>
                <w:sz w:val="21"/>
                <w:szCs w:val="21"/>
                <w:highlight w:val="none"/>
              </w:rPr>
            </w:pPr>
            <w:r>
              <w:rPr>
                <w:sz w:val="21"/>
                <w:szCs w:val="21"/>
                <w:highlight w:val="none"/>
              </w:rPr>
              <w:t>组成齐全，没有缺项或缺页，内容均按招标文件规定填写</w:t>
            </w:r>
          </w:p>
        </w:tc>
      </w:tr>
      <w:tr w14:paraId="073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74" w:type="dxa"/>
            <w:vMerge w:val="continue"/>
            <w:vAlign w:val="top"/>
          </w:tcPr>
          <w:p w14:paraId="4AF6CF0E">
            <w:pPr>
              <w:rPr>
                <w:rFonts w:ascii="Arial"/>
                <w:sz w:val="21"/>
                <w:highlight w:val="none"/>
              </w:rPr>
            </w:pPr>
          </w:p>
        </w:tc>
        <w:tc>
          <w:tcPr>
            <w:tcW w:w="579" w:type="dxa"/>
            <w:vMerge w:val="continue"/>
            <w:textDirection w:val="tbRlV"/>
            <w:vAlign w:val="top"/>
          </w:tcPr>
          <w:p w14:paraId="2B844DAF">
            <w:pPr>
              <w:rPr>
                <w:rFonts w:ascii="Arial"/>
                <w:sz w:val="21"/>
                <w:highlight w:val="none"/>
              </w:rPr>
            </w:pPr>
          </w:p>
        </w:tc>
        <w:tc>
          <w:tcPr>
            <w:tcW w:w="479" w:type="dxa"/>
            <w:vMerge w:val="continue"/>
            <w:textDirection w:val="tbRlV"/>
            <w:vAlign w:val="top"/>
          </w:tcPr>
          <w:p w14:paraId="5D6189A0">
            <w:pPr>
              <w:rPr>
                <w:rFonts w:ascii="Arial"/>
                <w:sz w:val="21"/>
                <w:highlight w:val="none"/>
              </w:rPr>
            </w:pPr>
          </w:p>
        </w:tc>
        <w:tc>
          <w:tcPr>
            <w:tcW w:w="2008" w:type="dxa"/>
            <w:vAlign w:val="top"/>
          </w:tcPr>
          <w:p w14:paraId="253C3497">
            <w:pPr>
              <w:pStyle w:val="14"/>
              <w:spacing w:before="179" w:line="219" w:lineRule="auto"/>
              <w:ind w:left="363"/>
              <w:rPr>
                <w:sz w:val="21"/>
                <w:szCs w:val="21"/>
                <w:highlight w:val="none"/>
              </w:rPr>
            </w:pPr>
            <w:r>
              <w:rPr>
                <w:spacing w:val="2"/>
                <w:sz w:val="21"/>
                <w:szCs w:val="21"/>
                <w:highlight w:val="none"/>
              </w:rPr>
              <w:t>文件签字盖章</w:t>
            </w:r>
          </w:p>
        </w:tc>
        <w:tc>
          <w:tcPr>
            <w:tcW w:w="5280" w:type="dxa"/>
            <w:vAlign w:val="top"/>
          </w:tcPr>
          <w:p w14:paraId="2D1C7A54">
            <w:pPr>
              <w:pStyle w:val="14"/>
              <w:spacing w:before="179" w:line="219" w:lineRule="auto"/>
              <w:ind w:left="15"/>
              <w:rPr>
                <w:sz w:val="21"/>
                <w:szCs w:val="21"/>
                <w:highlight w:val="none"/>
              </w:rPr>
            </w:pPr>
            <w:r>
              <w:rPr>
                <w:spacing w:val="1"/>
                <w:sz w:val="21"/>
                <w:szCs w:val="21"/>
                <w:highlight w:val="none"/>
              </w:rPr>
              <w:t>符合第二章“投标人须知”第3.7.3项规定</w:t>
            </w:r>
          </w:p>
        </w:tc>
      </w:tr>
      <w:tr w14:paraId="4041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Merge w:val="continue"/>
            <w:vAlign w:val="top"/>
          </w:tcPr>
          <w:p w14:paraId="5C26012E">
            <w:pPr>
              <w:rPr>
                <w:rFonts w:ascii="Arial"/>
                <w:sz w:val="21"/>
                <w:highlight w:val="none"/>
              </w:rPr>
            </w:pPr>
          </w:p>
        </w:tc>
        <w:tc>
          <w:tcPr>
            <w:tcW w:w="579" w:type="dxa"/>
            <w:vMerge w:val="continue"/>
            <w:textDirection w:val="tbRlV"/>
            <w:vAlign w:val="top"/>
          </w:tcPr>
          <w:p w14:paraId="186ACB3B">
            <w:pPr>
              <w:rPr>
                <w:rFonts w:ascii="Arial"/>
                <w:sz w:val="21"/>
                <w:highlight w:val="none"/>
              </w:rPr>
            </w:pPr>
          </w:p>
        </w:tc>
        <w:tc>
          <w:tcPr>
            <w:tcW w:w="479" w:type="dxa"/>
            <w:vMerge w:val="continue"/>
            <w:textDirection w:val="tbRlV"/>
            <w:vAlign w:val="top"/>
          </w:tcPr>
          <w:p w14:paraId="5CF42DA5">
            <w:pPr>
              <w:rPr>
                <w:rFonts w:ascii="Arial"/>
                <w:sz w:val="21"/>
                <w:highlight w:val="none"/>
              </w:rPr>
            </w:pPr>
          </w:p>
        </w:tc>
        <w:tc>
          <w:tcPr>
            <w:tcW w:w="2008" w:type="dxa"/>
            <w:vAlign w:val="top"/>
          </w:tcPr>
          <w:p w14:paraId="3F276AEC">
            <w:pPr>
              <w:pStyle w:val="14"/>
              <w:spacing w:before="182" w:line="220" w:lineRule="auto"/>
              <w:ind w:left="472"/>
              <w:rPr>
                <w:sz w:val="21"/>
                <w:szCs w:val="21"/>
                <w:highlight w:val="none"/>
              </w:rPr>
            </w:pPr>
            <w:r>
              <w:rPr>
                <w:spacing w:val="-2"/>
                <w:sz w:val="21"/>
                <w:szCs w:val="21"/>
                <w:highlight w:val="none"/>
              </w:rPr>
              <w:t>投标保证金</w:t>
            </w:r>
          </w:p>
        </w:tc>
        <w:tc>
          <w:tcPr>
            <w:tcW w:w="5280" w:type="dxa"/>
            <w:vAlign w:val="top"/>
          </w:tcPr>
          <w:p w14:paraId="55269456">
            <w:pPr>
              <w:pStyle w:val="14"/>
              <w:spacing w:before="180" w:line="219" w:lineRule="auto"/>
              <w:ind w:left="15"/>
              <w:rPr>
                <w:sz w:val="21"/>
                <w:szCs w:val="21"/>
                <w:highlight w:val="none"/>
              </w:rPr>
            </w:pPr>
            <w:r>
              <w:rPr>
                <w:spacing w:val="1"/>
                <w:sz w:val="21"/>
                <w:szCs w:val="21"/>
                <w:highlight w:val="none"/>
              </w:rPr>
              <w:t>符合第二章“投标人须知”第3.4.1项规定</w:t>
            </w:r>
          </w:p>
        </w:tc>
      </w:tr>
      <w:tr w14:paraId="4790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513B4E74">
            <w:pPr>
              <w:rPr>
                <w:rFonts w:ascii="Arial"/>
                <w:sz w:val="21"/>
                <w:highlight w:val="none"/>
              </w:rPr>
            </w:pPr>
          </w:p>
        </w:tc>
        <w:tc>
          <w:tcPr>
            <w:tcW w:w="579" w:type="dxa"/>
            <w:vMerge w:val="continue"/>
            <w:textDirection w:val="tbRlV"/>
            <w:vAlign w:val="top"/>
          </w:tcPr>
          <w:p w14:paraId="33A52E4F">
            <w:pPr>
              <w:rPr>
                <w:rFonts w:ascii="Arial"/>
                <w:sz w:val="21"/>
                <w:highlight w:val="none"/>
              </w:rPr>
            </w:pPr>
          </w:p>
        </w:tc>
        <w:tc>
          <w:tcPr>
            <w:tcW w:w="479" w:type="dxa"/>
            <w:vMerge w:val="continue"/>
            <w:textDirection w:val="tbRlV"/>
            <w:vAlign w:val="top"/>
          </w:tcPr>
          <w:p w14:paraId="213AC2FF">
            <w:pPr>
              <w:rPr>
                <w:rFonts w:ascii="Arial"/>
                <w:sz w:val="21"/>
                <w:highlight w:val="none"/>
              </w:rPr>
            </w:pPr>
          </w:p>
        </w:tc>
        <w:tc>
          <w:tcPr>
            <w:tcW w:w="2008" w:type="dxa"/>
            <w:vAlign w:val="top"/>
          </w:tcPr>
          <w:p w14:paraId="640C2350">
            <w:pPr>
              <w:pStyle w:val="14"/>
              <w:spacing w:before="182" w:line="219" w:lineRule="auto"/>
              <w:ind w:left="12"/>
              <w:rPr>
                <w:sz w:val="21"/>
                <w:szCs w:val="21"/>
                <w:highlight w:val="none"/>
              </w:rPr>
            </w:pPr>
            <w:r>
              <w:rPr>
                <w:spacing w:val="4"/>
                <w:sz w:val="21"/>
                <w:szCs w:val="21"/>
                <w:highlight w:val="none"/>
              </w:rPr>
              <w:t>法定代表人身份证明</w:t>
            </w:r>
          </w:p>
        </w:tc>
        <w:tc>
          <w:tcPr>
            <w:tcW w:w="5280" w:type="dxa"/>
            <w:vAlign w:val="top"/>
          </w:tcPr>
          <w:p w14:paraId="34998856">
            <w:pPr>
              <w:pStyle w:val="14"/>
              <w:spacing w:before="181" w:line="219" w:lineRule="auto"/>
              <w:ind w:left="15"/>
              <w:rPr>
                <w:sz w:val="21"/>
                <w:szCs w:val="21"/>
                <w:highlight w:val="none"/>
              </w:rPr>
            </w:pPr>
            <w:r>
              <w:rPr>
                <w:sz w:val="21"/>
                <w:szCs w:val="21"/>
                <w:highlight w:val="none"/>
              </w:rPr>
              <w:t>由法定代表人电子签名并加盖单位电子公章</w:t>
            </w:r>
          </w:p>
        </w:tc>
      </w:tr>
      <w:tr w14:paraId="5645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Merge w:val="continue"/>
            <w:vAlign w:val="top"/>
          </w:tcPr>
          <w:p w14:paraId="7C585615">
            <w:pPr>
              <w:rPr>
                <w:rFonts w:ascii="Arial"/>
                <w:sz w:val="21"/>
                <w:highlight w:val="none"/>
              </w:rPr>
            </w:pPr>
          </w:p>
        </w:tc>
        <w:tc>
          <w:tcPr>
            <w:tcW w:w="579" w:type="dxa"/>
            <w:vMerge w:val="continue"/>
            <w:textDirection w:val="tbRlV"/>
            <w:vAlign w:val="top"/>
          </w:tcPr>
          <w:p w14:paraId="78D9B6F2">
            <w:pPr>
              <w:rPr>
                <w:rFonts w:ascii="Arial"/>
                <w:sz w:val="21"/>
                <w:highlight w:val="none"/>
              </w:rPr>
            </w:pPr>
          </w:p>
        </w:tc>
        <w:tc>
          <w:tcPr>
            <w:tcW w:w="479" w:type="dxa"/>
            <w:vMerge w:val="continue"/>
            <w:textDirection w:val="tbRlV"/>
            <w:vAlign w:val="top"/>
          </w:tcPr>
          <w:p w14:paraId="0CACD446">
            <w:pPr>
              <w:rPr>
                <w:rFonts w:ascii="Arial"/>
                <w:sz w:val="21"/>
                <w:highlight w:val="none"/>
              </w:rPr>
            </w:pPr>
          </w:p>
        </w:tc>
        <w:tc>
          <w:tcPr>
            <w:tcW w:w="2008" w:type="dxa"/>
            <w:vAlign w:val="top"/>
          </w:tcPr>
          <w:p w14:paraId="1F9AEC84">
            <w:pPr>
              <w:pStyle w:val="14"/>
              <w:spacing w:before="182" w:line="219" w:lineRule="auto"/>
              <w:ind w:left="153"/>
              <w:rPr>
                <w:sz w:val="21"/>
                <w:szCs w:val="21"/>
                <w:highlight w:val="none"/>
              </w:rPr>
            </w:pPr>
            <w:r>
              <w:rPr>
                <w:spacing w:val="1"/>
                <w:sz w:val="21"/>
                <w:szCs w:val="21"/>
                <w:highlight w:val="none"/>
              </w:rPr>
              <w:t>投标文件备选方案</w:t>
            </w:r>
          </w:p>
        </w:tc>
        <w:tc>
          <w:tcPr>
            <w:tcW w:w="5280" w:type="dxa"/>
            <w:vAlign w:val="top"/>
          </w:tcPr>
          <w:p w14:paraId="5388431B">
            <w:pPr>
              <w:pStyle w:val="14"/>
              <w:spacing w:before="182" w:line="219" w:lineRule="auto"/>
              <w:ind w:left="15"/>
              <w:rPr>
                <w:sz w:val="21"/>
                <w:szCs w:val="21"/>
                <w:highlight w:val="none"/>
              </w:rPr>
            </w:pPr>
            <w:r>
              <w:rPr>
                <w:sz w:val="21"/>
                <w:szCs w:val="21"/>
                <w:highlight w:val="none"/>
              </w:rPr>
              <w:t>同一投标人同一标段未提交两个及以上不同的投标文件</w:t>
            </w:r>
          </w:p>
        </w:tc>
      </w:tr>
      <w:tr w14:paraId="48A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Merge w:val="continue"/>
            <w:vAlign w:val="top"/>
          </w:tcPr>
          <w:p w14:paraId="1BFAF612">
            <w:pPr>
              <w:rPr>
                <w:rFonts w:ascii="Arial"/>
                <w:sz w:val="21"/>
                <w:highlight w:val="none"/>
              </w:rPr>
            </w:pPr>
          </w:p>
        </w:tc>
        <w:tc>
          <w:tcPr>
            <w:tcW w:w="579" w:type="dxa"/>
            <w:vMerge w:val="continue"/>
            <w:textDirection w:val="tbRlV"/>
            <w:vAlign w:val="top"/>
          </w:tcPr>
          <w:p w14:paraId="04207BD4">
            <w:pPr>
              <w:rPr>
                <w:rFonts w:ascii="Arial"/>
                <w:sz w:val="21"/>
                <w:highlight w:val="none"/>
              </w:rPr>
            </w:pPr>
          </w:p>
        </w:tc>
        <w:tc>
          <w:tcPr>
            <w:tcW w:w="479" w:type="dxa"/>
            <w:vMerge w:val="continue"/>
            <w:textDirection w:val="tbRlV"/>
            <w:vAlign w:val="top"/>
          </w:tcPr>
          <w:p w14:paraId="7F18320E">
            <w:pPr>
              <w:rPr>
                <w:rFonts w:ascii="Arial"/>
                <w:sz w:val="21"/>
                <w:highlight w:val="none"/>
              </w:rPr>
            </w:pPr>
          </w:p>
        </w:tc>
        <w:tc>
          <w:tcPr>
            <w:tcW w:w="2008" w:type="dxa"/>
            <w:vAlign w:val="top"/>
          </w:tcPr>
          <w:p w14:paraId="6CA859A3">
            <w:pPr>
              <w:pStyle w:val="14"/>
              <w:spacing w:before="183" w:line="220" w:lineRule="auto"/>
              <w:ind w:left="472"/>
              <w:rPr>
                <w:sz w:val="21"/>
                <w:szCs w:val="21"/>
                <w:highlight w:val="none"/>
              </w:rPr>
            </w:pPr>
            <w:r>
              <w:rPr>
                <w:spacing w:val="-2"/>
                <w:sz w:val="21"/>
                <w:szCs w:val="21"/>
                <w:highlight w:val="none"/>
              </w:rPr>
              <w:t>联合体投标</w:t>
            </w:r>
          </w:p>
        </w:tc>
        <w:tc>
          <w:tcPr>
            <w:tcW w:w="5280" w:type="dxa"/>
            <w:vAlign w:val="top"/>
          </w:tcPr>
          <w:p w14:paraId="1AFDFCB9">
            <w:pPr>
              <w:pStyle w:val="14"/>
              <w:spacing w:before="180" w:line="218" w:lineRule="auto"/>
              <w:ind w:left="15"/>
              <w:rPr>
                <w:sz w:val="21"/>
                <w:szCs w:val="21"/>
                <w:highlight w:val="none"/>
              </w:rPr>
            </w:pPr>
            <w:r>
              <w:rPr>
                <w:spacing w:val="1"/>
                <w:sz w:val="21"/>
                <w:szCs w:val="21"/>
                <w:highlight w:val="none"/>
              </w:rPr>
              <w:t>符合第一章“招标公告”第3.2款规定</w:t>
            </w:r>
          </w:p>
        </w:tc>
      </w:tr>
      <w:tr w14:paraId="0550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Merge w:val="continue"/>
            <w:vAlign w:val="top"/>
          </w:tcPr>
          <w:p w14:paraId="26AA30E6">
            <w:pPr>
              <w:rPr>
                <w:rFonts w:ascii="Arial"/>
                <w:sz w:val="21"/>
                <w:highlight w:val="none"/>
              </w:rPr>
            </w:pPr>
          </w:p>
        </w:tc>
        <w:tc>
          <w:tcPr>
            <w:tcW w:w="579" w:type="dxa"/>
            <w:vMerge w:val="continue"/>
            <w:textDirection w:val="tbRlV"/>
            <w:vAlign w:val="top"/>
          </w:tcPr>
          <w:p w14:paraId="6AC1DB31">
            <w:pPr>
              <w:rPr>
                <w:rFonts w:ascii="Arial"/>
                <w:sz w:val="21"/>
                <w:highlight w:val="none"/>
              </w:rPr>
            </w:pPr>
          </w:p>
        </w:tc>
        <w:tc>
          <w:tcPr>
            <w:tcW w:w="479" w:type="dxa"/>
            <w:vMerge w:val="continue"/>
            <w:textDirection w:val="tbRlV"/>
            <w:vAlign w:val="top"/>
          </w:tcPr>
          <w:p w14:paraId="5541FAD4">
            <w:pPr>
              <w:rPr>
                <w:rFonts w:ascii="Arial"/>
                <w:sz w:val="21"/>
                <w:highlight w:val="none"/>
              </w:rPr>
            </w:pPr>
          </w:p>
        </w:tc>
        <w:tc>
          <w:tcPr>
            <w:tcW w:w="2008" w:type="dxa"/>
            <w:vAlign w:val="top"/>
          </w:tcPr>
          <w:p w14:paraId="7B016530">
            <w:pPr>
              <w:pStyle w:val="14"/>
              <w:spacing w:before="181" w:line="218" w:lineRule="auto"/>
              <w:ind w:left="572"/>
              <w:rPr>
                <w:sz w:val="21"/>
                <w:szCs w:val="21"/>
                <w:highlight w:val="none"/>
              </w:rPr>
            </w:pPr>
            <w:r>
              <w:rPr>
                <w:spacing w:val="-3"/>
                <w:sz w:val="21"/>
                <w:szCs w:val="21"/>
                <w:highlight w:val="none"/>
              </w:rPr>
              <w:t>投标报价</w:t>
            </w:r>
          </w:p>
        </w:tc>
        <w:tc>
          <w:tcPr>
            <w:tcW w:w="5280" w:type="dxa"/>
            <w:vAlign w:val="top"/>
          </w:tcPr>
          <w:p w14:paraId="21B39B35">
            <w:pPr>
              <w:pStyle w:val="14"/>
              <w:spacing w:before="181" w:line="218" w:lineRule="auto"/>
              <w:ind w:left="15"/>
              <w:rPr>
                <w:sz w:val="21"/>
                <w:szCs w:val="21"/>
                <w:highlight w:val="none"/>
              </w:rPr>
            </w:pPr>
            <w:r>
              <w:rPr>
                <w:sz w:val="21"/>
                <w:szCs w:val="21"/>
                <w:highlight w:val="none"/>
              </w:rPr>
              <w:t>未出现有关投标报价的内容</w:t>
            </w:r>
          </w:p>
        </w:tc>
      </w:tr>
      <w:tr w14:paraId="4B8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4" w:type="dxa"/>
            <w:vMerge w:val="continue"/>
            <w:vAlign w:val="top"/>
          </w:tcPr>
          <w:p w14:paraId="6F2BDF31">
            <w:pPr>
              <w:rPr>
                <w:rFonts w:ascii="Arial"/>
                <w:sz w:val="21"/>
                <w:highlight w:val="none"/>
              </w:rPr>
            </w:pPr>
          </w:p>
        </w:tc>
        <w:tc>
          <w:tcPr>
            <w:tcW w:w="579" w:type="dxa"/>
            <w:vMerge w:val="continue"/>
            <w:textDirection w:val="tbRlV"/>
            <w:vAlign w:val="top"/>
          </w:tcPr>
          <w:p w14:paraId="24F09EC1">
            <w:pPr>
              <w:rPr>
                <w:rFonts w:ascii="Arial"/>
                <w:sz w:val="21"/>
                <w:highlight w:val="none"/>
              </w:rPr>
            </w:pPr>
          </w:p>
        </w:tc>
        <w:tc>
          <w:tcPr>
            <w:tcW w:w="479" w:type="dxa"/>
            <w:vMerge w:val="continue"/>
            <w:textDirection w:val="tbRlV"/>
            <w:vAlign w:val="top"/>
          </w:tcPr>
          <w:p w14:paraId="02D6473A">
            <w:pPr>
              <w:rPr>
                <w:rFonts w:ascii="Arial"/>
                <w:sz w:val="21"/>
                <w:highlight w:val="none"/>
              </w:rPr>
            </w:pPr>
          </w:p>
        </w:tc>
        <w:tc>
          <w:tcPr>
            <w:tcW w:w="2008" w:type="dxa"/>
            <w:vAlign w:val="top"/>
          </w:tcPr>
          <w:p w14:paraId="1E3EEB29">
            <w:pPr>
              <w:pStyle w:val="14"/>
              <w:spacing w:before="184" w:line="220" w:lineRule="auto"/>
              <w:ind w:left="782"/>
              <w:rPr>
                <w:sz w:val="21"/>
                <w:szCs w:val="21"/>
                <w:highlight w:val="none"/>
              </w:rPr>
            </w:pPr>
            <w:r>
              <w:rPr>
                <w:spacing w:val="6"/>
                <w:sz w:val="21"/>
                <w:szCs w:val="21"/>
                <w:highlight w:val="none"/>
              </w:rPr>
              <w:t>工期</w:t>
            </w:r>
          </w:p>
        </w:tc>
        <w:tc>
          <w:tcPr>
            <w:tcW w:w="5280" w:type="dxa"/>
            <w:vAlign w:val="top"/>
          </w:tcPr>
          <w:p w14:paraId="74D19C71">
            <w:pPr>
              <w:pStyle w:val="14"/>
              <w:spacing w:before="182" w:line="219" w:lineRule="auto"/>
              <w:ind w:left="15"/>
              <w:rPr>
                <w:sz w:val="21"/>
                <w:szCs w:val="21"/>
                <w:highlight w:val="none"/>
              </w:rPr>
            </w:pPr>
            <w:r>
              <w:rPr>
                <w:spacing w:val="1"/>
                <w:sz w:val="21"/>
                <w:szCs w:val="21"/>
                <w:highlight w:val="none"/>
              </w:rPr>
              <w:t>符合第二章“投标人须知”第1.3.2项</w:t>
            </w:r>
            <w:r>
              <w:rPr>
                <w:sz w:val="21"/>
                <w:szCs w:val="21"/>
                <w:highlight w:val="none"/>
              </w:rPr>
              <w:t>规定</w:t>
            </w:r>
          </w:p>
        </w:tc>
      </w:tr>
      <w:tr w14:paraId="6739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 w:type="dxa"/>
            <w:vMerge w:val="continue"/>
            <w:vAlign w:val="top"/>
          </w:tcPr>
          <w:p w14:paraId="4EB0047A">
            <w:pPr>
              <w:rPr>
                <w:rFonts w:ascii="Arial"/>
                <w:sz w:val="21"/>
                <w:highlight w:val="none"/>
              </w:rPr>
            </w:pPr>
          </w:p>
        </w:tc>
        <w:tc>
          <w:tcPr>
            <w:tcW w:w="579" w:type="dxa"/>
            <w:vMerge w:val="continue"/>
            <w:textDirection w:val="tbRlV"/>
            <w:vAlign w:val="top"/>
          </w:tcPr>
          <w:p w14:paraId="30167326">
            <w:pPr>
              <w:rPr>
                <w:rFonts w:ascii="Arial"/>
                <w:sz w:val="21"/>
                <w:highlight w:val="none"/>
              </w:rPr>
            </w:pPr>
          </w:p>
        </w:tc>
        <w:tc>
          <w:tcPr>
            <w:tcW w:w="479" w:type="dxa"/>
            <w:vMerge w:val="continue"/>
            <w:textDirection w:val="tbRlV"/>
            <w:vAlign w:val="top"/>
          </w:tcPr>
          <w:p w14:paraId="4643A08A">
            <w:pPr>
              <w:rPr>
                <w:rFonts w:ascii="Arial"/>
                <w:sz w:val="21"/>
                <w:highlight w:val="none"/>
              </w:rPr>
            </w:pPr>
          </w:p>
        </w:tc>
        <w:tc>
          <w:tcPr>
            <w:tcW w:w="2008" w:type="dxa"/>
            <w:vAlign w:val="top"/>
          </w:tcPr>
          <w:p w14:paraId="0D868BC4">
            <w:pPr>
              <w:pStyle w:val="14"/>
              <w:spacing w:before="185" w:line="220" w:lineRule="auto"/>
              <w:ind w:left="572"/>
              <w:rPr>
                <w:sz w:val="21"/>
                <w:szCs w:val="21"/>
                <w:highlight w:val="none"/>
              </w:rPr>
            </w:pPr>
            <w:r>
              <w:rPr>
                <w:spacing w:val="-2"/>
                <w:sz w:val="21"/>
                <w:szCs w:val="21"/>
                <w:highlight w:val="none"/>
              </w:rPr>
              <w:t>质量标准</w:t>
            </w:r>
          </w:p>
        </w:tc>
        <w:tc>
          <w:tcPr>
            <w:tcW w:w="5280" w:type="dxa"/>
            <w:vAlign w:val="top"/>
          </w:tcPr>
          <w:p w14:paraId="37B47675">
            <w:pPr>
              <w:pStyle w:val="14"/>
              <w:spacing w:before="183" w:line="219" w:lineRule="auto"/>
              <w:ind w:left="15"/>
              <w:rPr>
                <w:sz w:val="21"/>
                <w:szCs w:val="21"/>
                <w:highlight w:val="none"/>
              </w:rPr>
            </w:pPr>
            <w:r>
              <w:rPr>
                <w:sz w:val="21"/>
                <w:szCs w:val="21"/>
                <w:highlight w:val="none"/>
              </w:rPr>
              <w:t>符合第二章“投标人须知”第1.3.3.项规定</w:t>
            </w:r>
          </w:p>
        </w:tc>
      </w:tr>
      <w:tr w14:paraId="0F0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74" w:type="dxa"/>
            <w:vMerge w:val="continue"/>
            <w:vAlign w:val="top"/>
          </w:tcPr>
          <w:p w14:paraId="6BCEDF2C">
            <w:pPr>
              <w:rPr>
                <w:rFonts w:ascii="Arial"/>
                <w:sz w:val="21"/>
                <w:highlight w:val="none"/>
              </w:rPr>
            </w:pPr>
          </w:p>
        </w:tc>
        <w:tc>
          <w:tcPr>
            <w:tcW w:w="579" w:type="dxa"/>
            <w:vMerge w:val="continue"/>
            <w:textDirection w:val="tbRlV"/>
            <w:vAlign w:val="top"/>
          </w:tcPr>
          <w:p w14:paraId="29773DE3">
            <w:pPr>
              <w:rPr>
                <w:rFonts w:ascii="Arial"/>
                <w:sz w:val="21"/>
                <w:highlight w:val="none"/>
              </w:rPr>
            </w:pPr>
          </w:p>
        </w:tc>
        <w:tc>
          <w:tcPr>
            <w:tcW w:w="479" w:type="dxa"/>
            <w:vMerge w:val="continue"/>
            <w:textDirection w:val="tbRlV"/>
            <w:vAlign w:val="top"/>
          </w:tcPr>
          <w:p w14:paraId="0AC83359">
            <w:pPr>
              <w:rPr>
                <w:rFonts w:ascii="Arial"/>
                <w:sz w:val="21"/>
                <w:highlight w:val="none"/>
              </w:rPr>
            </w:pPr>
          </w:p>
        </w:tc>
        <w:tc>
          <w:tcPr>
            <w:tcW w:w="2008" w:type="dxa"/>
            <w:vAlign w:val="top"/>
          </w:tcPr>
          <w:p w14:paraId="6CD0DF2F">
            <w:pPr>
              <w:pStyle w:val="14"/>
              <w:spacing w:before="185" w:line="220" w:lineRule="auto"/>
              <w:ind w:left="572"/>
              <w:rPr>
                <w:sz w:val="21"/>
                <w:szCs w:val="21"/>
                <w:highlight w:val="none"/>
              </w:rPr>
            </w:pPr>
            <w:r>
              <w:rPr>
                <w:spacing w:val="2"/>
                <w:sz w:val="21"/>
                <w:szCs w:val="21"/>
                <w:highlight w:val="none"/>
              </w:rPr>
              <w:t>安全目标</w:t>
            </w:r>
          </w:p>
        </w:tc>
        <w:tc>
          <w:tcPr>
            <w:tcW w:w="5280" w:type="dxa"/>
            <w:vAlign w:val="top"/>
          </w:tcPr>
          <w:p w14:paraId="768BE18E">
            <w:pPr>
              <w:pStyle w:val="14"/>
              <w:spacing w:before="183" w:line="219" w:lineRule="auto"/>
              <w:ind w:left="15"/>
              <w:rPr>
                <w:sz w:val="21"/>
                <w:szCs w:val="21"/>
                <w:highlight w:val="none"/>
              </w:rPr>
            </w:pPr>
            <w:r>
              <w:rPr>
                <w:sz w:val="21"/>
                <w:szCs w:val="21"/>
                <w:highlight w:val="none"/>
              </w:rPr>
              <w:t>符合第二章“投标人须知”第1.3.4项规定</w:t>
            </w:r>
          </w:p>
        </w:tc>
      </w:tr>
      <w:tr w14:paraId="0C8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74" w:type="dxa"/>
            <w:vMerge w:val="continue"/>
            <w:vAlign w:val="top"/>
          </w:tcPr>
          <w:p w14:paraId="32587E76">
            <w:pPr>
              <w:rPr>
                <w:rFonts w:ascii="Arial"/>
                <w:sz w:val="21"/>
                <w:highlight w:val="none"/>
              </w:rPr>
            </w:pPr>
          </w:p>
        </w:tc>
        <w:tc>
          <w:tcPr>
            <w:tcW w:w="579" w:type="dxa"/>
            <w:vMerge w:val="continue"/>
            <w:textDirection w:val="tbRlV"/>
            <w:vAlign w:val="top"/>
          </w:tcPr>
          <w:p w14:paraId="6634E1E6">
            <w:pPr>
              <w:rPr>
                <w:rFonts w:ascii="Arial"/>
                <w:sz w:val="21"/>
                <w:highlight w:val="none"/>
              </w:rPr>
            </w:pPr>
          </w:p>
        </w:tc>
        <w:tc>
          <w:tcPr>
            <w:tcW w:w="479" w:type="dxa"/>
            <w:vMerge w:val="continue"/>
            <w:textDirection w:val="tbRlV"/>
            <w:vAlign w:val="top"/>
          </w:tcPr>
          <w:p w14:paraId="40E50883">
            <w:pPr>
              <w:rPr>
                <w:rFonts w:ascii="Arial"/>
                <w:sz w:val="21"/>
                <w:highlight w:val="none"/>
              </w:rPr>
            </w:pPr>
          </w:p>
        </w:tc>
        <w:tc>
          <w:tcPr>
            <w:tcW w:w="2008" w:type="dxa"/>
            <w:vAlign w:val="top"/>
          </w:tcPr>
          <w:p w14:paraId="6148EDC6">
            <w:pPr>
              <w:spacing w:line="257" w:lineRule="auto"/>
              <w:rPr>
                <w:rFonts w:ascii="Arial"/>
                <w:sz w:val="21"/>
                <w:highlight w:val="none"/>
              </w:rPr>
            </w:pPr>
          </w:p>
          <w:p w14:paraId="72F52A2B">
            <w:pPr>
              <w:spacing w:line="257" w:lineRule="auto"/>
              <w:rPr>
                <w:rFonts w:ascii="Arial"/>
                <w:sz w:val="21"/>
                <w:highlight w:val="none"/>
              </w:rPr>
            </w:pPr>
          </w:p>
          <w:p w14:paraId="5ABC17CC">
            <w:pPr>
              <w:spacing w:line="258" w:lineRule="auto"/>
              <w:rPr>
                <w:rFonts w:ascii="Arial"/>
                <w:sz w:val="21"/>
                <w:highlight w:val="none"/>
              </w:rPr>
            </w:pPr>
          </w:p>
          <w:p w14:paraId="1C068CE4">
            <w:pPr>
              <w:pStyle w:val="14"/>
              <w:spacing w:before="69" w:line="219" w:lineRule="auto"/>
              <w:ind w:left="572"/>
              <w:rPr>
                <w:sz w:val="21"/>
                <w:szCs w:val="21"/>
                <w:highlight w:val="none"/>
              </w:rPr>
            </w:pPr>
            <w:r>
              <w:rPr>
                <w:spacing w:val="-2"/>
                <w:sz w:val="21"/>
                <w:szCs w:val="21"/>
                <w:highlight w:val="none"/>
              </w:rPr>
              <w:t>权利义务</w:t>
            </w:r>
          </w:p>
          <w:p w14:paraId="195C3A24">
            <w:pPr>
              <w:pStyle w:val="14"/>
              <w:spacing w:before="80" w:line="219" w:lineRule="auto"/>
              <w:ind w:left="153"/>
              <w:rPr>
                <w:sz w:val="21"/>
                <w:szCs w:val="21"/>
                <w:highlight w:val="none"/>
              </w:rPr>
            </w:pPr>
            <w:r>
              <w:rPr>
                <w:spacing w:val="1"/>
                <w:sz w:val="21"/>
                <w:szCs w:val="21"/>
                <w:highlight w:val="none"/>
              </w:rPr>
              <w:t>符合招标文件规定</w:t>
            </w:r>
          </w:p>
        </w:tc>
        <w:tc>
          <w:tcPr>
            <w:tcW w:w="5280" w:type="dxa"/>
            <w:vAlign w:val="top"/>
          </w:tcPr>
          <w:p w14:paraId="1C792A1E">
            <w:pPr>
              <w:pStyle w:val="14"/>
              <w:spacing w:before="85" w:line="237" w:lineRule="auto"/>
              <w:ind w:left="15" w:right="13"/>
              <w:rPr>
                <w:sz w:val="21"/>
                <w:szCs w:val="21"/>
                <w:highlight w:val="none"/>
              </w:rPr>
            </w:pPr>
            <w:r>
              <w:rPr>
                <w:spacing w:val="-1"/>
                <w:sz w:val="21"/>
                <w:szCs w:val="21"/>
                <w:highlight w:val="none"/>
              </w:rPr>
              <w:t>a.投标人应接受招标文件规定的风险划分原则，未提出新</w:t>
            </w:r>
            <w:r>
              <w:rPr>
                <w:spacing w:val="15"/>
                <w:sz w:val="21"/>
                <w:szCs w:val="21"/>
                <w:highlight w:val="none"/>
              </w:rPr>
              <w:t xml:space="preserve"> </w:t>
            </w:r>
            <w:r>
              <w:rPr>
                <w:spacing w:val="13"/>
                <w:sz w:val="21"/>
                <w:szCs w:val="21"/>
                <w:highlight w:val="none"/>
              </w:rPr>
              <w:t>的风险划分办法；</w:t>
            </w:r>
          </w:p>
          <w:p w14:paraId="68C24D08">
            <w:pPr>
              <w:pStyle w:val="14"/>
              <w:spacing w:before="80" w:line="219" w:lineRule="auto"/>
              <w:jc w:val="right"/>
              <w:rPr>
                <w:sz w:val="21"/>
                <w:szCs w:val="21"/>
                <w:highlight w:val="none"/>
              </w:rPr>
            </w:pPr>
            <w:r>
              <w:rPr>
                <w:sz w:val="21"/>
                <w:szCs w:val="21"/>
                <w:highlight w:val="none"/>
              </w:rPr>
              <w:t>b.投标人未增加发包人的责任范围，或减少投标人义务；</w:t>
            </w:r>
          </w:p>
          <w:p w14:paraId="3396D7D0">
            <w:pPr>
              <w:pStyle w:val="14"/>
              <w:spacing w:before="60" w:line="219" w:lineRule="auto"/>
              <w:ind w:left="15"/>
              <w:rPr>
                <w:sz w:val="21"/>
                <w:szCs w:val="21"/>
                <w:highlight w:val="none"/>
              </w:rPr>
            </w:pPr>
            <w:r>
              <w:rPr>
                <w:spacing w:val="6"/>
                <w:sz w:val="21"/>
                <w:szCs w:val="21"/>
                <w:highlight w:val="none"/>
              </w:rPr>
              <w:t>c.投标人未提出不同的支付办法；</w:t>
            </w:r>
          </w:p>
          <w:p w14:paraId="2ACC856B">
            <w:pPr>
              <w:pStyle w:val="14"/>
              <w:spacing w:before="71" w:line="219" w:lineRule="auto"/>
              <w:ind w:left="15"/>
              <w:rPr>
                <w:sz w:val="21"/>
                <w:szCs w:val="21"/>
                <w:highlight w:val="none"/>
              </w:rPr>
            </w:pPr>
            <w:r>
              <w:rPr>
                <w:spacing w:val="4"/>
                <w:sz w:val="21"/>
                <w:szCs w:val="21"/>
                <w:highlight w:val="none"/>
              </w:rPr>
              <w:t>d.投标人对合同纠纷、事故处理办法未提出异议；</w:t>
            </w:r>
          </w:p>
          <w:p w14:paraId="030F7E88">
            <w:pPr>
              <w:pStyle w:val="14"/>
              <w:spacing w:before="51" w:line="219" w:lineRule="auto"/>
              <w:ind w:left="15"/>
              <w:rPr>
                <w:sz w:val="21"/>
                <w:szCs w:val="21"/>
                <w:highlight w:val="none"/>
              </w:rPr>
            </w:pPr>
            <w:r>
              <w:rPr>
                <w:spacing w:val="6"/>
                <w:sz w:val="21"/>
                <w:szCs w:val="21"/>
                <w:highlight w:val="none"/>
              </w:rPr>
              <w:t>e.投标人在投标活动中无欺诈行为；</w:t>
            </w:r>
          </w:p>
          <w:p w14:paraId="3F235D98">
            <w:pPr>
              <w:pStyle w:val="14"/>
              <w:spacing w:before="80" w:line="196" w:lineRule="auto"/>
              <w:ind w:left="15"/>
              <w:rPr>
                <w:sz w:val="21"/>
                <w:szCs w:val="21"/>
                <w:highlight w:val="none"/>
              </w:rPr>
            </w:pPr>
            <w:r>
              <w:rPr>
                <w:sz w:val="21"/>
                <w:szCs w:val="21"/>
                <w:highlight w:val="none"/>
              </w:rPr>
              <w:t>f.投标人未对合同条款有重要保留。</w:t>
            </w:r>
          </w:p>
        </w:tc>
      </w:tr>
      <w:tr w14:paraId="4665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4" w:type="dxa"/>
            <w:vMerge w:val="continue"/>
            <w:vAlign w:val="top"/>
          </w:tcPr>
          <w:p w14:paraId="12B63808">
            <w:pPr>
              <w:rPr>
                <w:rFonts w:ascii="Arial"/>
                <w:sz w:val="21"/>
                <w:highlight w:val="none"/>
              </w:rPr>
            </w:pPr>
          </w:p>
        </w:tc>
        <w:tc>
          <w:tcPr>
            <w:tcW w:w="579" w:type="dxa"/>
            <w:vMerge w:val="continue"/>
            <w:textDirection w:val="tbRlV"/>
            <w:vAlign w:val="top"/>
          </w:tcPr>
          <w:p w14:paraId="7CEC58E9">
            <w:pPr>
              <w:rPr>
                <w:rFonts w:ascii="Arial"/>
                <w:sz w:val="21"/>
                <w:highlight w:val="none"/>
              </w:rPr>
            </w:pPr>
          </w:p>
        </w:tc>
        <w:tc>
          <w:tcPr>
            <w:tcW w:w="479" w:type="dxa"/>
            <w:vMerge w:val="continue"/>
            <w:textDirection w:val="tbRlV"/>
            <w:vAlign w:val="top"/>
          </w:tcPr>
          <w:p w14:paraId="4B21052B">
            <w:pPr>
              <w:rPr>
                <w:rFonts w:ascii="Arial"/>
                <w:sz w:val="21"/>
                <w:highlight w:val="none"/>
              </w:rPr>
            </w:pPr>
          </w:p>
        </w:tc>
        <w:tc>
          <w:tcPr>
            <w:tcW w:w="2008" w:type="dxa"/>
            <w:vAlign w:val="top"/>
          </w:tcPr>
          <w:p w14:paraId="0D04A685">
            <w:pPr>
              <w:pStyle w:val="14"/>
              <w:spacing w:before="87" w:line="236" w:lineRule="auto"/>
              <w:ind w:left="892" w:right="45" w:hanging="840"/>
              <w:rPr>
                <w:sz w:val="21"/>
                <w:szCs w:val="21"/>
                <w:highlight w:val="none"/>
              </w:rPr>
            </w:pPr>
            <w:r>
              <w:rPr>
                <w:spacing w:val="1"/>
                <w:sz w:val="21"/>
                <w:szCs w:val="21"/>
                <w:highlight w:val="none"/>
              </w:rPr>
              <w:t>投标人不得存在的情</w:t>
            </w:r>
            <w:r>
              <w:rPr>
                <w:sz w:val="21"/>
                <w:szCs w:val="21"/>
                <w:highlight w:val="none"/>
              </w:rPr>
              <w:t xml:space="preserve"> 形</w:t>
            </w:r>
          </w:p>
        </w:tc>
        <w:tc>
          <w:tcPr>
            <w:tcW w:w="5280" w:type="dxa"/>
            <w:vAlign w:val="top"/>
          </w:tcPr>
          <w:p w14:paraId="40BB8E19">
            <w:pPr>
              <w:pStyle w:val="14"/>
              <w:spacing w:before="87" w:line="236" w:lineRule="auto"/>
              <w:ind w:left="15"/>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14:paraId="1C7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335575CE">
            <w:pPr>
              <w:rPr>
                <w:rFonts w:ascii="Arial"/>
                <w:sz w:val="21"/>
                <w:highlight w:val="none"/>
              </w:rPr>
            </w:pPr>
          </w:p>
        </w:tc>
        <w:tc>
          <w:tcPr>
            <w:tcW w:w="579" w:type="dxa"/>
            <w:vMerge w:val="continue"/>
            <w:textDirection w:val="tbRlV"/>
            <w:vAlign w:val="top"/>
          </w:tcPr>
          <w:p w14:paraId="16D5D7AF">
            <w:pPr>
              <w:rPr>
                <w:rFonts w:ascii="Arial"/>
                <w:sz w:val="21"/>
                <w:highlight w:val="none"/>
              </w:rPr>
            </w:pPr>
          </w:p>
        </w:tc>
        <w:tc>
          <w:tcPr>
            <w:tcW w:w="479" w:type="dxa"/>
            <w:vMerge w:val="continue"/>
            <w:textDirection w:val="tbRlV"/>
            <w:vAlign w:val="top"/>
          </w:tcPr>
          <w:p w14:paraId="10384974">
            <w:pPr>
              <w:rPr>
                <w:rFonts w:ascii="Arial"/>
                <w:sz w:val="21"/>
                <w:highlight w:val="none"/>
              </w:rPr>
            </w:pPr>
          </w:p>
        </w:tc>
        <w:tc>
          <w:tcPr>
            <w:tcW w:w="2008" w:type="dxa"/>
            <w:vAlign w:val="center"/>
          </w:tcPr>
          <w:p w14:paraId="7B3B67F9">
            <w:pPr>
              <w:pStyle w:val="14"/>
              <w:spacing w:before="170" w:line="220" w:lineRule="auto"/>
              <w:ind w:left="792" w:leftChars="0"/>
              <w:jc w:val="both"/>
              <w:rPr>
                <w:spacing w:val="1"/>
                <w:sz w:val="21"/>
                <w:szCs w:val="21"/>
                <w:highlight w:val="none"/>
              </w:rPr>
            </w:pPr>
            <w:r>
              <w:rPr>
                <w:spacing w:val="-3"/>
                <w:sz w:val="21"/>
                <w:szCs w:val="21"/>
                <w:highlight w:val="none"/>
              </w:rPr>
              <w:t>其他</w:t>
            </w:r>
          </w:p>
        </w:tc>
        <w:tc>
          <w:tcPr>
            <w:tcW w:w="5280" w:type="dxa"/>
            <w:vAlign w:val="center"/>
          </w:tcPr>
          <w:p w14:paraId="2DB89ACE">
            <w:pPr>
              <w:pStyle w:val="14"/>
              <w:spacing w:before="168" w:line="219" w:lineRule="auto"/>
              <w:ind w:left="15" w:leftChars="0"/>
              <w:jc w:val="both"/>
              <w:rPr>
                <w:spacing w:val="-4"/>
                <w:sz w:val="21"/>
                <w:szCs w:val="21"/>
                <w:highlight w:val="none"/>
              </w:rPr>
            </w:pPr>
            <w:r>
              <w:rPr>
                <w:spacing w:val="-1"/>
                <w:sz w:val="21"/>
                <w:szCs w:val="21"/>
                <w:highlight w:val="none"/>
              </w:rPr>
              <w:t>投标文件未附有招标人不能接受的条件</w:t>
            </w:r>
          </w:p>
        </w:tc>
      </w:tr>
      <w:tr w14:paraId="6C3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5E345606">
            <w:pPr>
              <w:rPr>
                <w:rFonts w:ascii="Arial"/>
                <w:sz w:val="21"/>
                <w:highlight w:val="none"/>
              </w:rPr>
            </w:pPr>
          </w:p>
        </w:tc>
        <w:tc>
          <w:tcPr>
            <w:tcW w:w="579" w:type="dxa"/>
            <w:vMerge w:val="continue"/>
            <w:textDirection w:val="tbRlV"/>
            <w:vAlign w:val="top"/>
          </w:tcPr>
          <w:p w14:paraId="51912099">
            <w:pPr>
              <w:rPr>
                <w:rFonts w:ascii="Arial"/>
                <w:sz w:val="21"/>
                <w:highlight w:val="none"/>
              </w:rPr>
            </w:pPr>
          </w:p>
        </w:tc>
        <w:tc>
          <w:tcPr>
            <w:tcW w:w="479" w:type="dxa"/>
            <w:vMerge w:val="continue"/>
            <w:textDirection w:val="tbRlV"/>
            <w:vAlign w:val="top"/>
          </w:tcPr>
          <w:p w14:paraId="5018B9CF">
            <w:pPr>
              <w:rPr>
                <w:rFonts w:ascii="Arial"/>
                <w:sz w:val="21"/>
                <w:highlight w:val="none"/>
              </w:rPr>
            </w:pPr>
          </w:p>
        </w:tc>
        <w:tc>
          <w:tcPr>
            <w:tcW w:w="2008" w:type="dxa"/>
            <w:vAlign w:val="center"/>
          </w:tcPr>
          <w:p w14:paraId="25174EFD">
            <w:pPr>
              <w:pStyle w:val="14"/>
              <w:keepNext w:val="0"/>
              <w:keepLines w:val="0"/>
              <w:pageBreakBefore w:val="0"/>
              <w:widowControl/>
              <w:kinsoku w:val="0"/>
              <w:wordWrap/>
              <w:overflowPunct/>
              <w:topLinePunct w:val="0"/>
              <w:autoSpaceDE w:val="0"/>
              <w:autoSpaceDN w:val="0"/>
              <w:bidi w:val="0"/>
              <w:adjustRightInd w:val="0"/>
              <w:snapToGrid w:val="0"/>
              <w:spacing w:before="71" w:line="241"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vAlign w:val="center"/>
          </w:tcPr>
          <w:p w14:paraId="7F24D2C2">
            <w:pPr>
              <w:pStyle w:val="14"/>
              <w:spacing w:before="210" w:line="219" w:lineRule="auto"/>
              <w:ind w:left="15" w:leftChars="0"/>
              <w:jc w:val="both"/>
              <w:rPr>
                <w:spacing w:val="-1"/>
                <w:sz w:val="21"/>
                <w:szCs w:val="21"/>
                <w:highlight w:val="none"/>
              </w:rPr>
            </w:pPr>
            <w:r>
              <w:rPr>
                <w:spacing w:val="-1"/>
                <w:sz w:val="21"/>
                <w:szCs w:val="21"/>
                <w:highlight w:val="none"/>
              </w:rPr>
              <w:t>无招标人不能接受的条件</w:t>
            </w:r>
          </w:p>
        </w:tc>
      </w:tr>
      <w:tr w14:paraId="1EA3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74" w:type="dxa"/>
            <w:vMerge w:val="continue"/>
            <w:vAlign w:val="top"/>
          </w:tcPr>
          <w:p w14:paraId="24A28A29">
            <w:pPr>
              <w:rPr>
                <w:rFonts w:ascii="Arial"/>
                <w:sz w:val="21"/>
                <w:highlight w:val="none"/>
              </w:rPr>
            </w:pPr>
          </w:p>
        </w:tc>
        <w:tc>
          <w:tcPr>
            <w:tcW w:w="579" w:type="dxa"/>
            <w:vMerge w:val="continue"/>
            <w:textDirection w:val="tbRlV"/>
            <w:vAlign w:val="top"/>
          </w:tcPr>
          <w:p w14:paraId="246C0ECF">
            <w:pPr>
              <w:rPr>
                <w:rFonts w:ascii="Arial"/>
                <w:sz w:val="21"/>
                <w:highlight w:val="none"/>
              </w:rPr>
            </w:pPr>
          </w:p>
        </w:tc>
        <w:tc>
          <w:tcPr>
            <w:tcW w:w="479" w:type="dxa"/>
            <w:vMerge w:val="continue"/>
            <w:textDirection w:val="tbRlV"/>
            <w:vAlign w:val="top"/>
          </w:tcPr>
          <w:p w14:paraId="33EABF94">
            <w:pPr>
              <w:rPr>
                <w:rFonts w:ascii="Arial"/>
                <w:sz w:val="21"/>
                <w:highlight w:val="none"/>
              </w:rPr>
            </w:pPr>
          </w:p>
        </w:tc>
        <w:tc>
          <w:tcPr>
            <w:tcW w:w="2008" w:type="dxa"/>
            <w:shd w:val="clear" w:color="auto" w:fill="auto"/>
            <w:vAlign w:val="center"/>
          </w:tcPr>
          <w:p w14:paraId="242A6C65">
            <w:pPr>
              <w:pStyle w:val="14"/>
              <w:keepNext w:val="0"/>
              <w:keepLines w:val="0"/>
              <w:pageBreakBefore w:val="0"/>
              <w:widowControl/>
              <w:kinsoku w:val="0"/>
              <w:wordWrap/>
              <w:overflowPunct/>
              <w:topLinePunct w:val="0"/>
              <w:autoSpaceDE w:val="0"/>
              <w:autoSpaceDN w:val="0"/>
              <w:bidi w:val="0"/>
              <w:adjustRightInd w:val="0"/>
              <w:snapToGrid w:val="0"/>
              <w:spacing w:before="79" w:line="219" w:lineRule="auto"/>
              <w:ind w:left="0" w:right="0" w:firstLine="0"/>
              <w:jc w:val="center"/>
              <w:textAlignment w:val="baseline"/>
              <w:rPr>
                <w:sz w:val="21"/>
                <w:szCs w:val="21"/>
                <w:highlight w:val="none"/>
              </w:rPr>
            </w:pPr>
            <w:r>
              <w:rPr>
                <w:spacing w:val="-11"/>
                <w:sz w:val="21"/>
                <w:szCs w:val="21"/>
                <w:highlight w:val="none"/>
              </w:rPr>
              <w:t>营业执照、资质证书、</w:t>
            </w:r>
          </w:p>
          <w:p w14:paraId="2BD84D3E">
            <w:pPr>
              <w:pStyle w:val="14"/>
              <w:keepNext w:val="0"/>
              <w:keepLines w:val="0"/>
              <w:pageBreakBefore w:val="0"/>
              <w:widowControl/>
              <w:kinsoku w:val="0"/>
              <w:wordWrap/>
              <w:overflowPunct/>
              <w:topLinePunct w:val="0"/>
              <w:autoSpaceDE w:val="0"/>
              <w:autoSpaceDN w:val="0"/>
              <w:bidi w:val="0"/>
              <w:adjustRightInd w:val="0"/>
              <w:snapToGrid w:val="0"/>
              <w:spacing w:before="42" w:line="219" w:lineRule="auto"/>
              <w:ind w:left="0" w:right="0" w:firstLine="0"/>
              <w:jc w:val="center"/>
              <w:textAlignment w:val="baseline"/>
              <w:rPr>
                <w:sz w:val="21"/>
                <w:szCs w:val="21"/>
                <w:highlight w:val="none"/>
              </w:rPr>
            </w:pPr>
            <w:r>
              <w:rPr>
                <w:spacing w:val="1"/>
                <w:sz w:val="21"/>
                <w:szCs w:val="21"/>
                <w:highlight w:val="none"/>
              </w:rPr>
              <w:t>安全生产许可证和基</w:t>
            </w:r>
          </w:p>
          <w:p w14:paraId="3BE1CC7D">
            <w:pPr>
              <w:pStyle w:val="14"/>
              <w:keepNext w:val="0"/>
              <w:keepLines w:val="0"/>
              <w:pageBreakBefore w:val="0"/>
              <w:widowControl/>
              <w:kinsoku w:val="0"/>
              <w:wordWrap/>
              <w:overflowPunct/>
              <w:topLinePunct w:val="0"/>
              <w:autoSpaceDE w:val="0"/>
              <w:autoSpaceDN w:val="0"/>
              <w:bidi w:val="0"/>
              <w:adjustRightInd w:val="0"/>
              <w:snapToGrid w:val="0"/>
              <w:spacing w:before="60" w:line="21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shd w:val="clear" w:color="auto" w:fill="auto"/>
            <w:vAlign w:val="center"/>
          </w:tcPr>
          <w:p w14:paraId="02D00B6A">
            <w:pPr>
              <w:pStyle w:val="14"/>
              <w:spacing w:before="229" w:line="259" w:lineRule="auto"/>
              <w:ind w:left="15" w:leftChars="0"/>
              <w:jc w:val="both"/>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2"/>
                <w:sz w:val="21"/>
                <w:szCs w:val="21"/>
                <w:highlight w:val="none"/>
              </w:rPr>
              <w:t xml:space="preserve"> </w:t>
            </w:r>
            <w:r>
              <w:rPr>
                <w:spacing w:val="1"/>
                <w:sz w:val="21"/>
                <w:szCs w:val="21"/>
                <w:highlight w:val="none"/>
              </w:rPr>
              <w:t>账户开户许可证</w:t>
            </w:r>
          </w:p>
        </w:tc>
      </w:tr>
    </w:tbl>
    <w:p w14:paraId="0C0C64FA">
      <w:pPr>
        <w:pStyle w:val="5"/>
        <w:rPr>
          <w:highlight w:val="none"/>
        </w:rPr>
      </w:pPr>
    </w:p>
    <w:tbl>
      <w:tblPr>
        <w:tblStyle w:val="15"/>
        <w:tblW w:w="93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774"/>
        <w:gridCol w:w="579"/>
        <w:gridCol w:w="8"/>
        <w:gridCol w:w="12"/>
        <w:gridCol w:w="459"/>
        <w:gridCol w:w="1509"/>
        <w:gridCol w:w="8"/>
        <w:gridCol w:w="501"/>
        <w:gridCol w:w="5279"/>
        <w:gridCol w:w="210"/>
        <w:gridCol w:w="16"/>
      </w:tblGrid>
      <w:tr w14:paraId="718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24" w:hRule="atLeast"/>
        </w:trPr>
        <w:tc>
          <w:tcPr>
            <w:tcW w:w="1353" w:type="dxa"/>
            <w:gridSpan w:val="2"/>
            <w:vAlign w:val="top"/>
          </w:tcPr>
          <w:p w14:paraId="6D5A5C89">
            <w:pPr>
              <w:pStyle w:val="14"/>
              <w:spacing w:before="190" w:line="219" w:lineRule="auto"/>
              <w:ind w:left="358"/>
              <w:rPr>
                <w:sz w:val="21"/>
                <w:szCs w:val="21"/>
                <w:highlight w:val="none"/>
              </w:rPr>
            </w:pPr>
            <w:bookmarkStart w:id="4" w:name="bookmark281"/>
            <w:bookmarkEnd w:id="4"/>
            <w:r>
              <w:rPr>
                <w:b/>
                <w:bCs/>
                <w:spacing w:val="-5"/>
                <w:sz w:val="21"/>
                <w:szCs w:val="21"/>
                <w:highlight w:val="none"/>
              </w:rPr>
              <w:t>条款号</w:t>
            </w:r>
          </w:p>
        </w:tc>
        <w:tc>
          <w:tcPr>
            <w:tcW w:w="2497" w:type="dxa"/>
            <w:gridSpan w:val="6"/>
            <w:vAlign w:val="top"/>
          </w:tcPr>
          <w:p w14:paraId="257313E0">
            <w:pPr>
              <w:pStyle w:val="14"/>
              <w:spacing w:before="189" w:line="219" w:lineRule="auto"/>
              <w:ind w:left="832" w:leftChars="0"/>
              <w:rPr>
                <w:sz w:val="21"/>
                <w:szCs w:val="21"/>
                <w:highlight w:val="none"/>
              </w:rPr>
            </w:pPr>
            <w:r>
              <w:rPr>
                <w:b/>
                <w:bCs/>
                <w:spacing w:val="-2"/>
                <w:sz w:val="21"/>
                <w:szCs w:val="21"/>
                <w:highlight w:val="none"/>
              </w:rPr>
              <w:t>评审因素</w:t>
            </w:r>
          </w:p>
        </w:tc>
        <w:tc>
          <w:tcPr>
            <w:tcW w:w="5279" w:type="dxa"/>
            <w:vAlign w:val="top"/>
          </w:tcPr>
          <w:p w14:paraId="5D6754CC">
            <w:pPr>
              <w:pStyle w:val="14"/>
              <w:spacing w:before="190" w:line="219" w:lineRule="auto"/>
              <w:jc w:val="center"/>
              <w:rPr>
                <w:sz w:val="21"/>
                <w:szCs w:val="21"/>
                <w:highlight w:val="none"/>
              </w:rPr>
            </w:pPr>
            <w:r>
              <w:rPr>
                <w:b/>
                <w:bCs/>
                <w:spacing w:val="-2"/>
                <w:sz w:val="21"/>
                <w:szCs w:val="21"/>
                <w:highlight w:val="none"/>
              </w:rPr>
              <w:t>评审标准</w:t>
            </w:r>
          </w:p>
        </w:tc>
      </w:tr>
      <w:tr w14:paraId="0C03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9" w:hRule="atLeast"/>
        </w:trPr>
        <w:tc>
          <w:tcPr>
            <w:tcW w:w="774" w:type="dxa"/>
            <w:vMerge w:val="restart"/>
            <w:vAlign w:val="top"/>
          </w:tcPr>
          <w:p w14:paraId="2061934D">
            <w:pPr>
              <w:rPr>
                <w:rFonts w:ascii="Arial"/>
                <w:sz w:val="21"/>
                <w:highlight w:val="none"/>
              </w:rPr>
            </w:pPr>
          </w:p>
        </w:tc>
        <w:tc>
          <w:tcPr>
            <w:tcW w:w="579" w:type="dxa"/>
            <w:vMerge w:val="restart"/>
            <w:vAlign w:val="top"/>
          </w:tcPr>
          <w:p w14:paraId="6409C15C">
            <w:pPr>
              <w:rPr>
                <w:rFonts w:ascii="Arial"/>
                <w:sz w:val="21"/>
                <w:highlight w:val="none"/>
              </w:rPr>
            </w:pPr>
          </w:p>
        </w:tc>
        <w:tc>
          <w:tcPr>
            <w:tcW w:w="479" w:type="dxa"/>
            <w:gridSpan w:val="3"/>
            <w:vMerge w:val="restart"/>
            <w:vAlign w:val="top"/>
          </w:tcPr>
          <w:p w14:paraId="2A3A1098">
            <w:pPr>
              <w:rPr>
                <w:rFonts w:ascii="Arial"/>
                <w:sz w:val="21"/>
                <w:highlight w:val="none"/>
              </w:rPr>
            </w:pPr>
          </w:p>
        </w:tc>
        <w:tc>
          <w:tcPr>
            <w:tcW w:w="2018" w:type="dxa"/>
            <w:gridSpan w:val="3"/>
            <w:vAlign w:val="top"/>
          </w:tcPr>
          <w:p w14:paraId="0DAE901A">
            <w:pPr>
              <w:pStyle w:val="14"/>
              <w:spacing w:before="212" w:line="220" w:lineRule="auto"/>
              <w:ind w:left="582"/>
              <w:rPr>
                <w:sz w:val="21"/>
                <w:szCs w:val="21"/>
                <w:highlight w:val="none"/>
              </w:rPr>
            </w:pPr>
            <w:r>
              <w:rPr>
                <w:spacing w:val="2"/>
                <w:sz w:val="21"/>
                <w:szCs w:val="21"/>
                <w:highlight w:val="none"/>
              </w:rPr>
              <w:t>资质要求</w:t>
            </w:r>
          </w:p>
        </w:tc>
        <w:tc>
          <w:tcPr>
            <w:tcW w:w="5279" w:type="dxa"/>
            <w:vAlign w:val="center"/>
          </w:tcPr>
          <w:p w14:paraId="2AB485B0">
            <w:pPr>
              <w:pStyle w:val="14"/>
              <w:spacing w:before="61" w:line="245" w:lineRule="auto"/>
              <w:ind w:left="15" w:right="118"/>
              <w:jc w:val="both"/>
              <w:rPr>
                <w:sz w:val="21"/>
                <w:szCs w:val="21"/>
                <w:highlight w:val="none"/>
              </w:rPr>
            </w:pPr>
            <w:r>
              <w:rPr>
                <w:spacing w:val="-1"/>
                <w:sz w:val="21"/>
                <w:szCs w:val="21"/>
                <w:highlight w:val="none"/>
              </w:rPr>
              <w:t>符合第二章“投标人须知”第1.4.1项“资质要求”的规</w:t>
            </w:r>
            <w:r>
              <w:rPr>
                <w:spacing w:val="16"/>
                <w:sz w:val="21"/>
                <w:szCs w:val="21"/>
                <w:highlight w:val="none"/>
              </w:rPr>
              <w:t xml:space="preserve"> </w:t>
            </w:r>
            <w:r>
              <w:rPr>
                <w:sz w:val="21"/>
                <w:szCs w:val="21"/>
                <w:highlight w:val="none"/>
              </w:rPr>
              <w:t>定</w:t>
            </w:r>
          </w:p>
        </w:tc>
      </w:tr>
      <w:tr w14:paraId="730C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05" w:hRule="atLeast"/>
        </w:trPr>
        <w:tc>
          <w:tcPr>
            <w:tcW w:w="774" w:type="dxa"/>
            <w:vMerge w:val="continue"/>
            <w:vAlign w:val="top"/>
          </w:tcPr>
          <w:p w14:paraId="1428295E">
            <w:pPr>
              <w:rPr>
                <w:rFonts w:ascii="Arial"/>
                <w:sz w:val="21"/>
                <w:highlight w:val="none"/>
              </w:rPr>
            </w:pPr>
          </w:p>
        </w:tc>
        <w:tc>
          <w:tcPr>
            <w:tcW w:w="579" w:type="dxa"/>
            <w:vMerge w:val="continue"/>
            <w:vAlign w:val="top"/>
          </w:tcPr>
          <w:p w14:paraId="7D4A9929">
            <w:pPr>
              <w:rPr>
                <w:rFonts w:ascii="Arial"/>
                <w:sz w:val="21"/>
                <w:highlight w:val="none"/>
              </w:rPr>
            </w:pPr>
          </w:p>
        </w:tc>
        <w:tc>
          <w:tcPr>
            <w:tcW w:w="479" w:type="dxa"/>
            <w:gridSpan w:val="3"/>
            <w:vMerge w:val="continue"/>
            <w:vAlign w:val="top"/>
          </w:tcPr>
          <w:p w14:paraId="1FEC8757">
            <w:pPr>
              <w:rPr>
                <w:rFonts w:ascii="Arial"/>
                <w:sz w:val="21"/>
                <w:highlight w:val="none"/>
              </w:rPr>
            </w:pPr>
          </w:p>
        </w:tc>
        <w:tc>
          <w:tcPr>
            <w:tcW w:w="2018" w:type="dxa"/>
            <w:gridSpan w:val="3"/>
            <w:vAlign w:val="top"/>
          </w:tcPr>
          <w:p w14:paraId="2DA08AF6">
            <w:pPr>
              <w:pStyle w:val="14"/>
              <w:spacing w:before="212" w:line="219" w:lineRule="auto"/>
              <w:ind w:left="582"/>
              <w:rPr>
                <w:sz w:val="21"/>
                <w:szCs w:val="21"/>
                <w:highlight w:val="none"/>
              </w:rPr>
            </w:pPr>
            <w:r>
              <w:rPr>
                <w:spacing w:val="-2"/>
                <w:sz w:val="21"/>
                <w:szCs w:val="21"/>
                <w:highlight w:val="none"/>
              </w:rPr>
              <w:t>财务要求</w:t>
            </w:r>
          </w:p>
        </w:tc>
        <w:tc>
          <w:tcPr>
            <w:tcW w:w="5279" w:type="dxa"/>
            <w:vAlign w:val="center"/>
          </w:tcPr>
          <w:p w14:paraId="66F96115">
            <w:pPr>
              <w:pStyle w:val="14"/>
              <w:spacing w:before="51" w:line="250" w:lineRule="auto"/>
              <w:ind w:left="15" w:right="13"/>
              <w:jc w:val="both"/>
              <w:rPr>
                <w:sz w:val="21"/>
                <w:szCs w:val="21"/>
                <w:highlight w:val="none"/>
              </w:rPr>
            </w:pPr>
            <w:r>
              <w:rPr>
                <w:spacing w:val="-1"/>
                <w:sz w:val="21"/>
                <w:szCs w:val="21"/>
                <w:highlight w:val="none"/>
              </w:rPr>
              <w:t>符合第二章“投标人须知”第1.4.1.项“财务要求”的规</w:t>
            </w:r>
            <w:r>
              <w:rPr>
                <w:spacing w:val="17"/>
                <w:sz w:val="21"/>
                <w:szCs w:val="21"/>
                <w:highlight w:val="none"/>
              </w:rPr>
              <w:t xml:space="preserve"> </w:t>
            </w:r>
            <w:r>
              <w:rPr>
                <w:sz w:val="21"/>
                <w:szCs w:val="21"/>
                <w:highlight w:val="none"/>
              </w:rPr>
              <w:t>定</w:t>
            </w:r>
          </w:p>
        </w:tc>
      </w:tr>
      <w:tr w14:paraId="300C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9" w:hRule="atLeast"/>
        </w:trPr>
        <w:tc>
          <w:tcPr>
            <w:tcW w:w="774" w:type="dxa"/>
            <w:vMerge w:val="continue"/>
            <w:vAlign w:val="top"/>
          </w:tcPr>
          <w:p w14:paraId="5D7E4B79">
            <w:pPr>
              <w:rPr>
                <w:rFonts w:ascii="Arial"/>
                <w:sz w:val="21"/>
                <w:highlight w:val="none"/>
              </w:rPr>
            </w:pPr>
          </w:p>
        </w:tc>
        <w:tc>
          <w:tcPr>
            <w:tcW w:w="579" w:type="dxa"/>
            <w:vMerge w:val="continue"/>
            <w:vAlign w:val="top"/>
          </w:tcPr>
          <w:p w14:paraId="77FCDD82">
            <w:pPr>
              <w:rPr>
                <w:rFonts w:ascii="Arial"/>
                <w:sz w:val="21"/>
                <w:highlight w:val="none"/>
              </w:rPr>
            </w:pPr>
          </w:p>
        </w:tc>
        <w:tc>
          <w:tcPr>
            <w:tcW w:w="479" w:type="dxa"/>
            <w:gridSpan w:val="3"/>
            <w:vMerge w:val="continue"/>
            <w:vAlign w:val="top"/>
          </w:tcPr>
          <w:p w14:paraId="479B9E62">
            <w:pPr>
              <w:rPr>
                <w:rFonts w:ascii="Arial"/>
                <w:sz w:val="21"/>
                <w:highlight w:val="none"/>
              </w:rPr>
            </w:pPr>
          </w:p>
        </w:tc>
        <w:tc>
          <w:tcPr>
            <w:tcW w:w="2018" w:type="dxa"/>
            <w:gridSpan w:val="3"/>
            <w:vAlign w:val="top"/>
          </w:tcPr>
          <w:p w14:paraId="24CF4B00">
            <w:pPr>
              <w:pStyle w:val="14"/>
              <w:spacing w:before="223" w:line="220" w:lineRule="auto"/>
              <w:ind w:left="582"/>
              <w:rPr>
                <w:sz w:val="21"/>
                <w:szCs w:val="21"/>
                <w:highlight w:val="none"/>
              </w:rPr>
            </w:pPr>
            <w:r>
              <w:rPr>
                <w:spacing w:val="-2"/>
                <w:sz w:val="21"/>
                <w:szCs w:val="21"/>
                <w:highlight w:val="none"/>
              </w:rPr>
              <w:t>业绩要求</w:t>
            </w:r>
          </w:p>
        </w:tc>
        <w:tc>
          <w:tcPr>
            <w:tcW w:w="5279" w:type="dxa"/>
            <w:vAlign w:val="center"/>
          </w:tcPr>
          <w:p w14:paraId="726EEF85">
            <w:pPr>
              <w:pStyle w:val="14"/>
              <w:spacing w:before="42" w:line="258" w:lineRule="auto"/>
              <w:ind w:left="15" w:right="118"/>
              <w:jc w:val="both"/>
              <w:rPr>
                <w:sz w:val="21"/>
                <w:szCs w:val="21"/>
                <w:highlight w:val="none"/>
              </w:rPr>
            </w:pPr>
            <w:r>
              <w:rPr>
                <w:spacing w:val="-1"/>
                <w:sz w:val="21"/>
                <w:szCs w:val="21"/>
                <w:highlight w:val="none"/>
              </w:rPr>
              <w:t>符合第二章“投标人须知”第1.4.1项“业绩要求”的规</w:t>
            </w:r>
            <w:r>
              <w:rPr>
                <w:spacing w:val="16"/>
                <w:sz w:val="21"/>
                <w:szCs w:val="21"/>
                <w:highlight w:val="none"/>
              </w:rPr>
              <w:t xml:space="preserve"> </w:t>
            </w:r>
            <w:r>
              <w:rPr>
                <w:sz w:val="21"/>
                <w:szCs w:val="21"/>
                <w:highlight w:val="none"/>
              </w:rPr>
              <w:t>定</w:t>
            </w:r>
          </w:p>
        </w:tc>
      </w:tr>
      <w:tr w14:paraId="439B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19" w:hRule="atLeast"/>
        </w:trPr>
        <w:tc>
          <w:tcPr>
            <w:tcW w:w="774" w:type="dxa"/>
            <w:vMerge w:val="continue"/>
            <w:vAlign w:val="top"/>
          </w:tcPr>
          <w:p w14:paraId="5C5DE6F3">
            <w:pPr>
              <w:rPr>
                <w:rFonts w:ascii="Arial"/>
                <w:sz w:val="21"/>
                <w:highlight w:val="none"/>
              </w:rPr>
            </w:pPr>
          </w:p>
        </w:tc>
        <w:tc>
          <w:tcPr>
            <w:tcW w:w="579" w:type="dxa"/>
            <w:vMerge w:val="continue"/>
            <w:vAlign w:val="top"/>
          </w:tcPr>
          <w:p w14:paraId="2F336D3D">
            <w:pPr>
              <w:rPr>
                <w:rFonts w:ascii="Arial"/>
                <w:sz w:val="21"/>
                <w:highlight w:val="none"/>
              </w:rPr>
            </w:pPr>
          </w:p>
        </w:tc>
        <w:tc>
          <w:tcPr>
            <w:tcW w:w="479" w:type="dxa"/>
            <w:gridSpan w:val="3"/>
            <w:vMerge w:val="continue"/>
            <w:vAlign w:val="top"/>
          </w:tcPr>
          <w:p w14:paraId="6961CC2F">
            <w:pPr>
              <w:rPr>
                <w:rFonts w:ascii="Arial"/>
                <w:sz w:val="21"/>
                <w:highlight w:val="none"/>
              </w:rPr>
            </w:pPr>
          </w:p>
        </w:tc>
        <w:tc>
          <w:tcPr>
            <w:tcW w:w="2018" w:type="dxa"/>
            <w:gridSpan w:val="3"/>
            <w:vAlign w:val="top"/>
          </w:tcPr>
          <w:p w14:paraId="66E44C87">
            <w:pPr>
              <w:pStyle w:val="14"/>
              <w:spacing w:before="202" w:line="219" w:lineRule="auto"/>
              <w:ind w:left="582"/>
              <w:rPr>
                <w:sz w:val="21"/>
                <w:szCs w:val="21"/>
                <w:highlight w:val="none"/>
              </w:rPr>
            </w:pPr>
            <w:r>
              <w:rPr>
                <w:spacing w:val="-2"/>
                <w:sz w:val="21"/>
                <w:szCs w:val="21"/>
                <w:highlight w:val="none"/>
              </w:rPr>
              <w:t>信誉要求</w:t>
            </w:r>
          </w:p>
        </w:tc>
        <w:tc>
          <w:tcPr>
            <w:tcW w:w="5279" w:type="dxa"/>
            <w:vAlign w:val="center"/>
          </w:tcPr>
          <w:p w14:paraId="3F7217FD">
            <w:pPr>
              <w:pStyle w:val="14"/>
              <w:spacing w:before="23" w:line="253" w:lineRule="auto"/>
              <w:ind w:left="15" w:right="13"/>
              <w:jc w:val="both"/>
              <w:rPr>
                <w:sz w:val="21"/>
                <w:szCs w:val="21"/>
                <w:highlight w:val="none"/>
              </w:rPr>
            </w:pPr>
            <w:r>
              <w:rPr>
                <w:spacing w:val="-1"/>
                <w:sz w:val="21"/>
                <w:szCs w:val="21"/>
                <w:highlight w:val="none"/>
              </w:rPr>
              <w:t>符合第二章“投标人须知”第.1.4.1项“信誉要求”的规</w:t>
            </w:r>
            <w:r>
              <w:rPr>
                <w:spacing w:val="17"/>
                <w:sz w:val="21"/>
                <w:szCs w:val="21"/>
                <w:highlight w:val="none"/>
              </w:rPr>
              <w:t xml:space="preserve"> </w:t>
            </w:r>
            <w:r>
              <w:rPr>
                <w:sz w:val="21"/>
                <w:szCs w:val="21"/>
                <w:highlight w:val="none"/>
              </w:rPr>
              <w:t>定</w:t>
            </w:r>
          </w:p>
        </w:tc>
      </w:tr>
      <w:tr w14:paraId="453A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0" w:hRule="atLeast"/>
        </w:trPr>
        <w:tc>
          <w:tcPr>
            <w:tcW w:w="774" w:type="dxa"/>
            <w:vMerge w:val="continue"/>
            <w:vAlign w:val="top"/>
          </w:tcPr>
          <w:p w14:paraId="18FE0E12">
            <w:pPr>
              <w:rPr>
                <w:rFonts w:ascii="Arial"/>
                <w:sz w:val="21"/>
                <w:highlight w:val="none"/>
              </w:rPr>
            </w:pPr>
          </w:p>
        </w:tc>
        <w:tc>
          <w:tcPr>
            <w:tcW w:w="579" w:type="dxa"/>
            <w:vMerge w:val="continue"/>
            <w:vAlign w:val="top"/>
          </w:tcPr>
          <w:p w14:paraId="0F1323BB">
            <w:pPr>
              <w:rPr>
                <w:rFonts w:ascii="Arial"/>
                <w:sz w:val="21"/>
                <w:highlight w:val="none"/>
              </w:rPr>
            </w:pPr>
          </w:p>
        </w:tc>
        <w:tc>
          <w:tcPr>
            <w:tcW w:w="479" w:type="dxa"/>
            <w:gridSpan w:val="3"/>
            <w:vMerge w:val="continue"/>
            <w:vAlign w:val="top"/>
          </w:tcPr>
          <w:p w14:paraId="198044F1">
            <w:pPr>
              <w:rPr>
                <w:rFonts w:ascii="Arial"/>
                <w:sz w:val="21"/>
                <w:highlight w:val="none"/>
              </w:rPr>
            </w:pPr>
          </w:p>
        </w:tc>
        <w:tc>
          <w:tcPr>
            <w:tcW w:w="2018" w:type="dxa"/>
            <w:gridSpan w:val="3"/>
            <w:vAlign w:val="top"/>
          </w:tcPr>
          <w:p w14:paraId="338CA7BB">
            <w:pPr>
              <w:pStyle w:val="14"/>
              <w:spacing w:before="85" w:line="235" w:lineRule="auto"/>
              <w:ind w:left="791" w:right="53" w:hanging="739"/>
              <w:rPr>
                <w:sz w:val="21"/>
                <w:szCs w:val="21"/>
                <w:highlight w:val="none"/>
              </w:rPr>
            </w:pPr>
            <w:r>
              <w:rPr>
                <w:spacing w:val="1"/>
                <w:sz w:val="21"/>
                <w:szCs w:val="21"/>
                <w:highlight w:val="none"/>
              </w:rPr>
              <w:t xml:space="preserve">项目经理及项目总工 </w:t>
            </w:r>
            <w:r>
              <w:rPr>
                <w:spacing w:val="-3"/>
                <w:sz w:val="21"/>
                <w:szCs w:val="21"/>
                <w:highlight w:val="none"/>
              </w:rPr>
              <w:t>要求</w:t>
            </w:r>
          </w:p>
        </w:tc>
        <w:tc>
          <w:tcPr>
            <w:tcW w:w="5279" w:type="dxa"/>
            <w:vAlign w:val="center"/>
          </w:tcPr>
          <w:p w14:paraId="2D532ED1">
            <w:pPr>
              <w:pStyle w:val="14"/>
              <w:spacing w:before="53" w:line="249" w:lineRule="auto"/>
              <w:ind w:left="15"/>
              <w:jc w:val="both"/>
              <w:rPr>
                <w:sz w:val="21"/>
                <w:szCs w:val="21"/>
                <w:highlight w:val="none"/>
              </w:rPr>
            </w:pPr>
            <w:r>
              <w:rPr>
                <w:sz w:val="21"/>
                <w:szCs w:val="21"/>
                <w:highlight w:val="none"/>
              </w:rPr>
              <w:t>符合第二章“投标人须知”第1.4.1.项“项目经理及项目</w:t>
            </w:r>
            <w:r>
              <w:rPr>
                <w:spacing w:val="2"/>
                <w:sz w:val="21"/>
                <w:szCs w:val="21"/>
                <w:highlight w:val="none"/>
              </w:rPr>
              <w:t xml:space="preserve"> </w:t>
            </w:r>
            <w:r>
              <w:rPr>
                <w:sz w:val="21"/>
                <w:szCs w:val="21"/>
                <w:highlight w:val="none"/>
              </w:rPr>
              <w:t>总工”的规定</w:t>
            </w:r>
          </w:p>
        </w:tc>
      </w:tr>
      <w:tr w14:paraId="0104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4" w:hRule="atLeast"/>
        </w:trPr>
        <w:tc>
          <w:tcPr>
            <w:tcW w:w="774" w:type="dxa"/>
            <w:vMerge w:val="continue"/>
            <w:vAlign w:val="top"/>
          </w:tcPr>
          <w:p w14:paraId="332896FF">
            <w:pPr>
              <w:rPr>
                <w:rFonts w:ascii="Arial"/>
                <w:sz w:val="21"/>
                <w:highlight w:val="none"/>
              </w:rPr>
            </w:pPr>
          </w:p>
        </w:tc>
        <w:tc>
          <w:tcPr>
            <w:tcW w:w="579" w:type="dxa"/>
            <w:vMerge w:val="continue"/>
            <w:vAlign w:val="top"/>
          </w:tcPr>
          <w:p w14:paraId="568F48D7">
            <w:pPr>
              <w:rPr>
                <w:rFonts w:ascii="Arial"/>
                <w:sz w:val="21"/>
                <w:highlight w:val="none"/>
              </w:rPr>
            </w:pPr>
          </w:p>
        </w:tc>
        <w:tc>
          <w:tcPr>
            <w:tcW w:w="479" w:type="dxa"/>
            <w:gridSpan w:val="3"/>
            <w:vMerge w:val="continue"/>
            <w:vAlign w:val="top"/>
          </w:tcPr>
          <w:p w14:paraId="3BF5BD20">
            <w:pPr>
              <w:rPr>
                <w:rFonts w:ascii="Arial"/>
                <w:sz w:val="21"/>
                <w:highlight w:val="none"/>
              </w:rPr>
            </w:pPr>
          </w:p>
        </w:tc>
        <w:tc>
          <w:tcPr>
            <w:tcW w:w="2018" w:type="dxa"/>
            <w:gridSpan w:val="3"/>
            <w:vAlign w:val="top"/>
          </w:tcPr>
          <w:p w14:paraId="624AD5B0">
            <w:pPr>
              <w:pStyle w:val="14"/>
              <w:spacing w:before="205" w:line="220" w:lineRule="auto"/>
              <w:ind w:left="262"/>
              <w:rPr>
                <w:sz w:val="21"/>
                <w:szCs w:val="21"/>
                <w:highlight w:val="none"/>
              </w:rPr>
            </w:pPr>
            <w:r>
              <w:rPr>
                <w:spacing w:val="5"/>
                <w:sz w:val="21"/>
                <w:szCs w:val="21"/>
                <w:highlight w:val="none"/>
              </w:rPr>
              <w:t>其他要求(如有)</w:t>
            </w:r>
          </w:p>
        </w:tc>
        <w:tc>
          <w:tcPr>
            <w:tcW w:w="5279" w:type="dxa"/>
            <w:vAlign w:val="center"/>
          </w:tcPr>
          <w:p w14:paraId="233137A9">
            <w:pPr>
              <w:pStyle w:val="14"/>
              <w:spacing w:before="73" w:line="231" w:lineRule="auto"/>
              <w:ind w:left="15" w:right="13"/>
              <w:jc w:val="both"/>
              <w:rPr>
                <w:sz w:val="21"/>
                <w:szCs w:val="21"/>
                <w:highlight w:val="none"/>
              </w:rPr>
            </w:pPr>
            <w:r>
              <w:rPr>
                <w:spacing w:val="-1"/>
                <w:sz w:val="21"/>
                <w:szCs w:val="21"/>
                <w:highlight w:val="none"/>
              </w:rPr>
              <w:t>符合第二章“投标人须知”第1.4.1.项“其他要求”的规</w:t>
            </w:r>
            <w:r>
              <w:rPr>
                <w:spacing w:val="17"/>
                <w:sz w:val="21"/>
                <w:szCs w:val="21"/>
                <w:highlight w:val="none"/>
              </w:rPr>
              <w:t xml:space="preserve"> </w:t>
            </w:r>
            <w:r>
              <w:rPr>
                <w:sz w:val="21"/>
                <w:szCs w:val="21"/>
                <w:highlight w:val="none"/>
              </w:rPr>
              <w:t>定</w:t>
            </w:r>
          </w:p>
        </w:tc>
      </w:tr>
      <w:tr w14:paraId="205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30" w:hRule="atLeast"/>
        </w:trPr>
        <w:tc>
          <w:tcPr>
            <w:tcW w:w="774" w:type="dxa"/>
            <w:vMerge w:val="continue"/>
            <w:vAlign w:val="top"/>
          </w:tcPr>
          <w:p w14:paraId="0FB8AABD">
            <w:pPr>
              <w:rPr>
                <w:rFonts w:ascii="Arial"/>
                <w:sz w:val="21"/>
                <w:highlight w:val="none"/>
              </w:rPr>
            </w:pPr>
          </w:p>
        </w:tc>
        <w:tc>
          <w:tcPr>
            <w:tcW w:w="579" w:type="dxa"/>
            <w:vMerge w:val="continue"/>
            <w:vAlign w:val="top"/>
          </w:tcPr>
          <w:p w14:paraId="0520973A">
            <w:pPr>
              <w:rPr>
                <w:rFonts w:ascii="Arial"/>
                <w:sz w:val="21"/>
                <w:highlight w:val="none"/>
              </w:rPr>
            </w:pPr>
          </w:p>
        </w:tc>
        <w:tc>
          <w:tcPr>
            <w:tcW w:w="479" w:type="dxa"/>
            <w:gridSpan w:val="3"/>
            <w:vMerge w:val="continue"/>
            <w:vAlign w:val="top"/>
          </w:tcPr>
          <w:p w14:paraId="2786631A">
            <w:pPr>
              <w:rPr>
                <w:rFonts w:ascii="Arial"/>
                <w:sz w:val="21"/>
                <w:highlight w:val="none"/>
              </w:rPr>
            </w:pPr>
          </w:p>
        </w:tc>
        <w:tc>
          <w:tcPr>
            <w:tcW w:w="2018" w:type="dxa"/>
            <w:gridSpan w:val="3"/>
            <w:vAlign w:val="center"/>
          </w:tcPr>
          <w:p w14:paraId="67BA3E71">
            <w:pPr>
              <w:jc w:val="center"/>
              <w:rPr>
                <w:spacing w:val="5"/>
                <w:sz w:val="21"/>
                <w:szCs w:val="21"/>
                <w:highlight w:val="none"/>
              </w:rPr>
            </w:pPr>
            <w:r>
              <w:rPr>
                <w:rFonts w:hint="eastAsia"/>
                <w:color w:val="auto"/>
                <w:sz w:val="21"/>
                <w:highlight w:val="none"/>
              </w:rPr>
              <w:t>具备竞争性</w:t>
            </w:r>
          </w:p>
        </w:tc>
        <w:tc>
          <w:tcPr>
            <w:tcW w:w="5279" w:type="dxa"/>
            <w:vAlign w:val="center"/>
          </w:tcPr>
          <w:p w14:paraId="642BC9F4">
            <w:pPr>
              <w:adjustRightInd w:val="0"/>
              <w:snapToGrid w:val="0"/>
              <w:spacing w:before="72" w:beforeLines="30" w:after="72" w:afterLines="30"/>
              <w:ind w:right="63" w:rightChars="30"/>
              <w:jc w:val="both"/>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33A0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374" w:hRule="atLeast"/>
        </w:trPr>
        <w:tc>
          <w:tcPr>
            <w:tcW w:w="774" w:type="dxa"/>
            <w:vMerge w:val="continue"/>
            <w:vAlign w:val="top"/>
          </w:tcPr>
          <w:p w14:paraId="2DDFBBA8">
            <w:pPr>
              <w:rPr>
                <w:rFonts w:ascii="Arial"/>
                <w:sz w:val="21"/>
                <w:highlight w:val="none"/>
              </w:rPr>
            </w:pPr>
          </w:p>
        </w:tc>
        <w:tc>
          <w:tcPr>
            <w:tcW w:w="579" w:type="dxa"/>
            <w:vMerge w:val="continue"/>
            <w:vAlign w:val="top"/>
          </w:tcPr>
          <w:p w14:paraId="3E1FD818">
            <w:pPr>
              <w:rPr>
                <w:rFonts w:ascii="Arial"/>
                <w:sz w:val="21"/>
                <w:highlight w:val="none"/>
              </w:rPr>
            </w:pPr>
          </w:p>
        </w:tc>
        <w:tc>
          <w:tcPr>
            <w:tcW w:w="479" w:type="dxa"/>
            <w:gridSpan w:val="3"/>
            <w:vMerge w:val="continue"/>
            <w:vAlign w:val="top"/>
          </w:tcPr>
          <w:p w14:paraId="2AFA7D5D">
            <w:pPr>
              <w:rPr>
                <w:rFonts w:ascii="Arial"/>
                <w:sz w:val="21"/>
                <w:highlight w:val="none"/>
              </w:rPr>
            </w:pPr>
          </w:p>
        </w:tc>
        <w:tc>
          <w:tcPr>
            <w:tcW w:w="2018" w:type="dxa"/>
            <w:gridSpan w:val="3"/>
            <w:vAlign w:val="center"/>
          </w:tcPr>
          <w:p w14:paraId="0644DAA2">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vAlign w:val="center"/>
          </w:tcPr>
          <w:p w14:paraId="0DB43709">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14:paraId="3DA3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56" w:hRule="atLeast"/>
        </w:trPr>
        <w:tc>
          <w:tcPr>
            <w:tcW w:w="774" w:type="dxa"/>
            <w:vMerge w:val="continue"/>
            <w:vAlign w:val="top"/>
          </w:tcPr>
          <w:p w14:paraId="6BB903C1">
            <w:pPr>
              <w:rPr>
                <w:rFonts w:ascii="Arial"/>
                <w:sz w:val="21"/>
                <w:highlight w:val="none"/>
              </w:rPr>
            </w:pPr>
          </w:p>
        </w:tc>
        <w:tc>
          <w:tcPr>
            <w:tcW w:w="579" w:type="dxa"/>
            <w:vMerge w:val="continue"/>
            <w:vAlign w:val="top"/>
          </w:tcPr>
          <w:p w14:paraId="6A4CDF9F">
            <w:pPr>
              <w:rPr>
                <w:rFonts w:ascii="Arial"/>
                <w:sz w:val="21"/>
                <w:highlight w:val="none"/>
              </w:rPr>
            </w:pPr>
          </w:p>
        </w:tc>
        <w:tc>
          <w:tcPr>
            <w:tcW w:w="479" w:type="dxa"/>
            <w:gridSpan w:val="3"/>
            <w:vMerge w:val="continue"/>
            <w:vAlign w:val="top"/>
          </w:tcPr>
          <w:p w14:paraId="36F1D973">
            <w:pPr>
              <w:rPr>
                <w:rFonts w:ascii="Arial"/>
                <w:sz w:val="21"/>
                <w:highlight w:val="none"/>
              </w:rPr>
            </w:pPr>
          </w:p>
        </w:tc>
        <w:tc>
          <w:tcPr>
            <w:tcW w:w="2018" w:type="dxa"/>
            <w:gridSpan w:val="3"/>
            <w:vAlign w:val="center"/>
          </w:tcPr>
          <w:p w14:paraId="2F24D767">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vAlign w:val="center"/>
          </w:tcPr>
          <w:p w14:paraId="3388027D">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14:paraId="3E25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restart"/>
            <w:tcBorders>
              <w:bottom w:val="nil"/>
            </w:tcBorders>
            <w:vAlign w:val="top"/>
          </w:tcPr>
          <w:p w14:paraId="4865E6F3">
            <w:pPr>
              <w:spacing w:line="253" w:lineRule="auto"/>
              <w:rPr>
                <w:rFonts w:ascii="Arial"/>
                <w:sz w:val="21"/>
                <w:highlight w:val="none"/>
              </w:rPr>
            </w:pPr>
          </w:p>
          <w:p w14:paraId="71098E1B">
            <w:pPr>
              <w:spacing w:line="253" w:lineRule="auto"/>
              <w:rPr>
                <w:rFonts w:ascii="Arial"/>
                <w:sz w:val="21"/>
                <w:highlight w:val="none"/>
              </w:rPr>
            </w:pPr>
          </w:p>
          <w:p w14:paraId="30761EC5">
            <w:pPr>
              <w:spacing w:line="253" w:lineRule="auto"/>
              <w:rPr>
                <w:rFonts w:ascii="Arial"/>
                <w:sz w:val="21"/>
                <w:highlight w:val="none"/>
              </w:rPr>
            </w:pPr>
          </w:p>
          <w:p w14:paraId="438919BD">
            <w:pPr>
              <w:spacing w:line="253" w:lineRule="auto"/>
              <w:rPr>
                <w:rFonts w:ascii="Arial"/>
                <w:sz w:val="21"/>
                <w:highlight w:val="none"/>
              </w:rPr>
            </w:pPr>
          </w:p>
          <w:p w14:paraId="74EB6A93">
            <w:pPr>
              <w:spacing w:line="253" w:lineRule="auto"/>
              <w:rPr>
                <w:rFonts w:ascii="Arial"/>
                <w:sz w:val="21"/>
                <w:highlight w:val="none"/>
              </w:rPr>
            </w:pPr>
          </w:p>
          <w:p w14:paraId="000F7261">
            <w:pPr>
              <w:spacing w:line="254" w:lineRule="auto"/>
              <w:rPr>
                <w:rFonts w:ascii="Arial"/>
                <w:sz w:val="21"/>
                <w:highlight w:val="none"/>
              </w:rPr>
            </w:pPr>
          </w:p>
          <w:p w14:paraId="55AF2EC2">
            <w:pPr>
              <w:spacing w:line="254" w:lineRule="auto"/>
              <w:rPr>
                <w:rFonts w:ascii="Arial"/>
                <w:sz w:val="21"/>
                <w:highlight w:val="none"/>
              </w:rPr>
            </w:pPr>
          </w:p>
          <w:p w14:paraId="5826F462">
            <w:pPr>
              <w:spacing w:line="254" w:lineRule="auto"/>
              <w:rPr>
                <w:rFonts w:ascii="Arial"/>
                <w:sz w:val="21"/>
                <w:highlight w:val="none"/>
              </w:rPr>
            </w:pPr>
          </w:p>
          <w:p w14:paraId="71639754">
            <w:pPr>
              <w:spacing w:line="254" w:lineRule="auto"/>
              <w:rPr>
                <w:rFonts w:ascii="Arial"/>
                <w:sz w:val="21"/>
                <w:highlight w:val="none"/>
              </w:rPr>
            </w:pPr>
          </w:p>
          <w:p w14:paraId="3CAD0E62">
            <w:pPr>
              <w:pStyle w:val="14"/>
              <w:spacing w:before="69" w:line="239" w:lineRule="auto"/>
              <w:ind w:left="157"/>
              <w:rPr>
                <w:sz w:val="21"/>
                <w:szCs w:val="21"/>
                <w:highlight w:val="none"/>
              </w:rPr>
            </w:pPr>
            <w:r>
              <w:rPr>
                <w:b/>
                <w:bCs/>
                <w:spacing w:val="-4"/>
                <w:sz w:val="21"/>
                <w:szCs w:val="21"/>
                <w:highlight w:val="none"/>
              </w:rPr>
              <w:t>2.1.3</w:t>
            </w:r>
          </w:p>
        </w:tc>
        <w:tc>
          <w:tcPr>
            <w:tcW w:w="579" w:type="dxa"/>
            <w:vMerge w:val="restart"/>
            <w:tcBorders>
              <w:bottom w:val="nil"/>
            </w:tcBorders>
            <w:textDirection w:val="tbRlV"/>
            <w:vAlign w:val="top"/>
          </w:tcPr>
          <w:p w14:paraId="60BD6545">
            <w:pPr>
              <w:pStyle w:val="14"/>
              <w:spacing w:before="216" w:line="201" w:lineRule="auto"/>
              <w:ind w:left="956"/>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gridSpan w:val="3"/>
            <w:vMerge w:val="restart"/>
            <w:tcBorders>
              <w:bottom w:val="nil"/>
            </w:tcBorders>
            <w:textDirection w:val="tbRlV"/>
            <w:vAlign w:val="top"/>
          </w:tcPr>
          <w:p w14:paraId="1AD3D245">
            <w:pPr>
              <w:pStyle w:val="14"/>
              <w:spacing w:before="144" w:line="202" w:lineRule="auto"/>
              <w:ind w:left="1847"/>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gridSpan w:val="3"/>
            <w:vAlign w:val="top"/>
          </w:tcPr>
          <w:p w14:paraId="7980EE00">
            <w:pPr>
              <w:pStyle w:val="14"/>
              <w:spacing w:before="216" w:line="220" w:lineRule="auto"/>
              <w:ind w:left="472"/>
              <w:rPr>
                <w:sz w:val="21"/>
                <w:szCs w:val="21"/>
                <w:highlight w:val="none"/>
              </w:rPr>
            </w:pPr>
            <w:r>
              <w:rPr>
                <w:spacing w:val="3"/>
                <w:sz w:val="21"/>
                <w:szCs w:val="21"/>
                <w:highlight w:val="none"/>
              </w:rPr>
              <w:t>投标函填写</w:t>
            </w:r>
          </w:p>
        </w:tc>
        <w:tc>
          <w:tcPr>
            <w:tcW w:w="5279" w:type="dxa"/>
            <w:vAlign w:val="top"/>
          </w:tcPr>
          <w:p w14:paraId="44AF31C5">
            <w:pPr>
              <w:pStyle w:val="14"/>
              <w:spacing w:before="55" w:line="248" w:lineRule="auto"/>
              <w:ind w:left="15" w:right="13"/>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14:paraId="244E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4DDE246F">
            <w:pPr>
              <w:rPr>
                <w:rFonts w:ascii="Arial"/>
                <w:sz w:val="21"/>
                <w:highlight w:val="none"/>
              </w:rPr>
            </w:pPr>
          </w:p>
        </w:tc>
        <w:tc>
          <w:tcPr>
            <w:tcW w:w="579" w:type="dxa"/>
            <w:vMerge w:val="continue"/>
            <w:tcBorders>
              <w:top w:val="nil"/>
              <w:bottom w:val="nil"/>
            </w:tcBorders>
            <w:textDirection w:val="tbRlV"/>
            <w:vAlign w:val="top"/>
          </w:tcPr>
          <w:p w14:paraId="0B71AF98">
            <w:pPr>
              <w:rPr>
                <w:rFonts w:ascii="Arial"/>
                <w:sz w:val="21"/>
                <w:highlight w:val="none"/>
              </w:rPr>
            </w:pPr>
          </w:p>
        </w:tc>
        <w:tc>
          <w:tcPr>
            <w:tcW w:w="479" w:type="dxa"/>
            <w:gridSpan w:val="3"/>
            <w:vMerge w:val="continue"/>
            <w:tcBorders>
              <w:top w:val="nil"/>
              <w:bottom w:val="nil"/>
            </w:tcBorders>
            <w:textDirection w:val="tbRlV"/>
            <w:vAlign w:val="top"/>
          </w:tcPr>
          <w:p w14:paraId="7B405508">
            <w:pPr>
              <w:rPr>
                <w:rFonts w:ascii="Arial"/>
                <w:sz w:val="21"/>
                <w:highlight w:val="none"/>
              </w:rPr>
            </w:pPr>
          </w:p>
        </w:tc>
        <w:tc>
          <w:tcPr>
            <w:tcW w:w="2018" w:type="dxa"/>
            <w:gridSpan w:val="3"/>
            <w:vAlign w:val="top"/>
          </w:tcPr>
          <w:p w14:paraId="3B721292">
            <w:pPr>
              <w:pStyle w:val="14"/>
              <w:spacing w:before="63" w:line="244" w:lineRule="auto"/>
              <w:ind w:left="682" w:right="53" w:hanging="630"/>
              <w:rPr>
                <w:sz w:val="21"/>
                <w:szCs w:val="21"/>
                <w:highlight w:val="none"/>
              </w:rPr>
            </w:pPr>
            <w:r>
              <w:rPr>
                <w:spacing w:val="1"/>
                <w:sz w:val="21"/>
                <w:szCs w:val="21"/>
                <w:highlight w:val="none"/>
              </w:rPr>
              <w:t xml:space="preserve">已标价工程量清单文 </w:t>
            </w:r>
            <w:r>
              <w:rPr>
                <w:spacing w:val="7"/>
                <w:sz w:val="21"/>
                <w:szCs w:val="21"/>
                <w:highlight w:val="none"/>
              </w:rPr>
              <w:t>字说明</w:t>
            </w:r>
          </w:p>
        </w:tc>
        <w:tc>
          <w:tcPr>
            <w:tcW w:w="5279" w:type="dxa"/>
            <w:vAlign w:val="top"/>
          </w:tcPr>
          <w:p w14:paraId="732C4069">
            <w:pPr>
              <w:pStyle w:val="14"/>
              <w:spacing w:before="54" w:line="248" w:lineRule="auto"/>
              <w:ind w:left="15"/>
              <w:rPr>
                <w:sz w:val="21"/>
                <w:szCs w:val="21"/>
                <w:highlight w:val="none"/>
              </w:rPr>
            </w:pPr>
            <w:r>
              <w:rPr>
                <w:sz w:val="21"/>
                <w:szCs w:val="21"/>
                <w:highlight w:val="none"/>
              </w:rPr>
              <w:t>已标价工程量清单文字说明与招标文件规定一致，未进行</w:t>
            </w:r>
            <w:r>
              <w:rPr>
                <w:spacing w:val="2"/>
                <w:sz w:val="21"/>
                <w:szCs w:val="21"/>
                <w:highlight w:val="none"/>
              </w:rPr>
              <w:t xml:space="preserve"> </w:t>
            </w:r>
            <w:r>
              <w:rPr>
                <w:spacing w:val="-2"/>
                <w:sz w:val="21"/>
                <w:szCs w:val="21"/>
                <w:highlight w:val="none"/>
              </w:rPr>
              <w:t>修改或删除</w:t>
            </w:r>
          </w:p>
        </w:tc>
      </w:tr>
      <w:tr w14:paraId="368A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00" w:hRule="atLeast"/>
        </w:trPr>
        <w:tc>
          <w:tcPr>
            <w:tcW w:w="774" w:type="dxa"/>
            <w:vMerge w:val="continue"/>
            <w:tcBorders>
              <w:top w:val="nil"/>
              <w:bottom w:val="nil"/>
            </w:tcBorders>
            <w:vAlign w:val="top"/>
          </w:tcPr>
          <w:p w14:paraId="6163FC49">
            <w:pPr>
              <w:rPr>
                <w:rFonts w:ascii="Arial"/>
                <w:sz w:val="21"/>
                <w:highlight w:val="none"/>
              </w:rPr>
            </w:pPr>
          </w:p>
        </w:tc>
        <w:tc>
          <w:tcPr>
            <w:tcW w:w="579" w:type="dxa"/>
            <w:vMerge w:val="continue"/>
            <w:tcBorders>
              <w:top w:val="nil"/>
              <w:bottom w:val="nil"/>
            </w:tcBorders>
            <w:textDirection w:val="tbRlV"/>
            <w:vAlign w:val="top"/>
          </w:tcPr>
          <w:p w14:paraId="30405207">
            <w:pPr>
              <w:rPr>
                <w:rFonts w:ascii="Arial"/>
                <w:sz w:val="21"/>
                <w:highlight w:val="none"/>
              </w:rPr>
            </w:pPr>
          </w:p>
        </w:tc>
        <w:tc>
          <w:tcPr>
            <w:tcW w:w="479" w:type="dxa"/>
            <w:gridSpan w:val="3"/>
            <w:vMerge w:val="continue"/>
            <w:tcBorders>
              <w:top w:val="nil"/>
              <w:bottom w:val="nil"/>
            </w:tcBorders>
            <w:textDirection w:val="tbRlV"/>
            <w:vAlign w:val="top"/>
          </w:tcPr>
          <w:p w14:paraId="47BA99D3">
            <w:pPr>
              <w:rPr>
                <w:rFonts w:ascii="Arial"/>
                <w:sz w:val="21"/>
                <w:highlight w:val="none"/>
              </w:rPr>
            </w:pPr>
          </w:p>
        </w:tc>
        <w:tc>
          <w:tcPr>
            <w:tcW w:w="2018" w:type="dxa"/>
            <w:gridSpan w:val="3"/>
            <w:vAlign w:val="top"/>
          </w:tcPr>
          <w:p w14:paraId="12037162">
            <w:pPr>
              <w:pStyle w:val="14"/>
              <w:spacing w:before="186" w:line="219" w:lineRule="auto"/>
              <w:ind w:left="262"/>
              <w:rPr>
                <w:sz w:val="21"/>
                <w:szCs w:val="21"/>
                <w:highlight w:val="none"/>
              </w:rPr>
            </w:pPr>
            <w:r>
              <w:rPr>
                <w:spacing w:val="-2"/>
                <w:sz w:val="21"/>
                <w:szCs w:val="21"/>
                <w:highlight w:val="none"/>
              </w:rPr>
              <w:t>文件填写及组成</w:t>
            </w:r>
          </w:p>
        </w:tc>
        <w:tc>
          <w:tcPr>
            <w:tcW w:w="5279" w:type="dxa"/>
            <w:vAlign w:val="top"/>
          </w:tcPr>
          <w:p w14:paraId="72F9BF52">
            <w:pPr>
              <w:pStyle w:val="14"/>
              <w:spacing w:before="186" w:line="219" w:lineRule="auto"/>
              <w:jc w:val="right"/>
              <w:rPr>
                <w:sz w:val="21"/>
                <w:szCs w:val="21"/>
                <w:highlight w:val="none"/>
              </w:rPr>
            </w:pPr>
            <w:r>
              <w:rPr>
                <w:sz w:val="21"/>
                <w:szCs w:val="21"/>
                <w:highlight w:val="none"/>
              </w:rPr>
              <w:t>组成齐全，没有缺项或缺页，内容均按招标文件规定填写</w:t>
            </w:r>
          </w:p>
        </w:tc>
      </w:tr>
      <w:tr w14:paraId="11E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299" w:hRule="atLeast"/>
        </w:trPr>
        <w:tc>
          <w:tcPr>
            <w:tcW w:w="774" w:type="dxa"/>
            <w:vMerge w:val="continue"/>
            <w:tcBorders>
              <w:top w:val="nil"/>
              <w:bottom w:val="nil"/>
            </w:tcBorders>
            <w:vAlign w:val="top"/>
          </w:tcPr>
          <w:p w14:paraId="31A68226">
            <w:pPr>
              <w:rPr>
                <w:rFonts w:ascii="Arial"/>
                <w:sz w:val="21"/>
                <w:highlight w:val="none"/>
              </w:rPr>
            </w:pPr>
          </w:p>
        </w:tc>
        <w:tc>
          <w:tcPr>
            <w:tcW w:w="579" w:type="dxa"/>
            <w:vMerge w:val="continue"/>
            <w:tcBorders>
              <w:top w:val="nil"/>
              <w:bottom w:val="nil"/>
            </w:tcBorders>
            <w:textDirection w:val="tbRlV"/>
            <w:vAlign w:val="top"/>
          </w:tcPr>
          <w:p w14:paraId="27A4AB16">
            <w:pPr>
              <w:rPr>
                <w:rFonts w:ascii="Arial"/>
                <w:sz w:val="21"/>
                <w:highlight w:val="none"/>
              </w:rPr>
            </w:pPr>
          </w:p>
        </w:tc>
        <w:tc>
          <w:tcPr>
            <w:tcW w:w="479" w:type="dxa"/>
            <w:gridSpan w:val="3"/>
            <w:vMerge w:val="continue"/>
            <w:tcBorders>
              <w:top w:val="nil"/>
              <w:bottom w:val="nil"/>
            </w:tcBorders>
            <w:textDirection w:val="tbRlV"/>
            <w:vAlign w:val="top"/>
          </w:tcPr>
          <w:p w14:paraId="02D6521C">
            <w:pPr>
              <w:rPr>
                <w:rFonts w:ascii="Arial"/>
                <w:sz w:val="21"/>
                <w:highlight w:val="none"/>
              </w:rPr>
            </w:pPr>
          </w:p>
        </w:tc>
        <w:tc>
          <w:tcPr>
            <w:tcW w:w="2018" w:type="dxa"/>
            <w:gridSpan w:val="3"/>
            <w:vAlign w:val="top"/>
          </w:tcPr>
          <w:p w14:paraId="5CE9F6D8">
            <w:pPr>
              <w:pStyle w:val="14"/>
              <w:spacing w:before="185" w:line="219" w:lineRule="auto"/>
              <w:ind w:left="373"/>
              <w:rPr>
                <w:sz w:val="21"/>
                <w:szCs w:val="21"/>
                <w:highlight w:val="none"/>
              </w:rPr>
            </w:pPr>
            <w:r>
              <w:rPr>
                <w:spacing w:val="2"/>
                <w:sz w:val="21"/>
                <w:szCs w:val="21"/>
                <w:highlight w:val="none"/>
              </w:rPr>
              <w:t>文件签字盖章</w:t>
            </w:r>
          </w:p>
        </w:tc>
        <w:tc>
          <w:tcPr>
            <w:tcW w:w="5279" w:type="dxa"/>
            <w:vAlign w:val="top"/>
          </w:tcPr>
          <w:p w14:paraId="7905F0B1">
            <w:pPr>
              <w:pStyle w:val="14"/>
              <w:spacing w:before="185" w:line="219" w:lineRule="auto"/>
              <w:ind w:left="15"/>
              <w:rPr>
                <w:sz w:val="21"/>
                <w:szCs w:val="21"/>
                <w:highlight w:val="none"/>
              </w:rPr>
            </w:pPr>
            <w:r>
              <w:rPr>
                <w:spacing w:val="-1"/>
                <w:sz w:val="21"/>
                <w:szCs w:val="21"/>
                <w:highlight w:val="none"/>
              </w:rPr>
              <w:t>符合第二章“投标人须知”第3.7.3项规定</w:t>
            </w:r>
          </w:p>
        </w:tc>
      </w:tr>
      <w:tr w14:paraId="5958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continue"/>
            <w:tcBorders>
              <w:top w:val="nil"/>
              <w:bottom w:val="nil"/>
            </w:tcBorders>
            <w:vAlign w:val="top"/>
          </w:tcPr>
          <w:p w14:paraId="1B700E97">
            <w:pPr>
              <w:rPr>
                <w:rFonts w:ascii="Arial"/>
                <w:sz w:val="21"/>
                <w:highlight w:val="none"/>
              </w:rPr>
            </w:pPr>
          </w:p>
        </w:tc>
        <w:tc>
          <w:tcPr>
            <w:tcW w:w="579" w:type="dxa"/>
            <w:vMerge w:val="continue"/>
            <w:tcBorders>
              <w:top w:val="nil"/>
              <w:bottom w:val="nil"/>
            </w:tcBorders>
            <w:textDirection w:val="tbRlV"/>
            <w:vAlign w:val="top"/>
          </w:tcPr>
          <w:p w14:paraId="1B5C0512">
            <w:pPr>
              <w:rPr>
                <w:rFonts w:ascii="Arial"/>
                <w:sz w:val="21"/>
                <w:highlight w:val="none"/>
              </w:rPr>
            </w:pPr>
          </w:p>
        </w:tc>
        <w:tc>
          <w:tcPr>
            <w:tcW w:w="479" w:type="dxa"/>
            <w:gridSpan w:val="3"/>
            <w:vMerge w:val="continue"/>
            <w:tcBorders>
              <w:top w:val="nil"/>
              <w:bottom w:val="nil"/>
            </w:tcBorders>
            <w:textDirection w:val="tbRlV"/>
            <w:vAlign w:val="top"/>
          </w:tcPr>
          <w:p w14:paraId="624E1999">
            <w:pPr>
              <w:rPr>
                <w:rFonts w:ascii="Arial"/>
                <w:sz w:val="21"/>
                <w:highlight w:val="none"/>
              </w:rPr>
            </w:pPr>
          </w:p>
        </w:tc>
        <w:tc>
          <w:tcPr>
            <w:tcW w:w="2018" w:type="dxa"/>
            <w:gridSpan w:val="3"/>
            <w:vAlign w:val="top"/>
          </w:tcPr>
          <w:p w14:paraId="2DD6AFA7">
            <w:pPr>
              <w:pStyle w:val="14"/>
              <w:spacing w:before="215" w:line="218" w:lineRule="auto"/>
              <w:ind w:left="163"/>
              <w:rPr>
                <w:sz w:val="21"/>
                <w:szCs w:val="21"/>
                <w:highlight w:val="none"/>
              </w:rPr>
            </w:pPr>
            <w:r>
              <w:rPr>
                <w:spacing w:val="1"/>
                <w:sz w:val="21"/>
                <w:szCs w:val="21"/>
                <w:highlight w:val="none"/>
              </w:rPr>
              <w:t>已标价工程量清单</w:t>
            </w:r>
          </w:p>
        </w:tc>
        <w:tc>
          <w:tcPr>
            <w:tcW w:w="5279" w:type="dxa"/>
            <w:vAlign w:val="top"/>
          </w:tcPr>
          <w:p w14:paraId="46C9DE04">
            <w:pPr>
              <w:pStyle w:val="14"/>
              <w:spacing w:before="58" w:line="247" w:lineRule="auto"/>
              <w:ind w:left="15"/>
              <w:rPr>
                <w:sz w:val="21"/>
                <w:szCs w:val="21"/>
                <w:highlight w:val="none"/>
              </w:rPr>
            </w:pPr>
            <w:r>
              <w:rPr>
                <w:sz w:val="21"/>
                <w:szCs w:val="21"/>
                <w:highlight w:val="none"/>
              </w:rPr>
              <w:t>未对工程量固化清单电子文件中的数据、格式和运算定义</w:t>
            </w:r>
            <w:r>
              <w:rPr>
                <w:spacing w:val="2"/>
                <w:sz w:val="21"/>
                <w:szCs w:val="21"/>
                <w:highlight w:val="none"/>
              </w:rPr>
              <w:t xml:space="preserve"> </w:t>
            </w:r>
            <w:r>
              <w:rPr>
                <w:spacing w:val="-2"/>
                <w:sz w:val="21"/>
                <w:szCs w:val="21"/>
                <w:highlight w:val="none"/>
              </w:rPr>
              <w:t>进行修改</w:t>
            </w:r>
          </w:p>
        </w:tc>
      </w:tr>
      <w:tr w14:paraId="1BF4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09" w:hRule="atLeast"/>
        </w:trPr>
        <w:tc>
          <w:tcPr>
            <w:tcW w:w="774" w:type="dxa"/>
            <w:vMerge w:val="continue"/>
            <w:tcBorders>
              <w:top w:val="nil"/>
              <w:bottom w:val="nil"/>
            </w:tcBorders>
            <w:vAlign w:val="top"/>
          </w:tcPr>
          <w:p w14:paraId="529C35C5">
            <w:pPr>
              <w:rPr>
                <w:rFonts w:ascii="Arial"/>
                <w:sz w:val="21"/>
                <w:highlight w:val="none"/>
              </w:rPr>
            </w:pPr>
          </w:p>
        </w:tc>
        <w:tc>
          <w:tcPr>
            <w:tcW w:w="579" w:type="dxa"/>
            <w:vMerge w:val="continue"/>
            <w:tcBorders>
              <w:top w:val="nil"/>
              <w:bottom w:val="nil"/>
            </w:tcBorders>
            <w:textDirection w:val="tbRlV"/>
            <w:vAlign w:val="top"/>
          </w:tcPr>
          <w:p w14:paraId="1461177D">
            <w:pPr>
              <w:rPr>
                <w:rFonts w:ascii="Arial"/>
                <w:sz w:val="21"/>
                <w:highlight w:val="none"/>
              </w:rPr>
            </w:pPr>
          </w:p>
        </w:tc>
        <w:tc>
          <w:tcPr>
            <w:tcW w:w="479" w:type="dxa"/>
            <w:gridSpan w:val="3"/>
            <w:vMerge w:val="continue"/>
            <w:tcBorders>
              <w:top w:val="nil"/>
              <w:bottom w:val="nil"/>
            </w:tcBorders>
            <w:textDirection w:val="tbRlV"/>
            <w:vAlign w:val="top"/>
          </w:tcPr>
          <w:p w14:paraId="3D89EDA3">
            <w:pPr>
              <w:rPr>
                <w:rFonts w:ascii="Arial"/>
                <w:sz w:val="21"/>
                <w:highlight w:val="none"/>
              </w:rPr>
            </w:pPr>
          </w:p>
        </w:tc>
        <w:tc>
          <w:tcPr>
            <w:tcW w:w="2018" w:type="dxa"/>
            <w:gridSpan w:val="3"/>
            <w:vAlign w:val="top"/>
          </w:tcPr>
          <w:p w14:paraId="2C6EB940">
            <w:pPr>
              <w:pStyle w:val="14"/>
              <w:spacing w:before="205" w:line="218" w:lineRule="auto"/>
              <w:ind w:left="582"/>
              <w:rPr>
                <w:sz w:val="21"/>
                <w:szCs w:val="21"/>
                <w:highlight w:val="none"/>
              </w:rPr>
            </w:pPr>
            <w:r>
              <w:rPr>
                <w:spacing w:val="-3"/>
                <w:sz w:val="21"/>
                <w:szCs w:val="21"/>
                <w:highlight w:val="none"/>
              </w:rPr>
              <w:t>投标报价</w:t>
            </w:r>
          </w:p>
        </w:tc>
        <w:tc>
          <w:tcPr>
            <w:tcW w:w="5279" w:type="dxa"/>
            <w:vAlign w:val="top"/>
          </w:tcPr>
          <w:p w14:paraId="2D02D26A">
            <w:pPr>
              <w:pStyle w:val="14"/>
              <w:spacing w:before="46" w:line="243" w:lineRule="auto"/>
              <w:ind w:left="15"/>
              <w:rPr>
                <w:sz w:val="21"/>
                <w:szCs w:val="21"/>
                <w:highlight w:val="none"/>
              </w:rPr>
            </w:pPr>
            <w:r>
              <w:rPr>
                <w:sz w:val="21"/>
                <w:szCs w:val="21"/>
                <w:highlight w:val="none"/>
              </w:rPr>
              <w:t>未超过招标人公布的最高投标限价，大写金额能够确定具</w:t>
            </w:r>
            <w:r>
              <w:rPr>
                <w:spacing w:val="2"/>
                <w:sz w:val="21"/>
                <w:szCs w:val="21"/>
                <w:highlight w:val="none"/>
              </w:rPr>
              <w:t xml:space="preserve"> </w:t>
            </w:r>
            <w:r>
              <w:rPr>
                <w:spacing w:val="-3"/>
                <w:sz w:val="21"/>
                <w:szCs w:val="21"/>
                <w:highlight w:val="none"/>
              </w:rPr>
              <w:t>体数值</w:t>
            </w:r>
          </w:p>
        </w:tc>
      </w:tr>
      <w:tr w14:paraId="2B72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2A534EA2">
            <w:pPr>
              <w:rPr>
                <w:rFonts w:ascii="Arial"/>
                <w:sz w:val="21"/>
                <w:highlight w:val="none"/>
              </w:rPr>
            </w:pPr>
          </w:p>
        </w:tc>
        <w:tc>
          <w:tcPr>
            <w:tcW w:w="579" w:type="dxa"/>
            <w:vMerge w:val="continue"/>
            <w:tcBorders>
              <w:top w:val="nil"/>
              <w:bottom w:val="nil"/>
            </w:tcBorders>
            <w:textDirection w:val="tbRlV"/>
            <w:vAlign w:val="top"/>
          </w:tcPr>
          <w:p w14:paraId="4C08C15E">
            <w:pPr>
              <w:rPr>
                <w:rFonts w:ascii="Arial"/>
                <w:sz w:val="21"/>
                <w:highlight w:val="none"/>
              </w:rPr>
            </w:pPr>
          </w:p>
        </w:tc>
        <w:tc>
          <w:tcPr>
            <w:tcW w:w="479" w:type="dxa"/>
            <w:gridSpan w:val="3"/>
            <w:vMerge w:val="continue"/>
            <w:tcBorders>
              <w:top w:val="nil"/>
              <w:bottom w:val="nil"/>
            </w:tcBorders>
            <w:textDirection w:val="tbRlV"/>
            <w:vAlign w:val="top"/>
          </w:tcPr>
          <w:p w14:paraId="5A0CEFFC">
            <w:pPr>
              <w:rPr>
                <w:rFonts w:ascii="Arial"/>
                <w:sz w:val="21"/>
                <w:highlight w:val="none"/>
              </w:rPr>
            </w:pPr>
          </w:p>
        </w:tc>
        <w:tc>
          <w:tcPr>
            <w:tcW w:w="2018" w:type="dxa"/>
            <w:gridSpan w:val="3"/>
            <w:vAlign w:val="top"/>
          </w:tcPr>
          <w:p w14:paraId="4486D2EF">
            <w:pPr>
              <w:pStyle w:val="14"/>
              <w:spacing w:before="219" w:line="220" w:lineRule="auto"/>
              <w:ind w:left="423"/>
              <w:rPr>
                <w:sz w:val="21"/>
                <w:szCs w:val="21"/>
                <w:highlight w:val="none"/>
              </w:rPr>
            </w:pPr>
            <w:r>
              <w:rPr>
                <w:spacing w:val="12"/>
                <w:sz w:val="21"/>
                <w:szCs w:val="21"/>
                <w:highlight w:val="none"/>
              </w:rPr>
              <w:t>开标一览表</w:t>
            </w:r>
          </w:p>
        </w:tc>
        <w:tc>
          <w:tcPr>
            <w:tcW w:w="5279" w:type="dxa"/>
            <w:vAlign w:val="top"/>
          </w:tcPr>
          <w:p w14:paraId="6C99D6D7">
            <w:pPr>
              <w:pStyle w:val="14"/>
              <w:spacing w:before="57" w:line="247" w:lineRule="auto"/>
              <w:ind w:left="15" w:right="14"/>
              <w:rPr>
                <w:sz w:val="21"/>
                <w:szCs w:val="21"/>
                <w:highlight w:val="none"/>
              </w:rPr>
            </w:pPr>
            <w:r>
              <w:rPr>
                <w:spacing w:val="-1"/>
                <w:sz w:val="21"/>
                <w:szCs w:val="21"/>
                <w:highlight w:val="none"/>
              </w:rPr>
              <w:t>工程量清单中填报的投标总报价与开标一览表中填报的投</w:t>
            </w:r>
            <w:r>
              <w:rPr>
                <w:spacing w:val="13"/>
                <w:sz w:val="21"/>
                <w:szCs w:val="21"/>
                <w:highlight w:val="none"/>
              </w:rPr>
              <w:t xml:space="preserve"> </w:t>
            </w:r>
            <w:r>
              <w:rPr>
                <w:spacing w:val="-2"/>
                <w:sz w:val="21"/>
                <w:szCs w:val="21"/>
                <w:highlight w:val="none"/>
              </w:rPr>
              <w:t>标报价必须一致</w:t>
            </w:r>
          </w:p>
        </w:tc>
      </w:tr>
      <w:tr w14:paraId="5A09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60" w:hRule="atLeast"/>
        </w:trPr>
        <w:tc>
          <w:tcPr>
            <w:tcW w:w="774" w:type="dxa"/>
            <w:vMerge w:val="continue"/>
            <w:tcBorders>
              <w:top w:val="nil"/>
            </w:tcBorders>
            <w:vAlign w:val="top"/>
          </w:tcPr>
          <w:p w14:paraId="58811DEA">
            <w:pPr>
              <w:rPr>
                <w:rFonts w:ascii="Arial"/>
                <w:sz w:val="21"/>
                <w:highlight w:val="none"/>
              </w:rPr>
            </w:pPr>
          </w:p>
        </w:tc>
        <w:tc>
          <w:tcPr>
            <w:tcW w:w="579" w:type="dxa"/>
            <w:vMerge w:val="continue"/>
            <w:tcBorders>
              <w:top w:val="nil"/>
            </w:tcBorders>
            <w:textDirection w:val="tbRlV"/>
            <w:vAlign w:val="top"/>
          </w:tcPr>
          <w:p w14:paraId="69CF33F1">
            <w:pPr>
              <w:rPr>
                <w:rFonts w:ascii="Arial"/>
                <w:sz w:val="21"/>
                <w:highlight w:val="none"/>
              </w:rPr>
            </w:pPr>
          </w:p>
        </w:tc>
        <w:tc>
          <w:tcPr>
            <w:tcW w:w="479" w:type="dxa"/>
            <w:gridSpan w:val="3"/>
            <w:vMerge w:val="continue"/>
            <w:tcBorders>
              <w:top w:val="nil"/>
            </w:tcBorders>
            <w:textDirection w:val="tbRlV"/>
            <w:vAlign w:val="top"/>
          </w:tcPr>
          <w:p w14:paraId="5F4E055C">
            <w:pPr>
              <w:rPr>
                <w:rFonts w:ascii="Arial"/>
                <w:sz w:val="21"/>
                <w:highlight w:val="none"/>
              </w:rPr>
            </w:pPr>
          </w:p>
        </w:tc>
        <w:tc>
          <w:tcPr>
            <w:tcW w:w="2018" w:type="dxa"/>
            <w:gridSpan w:val="3"/>
            <w:shd w:val="clear" w:color="auto" w:fill="auto"/>
            <w:vAlign w:val="top"/>
          </w:tcPr>
          <w:p w14:paraId="587BDC60">
            <w:pPr>
              <w:pStyle w:val="14"/>
              <w:spacing w:before="187" w:line="218" w:lineRule="auto"/>
              <w:ind w:left="262" w:leftChars="0"/>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shd w:val="clear" w:color="auto" w:fill="auto"/>
            <w:vAlign w:val="top"/>
          </w:tcPr>
          <w:p w14:paraId="070979B4">
            <w:pPr>
              <w:pStyle w:val="14"/>
              <w:spacing w:before="187" w:line="218" w:lineRule="auto"/>
              <w:ind w:left="15" w:leftChars="0"/>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14:paraId="688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65" w:hRule="atLeast"/>
        </w:trPr>
        <w:tc>
          <w:tcPr>
            <w:tcW w:w="774" w:type="dxa"/>
            <w:vMerge w:val="continue"/>
            <w:tcBorders>
              <w:top w:val="nil"/>
            </w:tcBorders>
            <w:vAlign w:val="top"/>
          </w:tcPr>
          <w:p w14:paraId="32BFB919">
            <w:pPr>
              <w:rPr>
                <w:rFonts w:ascii="Arial"/>
                <w:sz w:val="21"/>
                <w:highlight w:val="none"/>
              </w:rPr>
            </w:pPr>
          </w:p>
        </w:tc>
        <w:tc>
          <w:tcPr>
            <w:tcW w:w="579" w:type="dxa"/>
            <w:vMerge w:val="continue"/>
            <w:tcBorders>
              <w:top w:val="nil"/>
            </w:tcBorders>
            <w:textDirection w:val="tbRlV"/>
            <w:vAlign w:val="top"/>
          </w:tcPr>
          <w:p w14:paraId="09B4375C">
            <w:pPr>
              <w:rPr>
                <w:rFonts w:ascii="Arial"/>
                <w:sz w:val="21"/>
                <w:highlight w:val="none"/>
              </w:rPr>
            </w:pPr>
          </w:p>
        </w:tc>
        <w:tc>
          <w:tcPr>
            <w:tcW w:w="479" w:type="dxa"/>
            <w:gridSpan w:val="3"/>
            <w:vMerge w:val="continue"/>
            <w:tcBorders>
              <w:top w:val="nil"/>
            </w:tcBorders>
            <w:textDirection w:val="tbRlV"/>
            <w:vAlign w:val="top"/>
          </w:tcPr>
          <w:p w14:paraId="4190B253">
            <w:pPr>
              <w:rPr>
                <w:rFonts w:ascii="Arial"/>
                <w:sz w:val="21"/>
                <w:highlight w:val="none"/>
              </w:rPr>
            </w:pPr>
          </w:p>
        </w:tc>
        <w:tc>
          <w:tcPr>
            <w:tcW w:w="2018" w:type="dxa"/>
            <w:gridSpan w:val="3"/>
            <w:vAlign w:val="center"/>
          </w:tcPr>
          <w:p w14:paraId="10D52A77">
            <w:pPr>
              <w:jc w:val="center"/>
              <w:rPr>
                <w:sz w:val="21"/>
                <w:szCs w:val="21"/>
                <w:highlight w:val="none"/>
              </w:rPr>
            </w:pPr>
            <w:r>
              <w:rPr>
                <w:rFonts w:hint="eastAsia"/>
                <w:color w:val="auto"/>
                <w:sz w:val="21"/>
                <w:highlight w:val="none"/>
              </w:rPr>
              <w:t>具备竞争性</w:t>
            </w:r>
          </w:p>
        </w:tc>
        <w:tc>
          <w:tcPr>
            <w:tcW w:w="5279" w:type="dxa"/>
            <w:vAlign w:val="center"/>
          </w:tcPr>
          <w:p w14:paraId="5C467994">
            <w:pPr>
              <w:adjustRightInd w:val="0"/>
              <w:snapToGrid w:val="0"/>
              <w:spacing w:before="72" w:beforeLines="30" w:after="72" w:afterLines="30"/>
              <w:ind w:right="63" w:rightChars="30"/>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778F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80" w:hRule="atLeast"/>
        </w:trPr>
        <w:tc>
          <w:tcPr>
            <w:tcW w:w="1373" w:type="dxa"/>
            <w:gridSpan w:val="4"/>
            <w:vAlign w:val="center"/>
          </w:tcPr>
          <w:p w14:paraId="2804052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365"/>
              <w:jc w:val="both"/>
              <w:textAlignment w:val="baseline"/>
              <w:rPr>
                <w:b/>
                <w:bCs/>
                <w:sz w:val="21"/>
                <w:szCs w:val="21"/>
                <w:highlight w:val="none"/>
              </w:rPr>
            </w:pPr>
            <w:r>
              <w:rPr>
                <w:b/>
                <w:bCs/>
                <w:spacing w:val="4"/>
                <w:sz w:val="21"/>
                <w:szCs w:val="21"/>
                <w:highlight w:val="none"/>
              </w:rPr>
              <w:t>条款号</w:t>
            </w:r>
          </w:p>
        </w:tc>
        <w:tc>
          <w:tcPr>
            <w:tcW w:w="1968" w:type="dxa"/>
            <w:gridSpan w:val="2"/>
            <w:vAlign w:val="center"/>
          </w:tcPr>
          <w:p w14:paraId="55F0825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552"/>
              <w:jc w:val="both"/>
              <w:textAlignment w:val="baseline"/>
              <w:rPr>
                <w:b/>
                <w:bCs/>
                <w:sz w:val="21"/>
                <w:szCs w:val="21"/>
                <w:highlight w:val="none"/>
              </w:rPr>
            </w:pPr>
            <w:r>
              <w:rPr>
                <w:b/>
                <w:bCs/>
                <w:spacing w:val="2"/>
                <w:sz w:val="21"/>
                <w:szCs w:val="21"/>
                <w:highlight w:val="none"/>
              </w:rPr>
              <w:t>条款内容</w:t>
            </w:r>
          </w:p>
        </w:tc>
        <w:tc>
          <w:tcPr>
            <w:tcW w:w="6014" w:type="dxa"/>
            <w:gridSpan w:val="5"/>
            <w:vAlign w:val="center"/>
          </w:tcPr>
          <w:p w14:paraId="41F06057">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2573"/>
              <w:jc w:val="both"/>
              <w:textAlignment w:val="baseline"/>
              <w:rPr>
                <w:b/>
                <w:bCs/>
                <w:sz w:val="21"/>
                <w:szCs w:val="21"/>
                <w:highlight w:val="none"/>
              </w:rPr>
            </w:pPr>
            <w:r>
              <w:rPr>
                <w:b/>
                <w:bCs/>
                <w:spacing w:val="2"/>
                <w:sz w:val="21"/>
                <w:szCs w:val="21"/>
                <w:highlight w:val="none"/>
              </w:rPr>
              <w:t>编列内容</w:t>
            </w:r>
          </w:p>
        </w:tc>
      </w:tr>
      <w:tr w14:paraId="0FD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9" w:hRule="atLeast"/>
        </w:trPr>
        <w:tc>
          <w:tcPr>
            <w:tcW w:w="1373" w:type="dxa"/>
            <w:gridSpan w:val="4"/>
            <w:vAlign w:val="center"/>
          </w:tcPr>
          <w:p w14:paraId="5066DB68">
            <w:pPr>
              <w:pStyle w:val="14"/>
              <w:keepNext w:val="0"/>
              <w:keepLines w:val="0"/>
              <w:pageBreakBefore w:val="0"/>
              <w:widowControl/>
              <w:kinsoku w:val="0"/>
              <w:wordWrap/>
              <w:overflowPunct/>
              <w:topLinePunct w:val="0"/>
              <w:autoSpaceDE w:val="0"/>
              <w:autoSpaceDN w:val="0"/>
              <w:bidi w:val="0"/>
              <w:adjustRightInd w:val="0"/>
              <w:snapToGrid w:val="0"/>
              <w:spacing w:line="239" w:lineRule="auto"/>
              <w:ind w:left="415"/>
              <w:jc w:val="center"/>
              <w:textAlignment w:val="baseline"/>
              <w:rPr>
                <w:sz w:val="21"/>
                <w:szCs w:val="21"/>
                <w:highlight w:val="none"/>
              </w:rPr>
            </w:pPr>
            <w:r>
              <w:rPr>
                <w:spacing w:val="-2"/>
                <w:sz w:val="21"/>
                <w:szCs w:val="21"/>
                <w:highlight w:val="none"/>
              </w:rPr>
              <w:t>2.2.1</w:t>
            </w:r>
          </w:p>
        </w:tc>
        <w:tc>
          <w:tcPr>
            <w:tcW w:w="1968" w:type="dxa"/>
            <w:gridSpan w:val="2"/>
            <w:vAlign w:val="center"/>
          </w:tcPr>
          <w:p w14:paraId="7DFFF9A4">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1"/>
                <w:szCs w:val="21"/>
                <w:highlight w:val="none"/>
              </w:rPr>
            </w:pPr>
            <w:r>
              <w:rPr>
                <w:spacing w:val="2"/>
                <w:sz w:val="21"/>
                <w:szCs w:val="21"/>
                <w:highlight w:val="none"/>
              </w:rPr>
              <w:t>分值构成</w:t>
            </w:r>
          </w:p>
          <w:p w14:paraId="37C16AE2">
            <w:pPr>
              <w:pStyle w:val="14"/>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rPr>
                <w:sz w:val="21"/>
                <w:szCs w:val="21"/>
                <w:highlight w:val="none"/>
              </w:rPr>
            </w:pPr>
            <w:r>
              <w:rPr>
                <w:spacing w:val="6"/>
                <w:sz w:val="21"/>
                <w:szCs w:val="21"/>
                <w:highlight w:val="none"/>
              </w:rPr>
              <w:t>(总分100分)</w:t>
            </w:r>
          </w:p>
        </w:tc>
        <w:tc>
          <w:tcPr>
            <w:tcW w:w="6014" w:type="dxa"/>
            <w:gridSpan w:val="5"/>
            <w:vAlign w:val="center"/>
          </w:tcPr>
          <w:p w14:paraId="2C18B7E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14:paraId="1541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681" w:hRule="atLeast"/>
        </w:trPr>
        <w:tc>
          <w:tcPr>
            <w:tcW w:w="1373" w:type="dxa"/>
            <w:gridSpan w:val="4"/>
            <w:vAlign w:val="top"/>
          </w:tcPr>
          <w:p w14:paraId="2C930CBF">
            <w:pPr>
              <w:spacing w:line="245" w:lineRule="auto"/>
              <w:rPr>
                <w:rFonts w:ascii="Arial"/>
                <w:sz w:val="21"/>
                <w:highlight w:val="none"/>
              </w:rPr>
            </w:pPr>
          </w:p>
          <w:p w14:paraId="047AEDC6">
            <w:pPr>
              <w:spacing w:line="245" w:lineRule="auto"/>
              <w:rPr>
                <w:rFonts w:ascii="Arial"/>
                <w:sz w:val="21"/>
                <w:highlight w:val="none"/>
              </w:rPr>
            </w:pPr>
          </w:p>
          <w:p w14:paraId="0D06B2B9">
            <w:pPr>
              <w:spacing w:line="245" w:lineRule="auto"/>
              <w:rPr>
                <w:rFonts w:ascii="Arial"/>
                <w:sz w:val="21"/>
                <w:highlight w:val="none"/>
              </w:rPr>
            </w:pPr>
          </w:p>
          <w:p w14:paraId="0F8A4F38">
            <w:pPr>
              <w:spacing w:line="245" w:lineRule="auto"/>
              <w:rPr>
                <w:rFonts w:ascii="Arial"/>
                <w:sz w:val="21"/>
                <w:highlight w:val="none"/>
              </w:rPr>
            </w:pPr>
          </w:p>
          <w:p w14:paraId="11827C6A">
            <w:pPr>
              <w:spacing w:line="245" w:lineRule="auto"/>
              <w:rPr>
                <w:rFonts w:ascii="Arial"/>
                <w:sz w:val="21"/>
                <w:highlight w:val="none"/>
              </w:rPr>
            </w:pPr>
          </w:p>
          <w:p w14:paraId="2E22A8D8">
            <w:pPr>
              <w:spacing w:line="245" w:lineRule="auto"/>
              <w:rPr>
                <w:rFonts w:ascii="Arial"/>
                <w:sz w:val="21"/>
                <w:highlight w:val="none"/>
              </w:rPr>
            </w:pPr>
          </w:p>
          <w:p w14:paraId="4CB04A08">
            <w:pPr>
              <w:spacing w:line="245" w:lineRule="auto"/>
              <w:rPr>
                <w:rFonts w:ascii="Arial"/>
                <w:sz w:val="21"/>
                <w:highlight w:val="none"/>
              </w:rPr>
            </w:pPr>
          </w:p>
          <w:p w14:paraId="6FBB1A7B">
            <w:pPr>
              <w:spacing w:line="245" w:lineRule="auto"/>
              <w:rPr>
                <w:rFonts w:ascii="Arial"/>
                <w:sz w:val="21"/>
                <w:highlight w:val="none"/>
              </w:rPr>
            </w:pPr>
          </w:p>
          <w:p w14:paraId="137349E5">
            <w:pPr>
              <w:spacing w:line="245" w:lineRule="auto"/>
              <w:rPr>
                <w:rFonts w:ascii="Arial"/>
                <w:sz w:val="21"/>
                <w:highlight w:val="none"/>
              </w:rPr>
            </w:pPr>
          </w:p>
          <w:p w14:paraId="32D29087">
            <w:pPr>
              <w:spacing w:line="246" w:lineRule="auto"/>
              <w:rPr>
                <w:rFonts w:ascii="Arial"/>
                <w:sz w:val="21"/>
                <w:highlight w:val="none"/>
              </w:rPr>
            </w:pPr>
          </w:p>
          <w:p w14:paraId="0C98B2C4">
            <w:pPr>
              <w:spacing w:line="246" w:lineRule="auto"/>
              <w:rPr>
                <w:rFonts w:ascii="Arial"/>
                <w:sz w:val="21"/>
                <w:highlight w:val="none"/>
              </w:rPr>
            </w:pPr>
          </w:p>
          <w:p w14:paraId="761E24E2">
            <w:pPr>
              <w:spacing w:line="246" w:lineRule="auto"/>
              <w:rPr>
                <w:rFonts w:ascii="Arial"/>
                <w:sz w:val="21"/>
                <w:highlight w:val="none"/>
              </w:rPr>
            </w:pPr>
          </w:p>
          <w:p w14:paraId="455AC35A">
            <w:pPr>
              <w:spacing w:line="246" w:lineRule="auto"/>
              <w:rPr>
                <w:rFonts w:ascii="Arial"/>
                <w:sz w:val="21"/>
                <w:highlight w:val="none"/>
              </w:rPr>
            </w:pPr>
          </w:p>
          <w:p w14:paraId="50AD1C67">
            <w:pPr>
              <w:spacing w:line="246" w:lineRule="auto"/>
              <w:rPr>
                <w:rFonts w:ascii="Arial"/>
                <w:sz w:val="21"/>
                <w:highlight w:val="none"/>
              </w:rPr>
            </w:pPr>
          </w:p>
          <w:p w14:paraId="5F2B75B6">
            <w:pPr>
              <w:spacing w:line="246" w:lineRule="auto"/>
              <w:rPr>
                <w:rFonts w:ascii="Arial"/>
                <w:sz w:val="21"/>
                <w:highlight w:val="none"/>
              </w:rPr>
            </w:pPr>
          </w:p>
          <w:p w14:paraId="0DC600C8">
            <w:pPr>
              <w:spacing w:line="246" w:lineRule="auto"/>
              <w:rPr>
                <w:rFonts w:ascii="Arial"/>
                <w:sz w:val="21"/>
                <w:highlight w:val="none"/>
              </w:rPr>
            </w:pPr>
          </w:p>
          <w:p w14:paraId="22BDBC1B">
            <w:pPr>
              <w:spacing w:line="246" w:lineRule="auto"/>
              <w:rPr>
                <w:rFonts w:ascii="Arial"/>
                <w:sz w:val="21"/>
                <w:highlight w:val="none"/>
              </w:rPr>
            </w:pPr>
          </w:p>
          <w:p w14:paraId="7562D3C7">
            <w:pPr>
              <w:spacing w:line="246" w:lineRule="auto"/>
              <w:rPr>
                <w:rFonts w:ascii="Arial"/>
                <w:sz w:val="21"/>
                <w:highlight w:val="none"/>
              </w:rPr>
            </w:pPr>
          </w:p>
          <w:p w14:paraId="209FD7AA">
            <w:pPr>
              <w:spacing w:line="246" w:lineRule="auto"/>
              <w:rPr>
                <w:rFonts w:ascii="Arial"/>
                <w:sz w:val="21"/>
                <w:highlight w:val="none"/>
              </w:rPr>
            </w:pPr>
          </w:p>
          <w:p w14:paraId="3DC7E892">
            <w:pPr>
              <w:spacing w:line="246" w:lineRule="auto"/>
              <w:rPr>
                <w:rFonts w:ascii="Arial"/>
                <w:sz w:val="21"/>
                <w:highlight w:val="none"/>
              </w:rPr>
            </w:pPr>
          </w:p>
          <w:p w14:paraId="209AF547">
            <w:pPr>
              <w:spacing w:line="246" w:lineRule="auto"/>
              <w:rPr>
                <w:rFonts w:ascii="Arial"/>
                <w:sz w:val="21"/>
                <w:highlight w:val="none"/>
              </w:rPr>
            </w:pPr>
          </w:p>
          <w:p w14:paraId="2BDFA3E8">
            <w:pPr>
              <w:spacing w:line="246" w:lineRule="auto"/>
              <w:rPr>
                <w:rFonts w:ascii="Arial"/>
                <w:sz w:val="21"/>
                <w:highlight w:val="none"/>
              </w:rPr>
            </w:pPr>
          </w:p>
          <w:p w14:paraId="7551C858">
            <w:pPr>
              <w:spacing w:line="246" w:lineRule="auto"/>
              <w:rPr>
                <w:rFonts w:ascii="Arial"/>
                <w:sz w:val="21"/>
                <w:highlight w:val="none"/>
              </w:rPr>
            </w:pPr>
          </w:p>
          <w:p w14:paraId="5551E0F5">
            <w:pPr>
              <w:spacing w:line="246" w:lineRule="auto"/>
              <w:rPr>
                <w:rFonts w:ascii="Arial"/>
                <w:sz w:val="21"/>
                <w:highlight w:val="none"/>
              </w:rPr>
            </w:pPr>
          </w:p>
          <w:p w14:paraId="628C3CE6">
            <w:pPr>
              <w:pStyle w:val="14"/>
              <w:spacing w:before="69" w:line="239" w:lineRule="auto"/>
              <w:ind w:left="415"/>
              <w:rPr>
                <w:sz w:val="21"/>
                <w:szCs w:val="21"/>
                <w:highlight w:val="none"/>
              </w:rPr>
            </w:pPr>
            <w:r>
              <w:rPr>
                <w:spacing w:val="-2"/>
                <w:sz w:val="21"/>
                <w:szCs w:val="21"/>
                <w:highlight w:val="none"/>
              </w:rPr>
              <w:t>2.2.2</w:t>
            </w:r>
          </w:p>
        </w:tc>
        <w:tc>
          <w:tcPr>
            <w:tcW w:w="1968" w:type="dxa"/>
            <w:gridSpan w:val="2"/>
            <w:vAlign w:val="top"/>
          </w:tcPr>
          <w:p w14:paraId="572CF050">
            <w:pPr>
              <w:spacing w:line="249" w:lineRule="auto"/>
              <w:rPr>
                <w:rFonts w:ascii="Arial"/>
                <w:sz w:val="21"/>
                <w:highlight w:val="none"/>
              </w:rPr>
            </w:pPr>
          </w:p>
          <w:p w14:paraId="5473E7D1">
            <w:pPr>
              <w:spacing w:line="249" w:lineRule="auto"/>
              <w:rPr>
                <w:rFonts w:ascii="Arial"/>
                <w:sz w:val="21"/>
                <w:highlight w:val="none"/>
              </w:rPr>
            </w:pPr>
          </w:p>
          <w:p w14:paraId="2E269943">
            <w:pPr>
              <w:spacing w:line="249" w:lineRule="auto"/>
              <w:rPr>
                <w:rFonts w:ascii="Arial"/>
                <w:sz w:val="21"/>
                <w:highlight w:val="none"/>
              </w:rPr>
            </w:pPr>
          </w:p>
          <w:p w14:paraId="55A8AD73">
            <w:pPr>
              <w:spacing w:line="249" w:lineRule="auto"/>
              <w:rPr>
                <w:rFonts w:ascii="Arial"/>
                <w:sz w:val="21"/>
                <w:highlight w:val="none"/>
              </w:rPr>
            </w:pPr>
          </w:p>
          <w:p w14:paraId="31A9CF5B">
            <w:pPr>
              <w:spacing w:line="249" w:lineRule="auto"/>
              <w:rPr>
                <w:rFonts w:ascii="Arial"/>
                <w:sz w:val="21"/>
                <w:highlight w:val="none"/>
              </w:rPr>
            </w:pPr>
          </w:p>
          <w:p w14:paraId="44DD9A9D">
            <w:pPr>
              <w:spacing w:line="249" w:lineRule="auto"/>
              <w:rPr>
                <w:rFonts w:ascii="Arial"/>
                <w:sz w:val="21"/>
                <w:highlight w:val="none"/>
              </w:rPr>
            </w:pPr>
          </w:p>
          <w:p w14:paraId="4BC66AA3">
            <w:pPr>
              <w:spacing w:line="249" w:lineRule="auto"/>
              <w:rPr>
                <w:rFonts w:ascii="Arial"/>
                <w:sz w:val="21"/>
                <w:highlight w:val="none"/>
              </w:rPr>
            </w:pPr>
          </w:p>
          <w:p w14:paraId="0365CB48">
            <w:pPr>
              <w:spacing w:line="250" w:lineRule="auto"/>
              <w:rPr>
                <w:rFonts w:ascii="Arial"/>
                <w:sz w:val="21"/>
                <w:highlight w:val="none"/>
              </w:rPr>
            </w:pPr>
          </w:p>
          <w:p w14:paraId="19C6B3ED">
            <w:pPr>
              <w:spacing w:line="250" w:lineRule="auto"/>
              <w:rPr>
                <w:rFonts w:ascii="Arial"/>
                <w:sz w:val="21"/>
                <w:highlight w:val="none"/>
              </w:rPr>
            </w:pPr>
          </w:p>
          <w:p w14:paraId="77814C21">
            <w:pPr>
              <w:spacing w:line="250" w:lineRule="auto"/>
              <w:rPr>
                <w:rFonts w:ascii="Arial"/>
                <w:sz w:val="21"/>
                <w:highlight w:val="none"/>
              </w:rPr>
            </w:pPr>
          </w:p>
          <w:p w14:paraId="61789B62">
            <w:pPr>
              <w:spacing w:line="250" w:lineRule="auto"/>
              <w:rPr>
                <w:rFonts w:ascii="Arial"/>
                <w:sz w:val="21"/>
                <w:highlight w:val="none"/>
              </w:rPr>
            </w:pPr>
          </w:p>
          <w:p w14:paraId="36E1BFCD">
            <w:pPr>
              <w:spacing w:line="250" w:lineRule="auto"/>
              <w:rPr>
                <w:rFonts w:ascii="Arial"/>
                <w:sz w:val="21"/>
                <w:highlight w:val="none"/>
              </w:rPr>
            </w:pPr>
          </w:p>
          <w:p w14:paraId="4E731CE3">
            <w:pPr>
              <w:spacing w:line="250" w:lineRule="auto"/>
              <w:rPr>
                <w:rFonts w:ascii="Arial"/>
                <w:sz w:val="21"/>
                <w:highlight w:val="none"/>
              </w:rPr>
            </w:pPr>
          </w:p>
          <w:p w14:paraId="587FB490">
            <w:pPr>
              <w:spacing w:line="250" w:lineRule="auto"/>
              <w:rPr>
                <w:rFonts w:ascii="Arial"/>
                <w:sz w:val="21"/>
                <w:highlight w:val="none"/>
              </w:rPr>
            </w:pPr>
          </w:p>
          <w:p w14:paraId="20E42C36">
            <w:pPr>
              <w:spacing w:line="250" w:lineRule="auto"/>
              <w:rPr>
                <w:rFonts w:ascii="Arial"/>
                <w:sz w:val="21"/>
                <w:highlight w:val="none"/>
              </w:rPr>
            </w:pPr>
          </w:p>
          <w:p w14:paraId="176880E4">
            <w:pPr>
              <w:spacing w:line="250" w:lineRule="auto"/>
              <w:rPr>
                <w:rFonts w:ascii="Arial"/>
                <w:sz w:val="21"/>
                <w:highlight w:val="none"/>
              </w:rPr>
            </w:pPr>
          </w:p>
          <w:p w14:paraId="60223AA1">
            <w:pPr>
              <w:spacing w:line="250" w:lineRule="auto"/>
              <w:rPr>
                <w:rFonts w:ascii="Arial"/>
                <w:sz w:val="21"/>
                <w:highlight w:val="none"/>
              </w:rPr>
            </w:pPr>
          </w:p>
          <w:p w14:paraId="35E9D95B">
            <w:pPr>
              <w:spacing w:line="250" w:lineRule="auto"/>
              <w:rPr>
                <w:rFonts w:ascii="Arial"/>
                <w:sz w:val="21"/>
                <w:highlight w:val="none"/>
              </w:rPr>
            </w:pPr>
          </w:p>
          <w:p w14:paraId="2335F062">
            <w:pPr>
              <w:spacing w:line="250" w:lineRule="auto"/>
              <w:rPr>
                <w:rFonts w:ascii="Arial"/>
                <w:sz w:val="21"/>
                <w:highlight w:val="none"/>
              </w:rPr>
            </w:pPr>
          </w:p>
          <w:p w14:paraId="1D15D3D8">
            <w:pPr>
              <w:spacing w:line="250" w:lineRule="auto"/>
              <w:rPr>
                <w:rFonts w:ascii="Arial"/>
                <w:sz w:val="21"/>
                <w:highlight w:val="none"/>
              </w:rPr>
            </w:pPr>
          </w:p>
          <w:p w14:paraId="0BAAC295">
            <w:pPr>
              <w:spacing w:line="250" w:lineRule="auto"/>
              <w:rPr>
                <w:rFonts w:ascii="Arial"/>
                <w:sz w:val="21"/>
                <w:highlight w:val="none"/>
              </w:rPr>
            </w:pPr>
          </w:p>
          <w:p w14:paraId="4D98E08C">
            <w:pPr>
              <w:spacing w:line="250" w:lineRule="auto"/>
              <w:rPr>
                <w:rFonts w:ascii="Arial"/>
                <w:sz w:val="21"/>
                <w:highlight w:val="none"/>
              </w:rPr>
            </w:pPr>
          </w:p>
          <w:p w14:paraId="5AECCB69">
            <w:pPr>
              <w:spacing w:line="250" w:lineRule="auto"/>
              <w:rPr>
                <w:rFonts w:ascii="Arial"/>
                <w:sz w:val="21"/>
                <w:highlight w:val="none"/>
              </w:rPr>
            </w:pPr>
          </w:p>
          <w:p w14:paraId="704B7127">
            <w:pPr>
              <w:pStyle w:val="14"/>
              <w:spacing w:before="68" w:line="294" w:lineRule="auto"/>
              <w:ind w:left="551" w:right="463" w:hanging="99"/>
              <w:rPr>
                <w:sz w:val="21"/>
                <w:szCs w:val="21"/>
                <w:highlight w:val="none"/>
              </w:rPr>
            </w:pPr>
            <w:r>
              <w:rPr>
                <w:spacing w:val="-2"/>
                <w:sz w:val="21"/>
                <w:szCs w:val="21"/>
                <w:highlight w:val="none"/>
              </w:rPr>
              <w:t>评标基准价</w:t>
            </w:r>
            <w:r>
              <w:rPr>
                <w:spacing w:val="1"/>
                <w:sz w:val="21"/>
                <w:szCs w:val="21"/>
                <w:highlight w:val="none"/>
              </w:rPr>
              <w:t xml:space="preserve"> </w:t>
            </w:r>
            <w:r>
              <w:rPr>
                <w:spacing w:val="-2"/>
                <w:sz w:val="21"/>
                <w:szCs w:val="21"/>
                <w:highlight w:val="none"/>
              </w:rPr>
              <w:t>计算方法</w:t>
            </w:r>
          </w:p>
        </w:tc>
        <w:tc>
          <w:tcPr>
            <w:tcW w:w="6014" w:type="dxa"/>
            <w:gridSpan w:val="5"/>
            <w:vAlign w:val="center"/>
          </w:tcPr>
          <w:p w14:paraId="57461B9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14:paraId="72B785D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14:paraId="78DFEB09">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14:paraId="2B559D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14:paraId="748965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14:paraId="2917C95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14:paraId="74E9B67B">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 开标有效的投标人数量， 超过最高投标限价的投标人不参与计算。</w:t>
            </w:r>
          </w:p>
          <w:p w14:paraId="438A60F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 价参与评标基准价的计算，评标基准价保留两位小数，小数点后第三位“四舍五入”。</w:t>
            </w:r>
          </w:p>
          <w:p w14:paraId="1B48363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14:paraId="323C1F1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 有小于或等于第一次平均值的评标价（不包括去掉的 n2 个最低 评标价）进行第二次平均，第二次平均值即为评标基准价 P。</w:t>
            </w:r>
          </w:p>
          <w:p w14:paraId="5955727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14:paraId="6D9678C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14:paraId="42CBFB4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 的 3 个评标价。</w:t>
            </w:r>
          </w:p>
          <w:p w14:paraId="5B1894C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14:paraId="3AB56EC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14:paraId="489B121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14:paraId="235E591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14:paraId="4CB0F9F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K——权重系数， 由在第二个信封（报价文件）开标现场随机 抽取的 X、Y 两个系数构成，K=(X+Y/10)/10，其中 X 有 5 个系数， 分别为 0、1、2、3、4；Y 有 10 个系数分别为 0、1、2、3、4、5、 6、7、8、9。</w:t>
            </w:r>
          </w:p>
          <w:p w14:paraId="00C88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14:paraId="7130C196">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 第 1+2a 低、„„和第 1+na 低的评标价进行平均， 平均值乘以下 浮系数 Z，即为评标基准价 P。</w:t>
            </w:r>
          </w:p>
          <w:p w14:paraId="1F85338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14:paraId="15703CBC">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a——随机步距， 在第二个信封（报价文件） 开标现场随机抽 取，取值范围为 3、4、5。</w:t>
            </w:r>
          </w:p>
          <w:p w14:paraId="666BABD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14:paraId="5F861E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14:paraId="2F13876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14:paraId="603AB70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 围为 n3～n4, 步距为 1。</w:t>
            </w:r>
          </w:p>
          <w:p w14:paraId="0642989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14:paraId="0C45E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14:paraId="2C5B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1364" w:type="dxa"/>
            <w:gridSpan w:val="4"/>
            <w:tcBorders>
              <w:left w:val="single" w:color="000000" w:sz="2" w:space="0"/>
            </w:tcBorders>
            <w:vAlign w:val="top"/>
          </w:tcPr>
          <w:p w14:paraId="7921B147">
            <w:pPr>
              <w:pStyle w:val="14"/>
              <w:spacing w:before="183" w:line="219" w:lineRule="auto"/>
              <w:ind w:left="360"/>
              <w:rPr>
                <w:b/>
                <w:bCs/>
                <w:sz w:val="21"/>
                <w:szCs w:val="21"/>
                <w:highlight w:val="none"/>
              </w:rPr>
            </w:pPr>
            <w:bookmarkStart w:id="5" w:name="bookmark282"/>
            <w:bookmarkEnd w:id="5"/>
            <w:r>
              <w:rPr>
                <w:b/>
                <w:bCs/>
                <w:spacing w:val="4"/>
                <w:sz w:val="21"/>
                <w:szCs w:val="21"/>
                <w:highlight w:val="none"/>
              </w:rPr>
              <w:t>条款号</w:t>
            </w:r>
          </w:p>
        </w:tc>
        <w:tc>
          <w:tcPr>
            <w:tcW w:w="1988" w:type="dxa"/>
            <w:gridSpan w:val="4"/>
            <w:vAlign w:val="top"/>
          </w:tcPr>
          <w:p w14:paraId="563B23DC">
            <w:pPr>
              <w:pStyle w:val="14"/>
              <w:spacing w:before="183" w:line="219" w:lineRule="auto"/>
              <w:ind w:left="563"/>
              <w:rPr>
                <w:b/>
                <w:bCs/>
                <w:sz w:val="21"/>
                <w:szCs w:val="21"/>
                <w:highlight w:val="none"/>
              </w:rPr>
            </w:pPr>
            <w:r>
              <w:rPr>
                <w:b/>
                <w:bCs/>
                <w:spacing w:val="2"/>
                <w:sz w:val="21"/>
                <w:szCs w:val="21"/>
                <w:highlight w:val="none"/>
              </w:rPr>
              <w:t>条款内容</w:t>
            </w:r>
          </w:p>
        </w:tc>
        <w:tc>
          <w:tcPr>
            <w:tcW w:w="5990" w:type="dxa"/>
            <w:gridSpan w:val="3"/>
            <w:vAlign w:val="top"/>
          </w:tcPr>
          <w:p w14:paraId="6F4EFD4B">
            <w:pPr>
              <w:pStyle w:val="14"/>
              <w:spacing w:before="183" w:line="219" w:lineRule="auto"/>
              <w:ind w:left="2565"/>
              <w:rPr>
                <w:b/>
                <w:bCs/>
                <w:sz w:val="21"/>
                <w:szCs w:val="21"/>
                <w:highlight w:val="none"/>
              </w:rPr>
            </w:pPr>
            <w:r>
              <w:rPr>
                <w:b/>
                <w:bCs/>
                <w:spacing w:val="15"/>
                <w:sz w:val="21"/>
                <w:szCs w:val="21"/>
                <w:highlight w:val="none"/>
              </w:rPr>
              <w:t>编列内容</w:t>
            </w:r>
          </w:p>
        </w:tc>
      </w:tr>
      <w:tr w14:paraId="419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28" w:hRule="atLeast"/>
        </w:trPr>
        <w:tc>
          <w:tcPr>
            <w:tcW w:w="1364" w:type="dxa"/>
            <w:gridSpan w:val="4"/>
            <w:tcBorders>
              <w:left w:val="single" w:color="000000" w:sz="2" w:space="0"/>
            </w:tcBorders>
            <w:vAlign w:val="top"/>
          </w:tcPr>
          <w:p w14:paraId="6675BD28">
            <w:pPr>
              <w:spacing w:line="322" w:lineRule="auto"/>
              <w:rPr>
                <w:rFonts w:ascii="Arial"/>
                <w:sz w:val="21"/>
                <w:highlight w:val="none"/>
              </w:rPr>
            </w:pPr>
          </w:p>
          <w:p w14:paraId="7780EE1A">
            <w:pPr>
              <w:pStyle w:val="14"/>
              <w:spacing w:before="68" w:line="239" w:lineRule="auto"/>
              <w:ind w:left="360"/>
              <w:rPr>
                <w:sz w:val="21"/>
                <w:szCs w:val="21"/>
                <w:highlight w:val="none"/>
              </w:rPr>
            </w:pPr>
            <w:r>
              <w:rPr>
                <w:spacing w:val="-2"/>
                <w:sz w:val="21"/>
                <w:szCs w:val="21"/>
                <w:highlight w:val="none"/>
              </w:rPr>
              <w:t>2.2.3.</w:t>
            </w:r>
          </w:p>
        </w:tc>
        <w:tc>
          <w:tcPr>
            <w:tcW w:w="1988" w:type="dxa"/>
            <w:gridSpan w:val="4"/>
            <w:vAlign w:val="top"/>
          </w:tcPr>
          <w:p w14:paraId="57237BA1">
            <w:pPr>
              <w:pStyle w:val="14"/>
              <w:spacing w:before="228" w:line="294" w:lineRule="auto"/>
              <w:ind w:left="563" w:right="261" w:hanging="310"/>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5990" w:type="dxa"/>
            <w:gridSpan w:val="3"/>
            <w:vAlign w:val="center"/>
          </w:tcPr>
          <w:p w14:paraId="2D038385">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r>
              <w:rPr>
                <w:spacing w:val="-1"/>
                <w:sz w:val="21"/>
                <w:szCs w:val="21"/>
                <w:highlight w:val="none"/>
              </w:rPr>
              <w:t>偏差率保留小数点后9位(四舍五入法)。</w:t>
            </w:r>
          </w:p>
          <w:p w14:paraId="505FE3D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示例：偏差率保留小数点后9位，表示为0.123456789%。</w:t>
            </w:r>
          </w:p>
        </w:tc>
      </w:tr>
      <w:tr w14:paraId="113D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575" w:hRule="atLeast"/>
        </w:trPr>
        <w:tc>
          <w:tcPr>
            <w:tcW w:w="1364" w:type="dxa"/>
            <w:gridSpan w:val="4"/>
            <w:tcBorders>
              <w:left w:val="single" w:color="000000" w:sz="2" w:space="0"/>
            </w:tcBorders>
            <w:vAlign w:val="top"/>
          </w:tcPr>
          <w:p w14:paraId="6D106153">
            <w:pPr>
              <w:spacing w:line="241" w:lineRule="auto"/>
              <w:rPr>
                <w:rFonts w:ascii="Arial"/>
                <w:sz w:val="21"/>
                <w:highlight w:val="none"/>
              </w:rPr>
            </w:pPr>
          </w:p>
          <w:p w14:paraId="470D53E8">
            <w:pPr>
              <w:spacing w:line="241" w:lineRule="auto"/>
              <w:rPr>
                <w:rFonts w:ascii="Arial"/>
                <w:sz w:val="21"/>
                <w:highlight w:val="none"/>
              </w:rPr>
            </w:pPr>
          </w:p>
          <w:p w14:paraId="49C2D47D">
            <w:pPr>
              <w:spacing w:line="241" w:lineRule="auto"/>
              <w:rPr>
                <w:rFonts w:ascii="Arial"/>
                <w:sz w:val="21"/>
                <w:highlight w:val="none"/>
              </w:rPr>
            </w:pPr>
          </w:p>
          <w:p w14:paraId="3FB8AACB">
            <w:pPr>
              <w:spacing w:line="241" w:lineRule="auto"/>
              <w:rPr>
                <w:rFonts w:ascii="Arial"/>
                <w:sz w:val="21"/>
                <w:highlight w:val="none"/>
              </w:rPr>
            </w:pPr>
          </w:p>
          <w:p w14:paraId="5145DD7A">
            <w:pPr>
              <w:spacing w:line="241" w:lineRule="auto"/>
              <w:rPr>
                <w:rFonts w:ascii="Arial"/>
                <w:sz w:val="21"/>
                <w:highlight w:val="none"/>
              </w:rPr>
            </w:pPr>
          </w:p>
          <w:p w14:paraId="05B319BF">
            <w:pPr>
              <w:spacing w:line="242" w:lineRule="auto"/>
              <w:rPr>
                <w:rFonts w:ascii="Arial"/>
                <w:sz w:val="21"/>
                <w:highlight w:val="none"/>
              </w:rPr>
            </w:pPr>
          </w:p>
          <w:p w14:paraId="3505A41C">
            <w:pPr>
              <w:pStyle w:val="14"/>
              <w:spacing w:before="68" w:line="239" w:lineRule="auto"/>
              <w:ind w:left="410"/>
              <w:rPr>
                <w:sz w:val="21"/>
                <w:szCs w:val="21"/>
                <w:highlight w:val="none"/>
              </w:rPr>
            </w:pPr>
            <w:r>
              <w:rPr>
                <w:spacing w:val="-2"/>
                <w:sz w:val="21"/>
                <w:szCs w:val="21"/>
                <w:highlight w:val="none"/>
              </w:rPr>
              <w:t>2.2.4</w:t>
            </w:r>
          </w:p>
        </w:tc>
        <w:tc>
          <w:tcPr>
            <w:tcW w:w="1988" w:type="dxa"/>
            <w:gridSpan w:val="4"/>
            <w:vAlign w:val="top"/>
          </w:tcPr>
          <w:p w14:paraId="18EB5DB1">
            <w:pPr>
              <w:spacing w:line="284" w:lineRule="auto"/>
              <w:rPr>
                <w:rFonts w:ascii="Arial"/>
                <w:sz w:val="21"/>
                <w:highlight w:val="none"/>
              </w:rPr>
            </w:pPr>
          </w:p>
          <w:p w14:paraId="170A1E04">
            <w:pPr>
              <w:spacing w:line="285" w:lineRule="auto"/>
              <w:rPr>
                <w:rFonts w:ascii="Arial"/>
                <w:sz w:val="21"/>
                <w:highlight w:val="none"/>
              </w:rPr>
            </w:pPr>
          </w:p>
          <w:p w14:paraId="388F23CD">
            <w:pPr>
              <w:spacing w:line="285" w:lineRule="auto"/>
              <w:rPr>
                <w:rFonts w:ascii="Arial"/>
                <w:sz w:val="21"/>
                <w:highlight w:val="none"/>
              </w:rPr>
            </w:pPr>
          </w:p>
          <w:p w14:paraId="258F767A">
            <w:pPr>
              <w:spacing w:line="285" w:lineRule="auto"/>
              <w:rPr>
                <w:rFonts w:ascii="Arial"/>
                <w:sz w:val="21"/>
                <w:highlight w:val="none"/>
              </w:rPr>
            </w:pPr>
          </w:p>
          <w:p w14:paraId="5DE52125">
            <w:pPr>
              <w:spacing w:line="285" w:lineRule="auto"/>
              <w:rPr>
                <w:rFonts w:ascii="Arial"/>
                <w:sz w:val="21"/>
                <w:highlight w:val="none"/>
              </w:rPr>
            </w:pPr>
          </w:p>
          <w:p w14:paraId="6FCB8BEE">
            <w:pPr>
              <w:pStyle w:val="14"/>
              <w:spacing w:before="69" w:line="218" w:lineRule="auto"/>
              <w:ind w:left="673"/>
              <w:rPr>
                <w:sz w:val="21"/>
                <w:szCs w:val="21"/>
                <w:highlight w:val="none"/>
              </w:rPr>
            </w:pPr>
            <w:r>
              <w:rPr>
                <w:spacing w:val="-2"/>
                <w:sz w:val="21"/>
                <w:szCs w:val="21"/>
                <w:highlight w:val="none"/>
              </w:rPr>
              <w:t>评标价</w:t>
            </w:r>
          </w:p>
        </w:tc>
        <w:tc>
          <w:tcPr>
            <w:tcW w:w="5990" w:type="dxa"/>
            <w:gridSpan w:val="3"/>
            <w:vAlign w:val="center"/>
          </w:tcPr>
          <w:p w14:paraId="256584C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14:paraId="746B60F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评标价得分计算：</w:t>
            </w:r>
          </w:p>
          <w:p w14:paraId="565A0228">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a.如果投标人的评标价&gt;评标基准价，</w:t>
            </w:r>
          </w:p>
          <w:p w14:paraId="241E70D6">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则评标价得分=100一偏差率×100×E1;</w:t>
            </w:r>
          </w:p>
          <w:p w14:paraId="2D26F6AA">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b.如果投标人的评标价≤评标基准价，</w:t>
            </w:r>
          </w:p>
          <w:p w14:paraId="57FF0D20">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则评标价得分=100+偏差率×100×E2。</w:t>
            </w:r>
          </w:p>
          <w:p w14:paraId="14ED66F1">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14:paraId="640E1B3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14:paraId="3C633A7F">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p>
        </w:tc>
      </w:tr>
      <w:tr w14:paraId="5622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9342" w:type="dxa"/>
            <w:gridSpan w:val="11"/>
            <w:tcBorders>
              <w:left w:val="single" w:color="000000" w:sz="2" w:space="0"/>
            </w:tcBorders>
            <w:vAlign w:val="top"/>
          </w:tcPr>
          <w:p w14:paraId="20A3E491">
            <w:pPr>
              <w:pStyle w:val="14"/>
              <w:spacing w:before="188" w:line="219" w:lineRule="auto"/>
              <w:ind w:left="430"/>
              <w:rPr>
                <w:sz w:val="21"/>
                <w:szCs w:val="21"/>
              </w:rPr>
            </w:pPr>
            <w:r>
              <w:rPr>
                <w:spacing w:val="-1"/>
                <w:sz w:val="21"/>
                <w:szCs w:val="21"/>
              </w:rPr>
              <w:t>需要补充的其他内容：无。</w:t>
            </w:r>
          </w:p>
        </w:tc>
      </w:tr>
    </w:tbl>
    <w:p w14:paraId="7BDB5600">
      <w:pPr>
        <w:pStyle w:val="5"/>
      </w:pPr>
    </w:p>
    <w:p w14:paraId="59530682">
      <w:pPr>
        <w:sectPr>
          <w:footerReference r:id="rId4" w:type="first"/>
          <w:footerReference r:id="rId3"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E71CC14">
      <w:pPr>
        <w:spacing w:before="97" w:line="220" w:lineRule="auto"/>
        <w:ind w:left="4"/>
        <w:outlineLvl w:val="1"/>
        <w:rPr>
          <w:rFonts w:hint="eastAsia" w:asciiTheme="minorEastAsia" w:hAnsiTheme="minorEastAsia" w:eastAsiaTheme="minorEastAsia" w:cstheme="minorEastAsia"/>
          <w:sz w:val="24"/>
          <w:szCs w:val="24"/>
        </w:rPr>
      </w:pPr>
      <w:bookmarkStart w:id="6" w:name="_Toc12356"/>
      <w:bookmarkStart w:id="7" w:name="_Toc9940"/>
      <w:bookmarkStart w:id="8" w:name="_Toc24416"/>
      <w:bookmarkStart w:id="9" w:name="_Toc9290"/>
      <w:r>
        <w:rPr>
          <w:rFonts w:hint="eastAsia" w:asciiTheme="minorEastAsia" w:hAnsiTheme="minorEastAsia" w:eastAsiaTheme="minorEastAsia" w:cstheme="minorEastAsia"/>
          <w:b/>
          <w:bCs/>
          <w:spacing w:val="-11"/>
          <w:sz w:val="24"/>
          <w:szCs w:val="24"/>
        </w:rPr>
        <w:t>1.</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b/>
          <w:bCs/>
          <w:spacing w:val="-11"/>
          <w:sz w:val="24"/>
          <w:szCs w:val="24"/>
        </w:rPr>
        <w:t>评标方法</w:t>
      </w:r>
      <w:bookmarkEnd w:id="6"/>
      <w:bookmarkEnd w:id="7"/>
      <w:bookmarkEnd w:id="8"/>
      <w:bookmarkEnd w:id="9"/>
    </w:p>
    <w:p w14:paraId="56FDBEBF">
      <w:pPr>
        <w:spacing w:before="78"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本次评标采用合理低价法。</w:t>
      </w:r>
    </w:p>
    <w:p w14:paraId="66DB69C3">
      <w:pPr>
        <w:spacing w:before="198" w:line="369" w:lineRule="auto"/>
        <w:ind w:right="16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评标委员会根据第二个信封(报价文件)开标现场随机确定的评标基准价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计算方法和相应参数确定评标基准价(投标报价超过最高投</w:t>
      </w:r>
      <w:r>
        <w:rPr>
          <w:rFonts w:hint="eastAsia" w:asciiTheme="minorEastAsia" w:hAnsiTheme="minorEastAsia" w:eastAsiaTheme="minorEastAsia" w:cstheme="minorEastAsia"/>
          <w:spacing w:val="3"/>
          <w:sz w:val="24"/>
          <w:szCs w:val="24"/>
        </w:rPr>
        <w:t>标限价的，不参与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评标基准价的计算),对第二次开标有效的投标文件</w:t>
      </w:r>
      <w:r>
        <w:rPr>
          <w:rFonts w:hint="eastAsia" w:asciiTheme="minorEastAsia" w:hAnsiTheme="minorEastAsia" w:eastAsiaTheme="minorEastAsia" w:cstheme="minorEastAsia"/>
          <w:spacing w:val="8"/>
          <w:sz w:val="24"/>
          <w:szCs w:val="24"/>
        </w:rPr>
        <w:t>第二个信封(报价文件),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 xml:space="preserve">按照本章第2.2款规定的标准进行评分，并按得分由高到低的顺序进行排名， </w:t>
      </w:r>
      <w:r>
        <w:rPr>
          <w:rFonts w:hint="eastAsia" w:asciiTheme="minorEastAsia" w:hAnsiTheme="minorEastAsia" w:eastAsiaTheme="minorEastAsia" w:cstheme="minorEastAsia"/>
          <w:sz w:val="24"/>
          <w:szCs w:val="24"/>
        </w:rPr>
        <w:t>但投标报价低于其成本的除外。综合评分相等时，评标委员会应按照评标办法</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前附表规定的优先次序确定投标人的排名。</w:t>
      </w:r>
    </w:p>
    <w:p w14:paraId="779A17C4">
      <w:pPr>
        <w:spacing w:before="2" w:line="369" w:lineRule="auto"/>
        <w:ind w:right="1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根据第一章“招标公告”或“投标邀请书”第3.3款规定的投标人最多可</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中标标段数量，若某个投标人排名第一的中</w:t>
      </w:r>
      <w:r>
        <w:rPr>
          <w:rFonts w:hint="eastAsia" w:asciiTheme="minorEastAsia" w:hAnsiTheme="minorEastAsia" w:eastAsiaTheme="minorEastAsia" w:cstheme="minorEastAsia"/>
          <w:sz w:val="24"/>
          <w:szCs w:val="24"/>
        </w:rPr>
        <w:t xml:space="preserve">标候选标段数量超出或满足最多可 </w:t>
      </w:r>
      <w:r>
        <w:rPr>
          <w:rFonts w:hint="eastAsia" w:asciiTheme="minorEastAsia" w:hAnsiTheme="minorEastAsia" w:eastAsiaTheme="minorEastAsia" w:cstheme="minorEastAsia"/>
          <w:spacing w:val="1"/>
          <w:sz w:val="24"/>
          <w:szCs w:val="24"/>
        </w:rPr>
        <w:t>中标标段数量时，评标委员会按照以下步骤确</w:t>
      </w:r>
      <w:r>
        <w:rPr>
          <w:rFonts w:hint="eastAsia" w:asciiTheme="minorEastAsia" w:hAnsiTheme="minorEastAsia" w:eastAsiaTheme="minorEastAsia" w:cstheme="minorEastAsia"/>
          <w:sz w:val="24"/>
          <w:szCs w:val="24"/>
        </w:rPr>
        <w:t xml:space="preserve">定各标段推荐的中标候选人，或 </w:t>
      </w:r>
      <w:r>
        <w:rPr>
          <w:rFonts w:hint="eastAsia" w:asciiTheme="minorEastAsia" w:hAnsiTheme="minorEastAsia" w:eastAsiaTheme="minorEastAsia" w:cstheme="minorEastAsia"/>
          <w:spacing w:val="-5"/>
          <w:sz w:val="24"/>
          <w:szCs w:val="24"/>
        </w:rPr>
        <w:t>根据招标人授权直接确定中标人：</w:t>
      </w:r>
    </w:p>
    <w:p w14:paraId="59F90C9D">
      <w:pPr>
        <w:spacing w:before="1" w:line="332" w:lineRule="auto"/>
        <w:ind w:right="162"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(1)依据各投标人投标函中承诺的优先选择次序确定其排名第一的中标候</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选标段，当投标人第一中标候选标段数量满</w:t>
      </w:r>
      <w:r>
        <w:rPr>
          <w:rFonts w:hint="eastAsia" w:asciiTheme="minorEastAsia" w:hAnsiTheme="minorEastAsia" w:eastAsiaTheme="minorEastAsia" w:cstheme="minorEastAsia"/>
          <w:sz w:val="24"/>
          <w:szCs w:val="24"/>
        </w:rPr>
        <w:t xml:space="preserve">足最多可中标标段数量时，则该投 </w:t>
      </w:r>
      <w:r>
        <w:rPr>
          <w:rFonts w:hint="eastAsia" w:asciiTheme="minorEastAsia" w:hAnsiTheme="minorEastAsia" w:eastAsiaTheme="minorEastAsia" w:cstheme="minorEastAsia"/>
          <w:spacing w:val="4"/>
          <w:sz w:val="24"/>
          <w:szCs w:val="24"/>
        </w:rPr>
        <w:t>标人放弃其他标段的中标资格(即在其他标段中该投标人不再参与排名，该排</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名也不由其他投标人递补);</w:t>
      </w:r>
    </w:p>
    <w:p w14:paraId="6070B253">
      <w:pPr>
        <w:spacing w:before="192" w:line="294" w:lineRule="auto"/>
        <w:ind w:right="155"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(2)在确定了上述排名第一的投标人的中标候选标段后，所有放弃中标资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格的标段排名由相应标段的投标人依次递补(只向</w:t>
      </w:r>
      <w:r>
        <w:rPr>
          <w:rFonts w:hint="eastAsia" w:asciiTheme="minorEastAsia" w:hAnsiTheme="minorEastAsia" w:eastAsiaTheme="minorEastAsia" w:cstheme="minorEastAsia"/>
          <w:spacing w:val="7"/>
          <w:sz w:val="24"/>
          <w:szCs w:val="24"/>
        </w:rPr>
        <w:t>上递补1个名次);</w:t>
      </w:r>
    </w:p>
    <w:p w14:paraId="2905453E">
      <w:pPr>
        <w:spacing w:before="195"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(3)重复上述(1)、(2)步骤，直至确定所有</w:t>
      </w:r>
      <w:r>
        <w:rPr>
          <w:rFonts w:hint="eastAsia" w:asciiTheme="minorEastAsia" w:hAnsiTheme="minorEastAsia" w:eastAsiaTheme="minorEastAsia" w:cstheme="minorEastAsia"/>
          <w:spacing w:val="9"/>
          <w:sz w:val="24"/>
          <w:szCs w:val="24"/>
        </w:rPr>
        <w:t>标段推荐的中标候选人。</w:t>
      </w:r>
    </w:p>
    <w:p w14:paraId="42F747FA">
      <w:pPr>
        <w:spacing w:before="98" w:line="220" w:lineRule="auto"/>
        <w:ind w:left="4"/>
        <w:outlineLvl w:val="1"/>
        <w:rPr>
          <w:rFonts w:hint="eastAsia" w:asciiTheme="minorEastAsia" w:hAnsiTheme="minorEastAsia" w:eastAsiaTheme="minorEastAsia" w:cstheme="minorEastAsia"/>
          <w:sz w:val="24"/>
          <w:szCs w:val="24"/>
        </w:rPr>
      </w:pPr>
      <w:bookmarkStart w:id="10" w:name="_Toc28118"/>
      <w:bookmarkStart w:id="11" w:name="_Toc22418"/>
      <w:bookmarkStart w:id="12" w:name="_Toc25567"/>
      <w:bookmarkStart w:id="13" w:name="_Toc25383"/>
      <w:r>
        <w:rPr>
          <w:rFonts w:hint="eastAsia" w:asciiTheme="minorEastAsia" w:hAnsiTheme="minorEastAsia" w:eastAsiaTheme="minorEastAsia" w:cstheme="minorEastAsia"/>
          <w:b/>
          <w:bCs/>
          <w:spacing w:val="-8"/>
          <w:sz w:val="24"/>
          <w:szCs w:val="24"/>
        </w:rPr>
        <w:t>2.</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评审标准</w:t>
      </w:r>
      <w:bookmarkEnd w:id="10"/>
      <w:bookmarkEnd w:id="11"/>
      <w:bookmarkEnd w:id="12"/>
      <w:bookmarkEnd w:id="13"/>
    </w:p>
    <w:p w14:paraId="77D594C4">
      <w:pPr>
        <w:spacing w:before="79" w:line="219" w:lineRule="auto"/>
        <w:ind w:left="3"/>
        <w:outlineLvl w:val="2"/>
        <w:rPr>
          <w:rFonts w:hint="eastAsia" w:asciiTheme="minorEastAsia" w:hAnsiTheme="minorEastAsia" w:eastAsiaTheme="minorEastAsia" w:cstheme="minorEastAsia"/>
          <w:sz w:val="24"/>
          <w:szCs w:val="24"/>
        </w:rPr>
      </w:pPr>
      <w:bookmarkStart w:id="14" w:name="_Toc22407"/>
      <w:bookmarkStart w:id="15" w:name="_Toc18908"/>
      <w:bookmarkStart w:id="16" w:name="_Toc4849"/>
      <w:bookmarkStart w:id="17" w:name="_Toc5514"/>
      <w:r>
        <w:rPr>
          <w:rFonts w:hint="eastAsia" w:asciiTheme="minorEastAsia" w:hAnsiTheme="minorEastAsia" w:eastAsiaTheme="minorEastAsia" w:cstheme="minorEastAsia"/>
          <w:b/>
          <w:bCs/>
          <w:spacing w:val="-8"/>
          <w:sz w:val="24"/>
          <w:szCs w:val="24"/>
        </w:rPr>
        <w:t>2.1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初步评审标准</w:t>
      </w:r>
      <w:bookmarkEnd w:id="14"/>
      <w:bookmarkEnd w:id="15"/>
      <w:bookmarkEnd w:id="16"/>
      <w:bookmarkEnd w:id="17"/>
    </w:p>
    <w:p w14:paraId="65D1FF5B">
      <w:pPr>
        <w:spacing w:before="23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2.1.1.商务及技术文件初步评审标准：见评标办法前附表。</w:t>
      </w:r>
    </w:p>
    <w:p w14:paraId="5D25A12F">
      <w:pPr>
        <w:spacing w:before="19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2.1.2 报价文件初步评审标准：见评标办法前附表。</w:t>
      </w:r>
    </w:p>
    <w:p w14:paraId="2D17F389">
      <w:pPr>
        <w:spacing w:before="285" w:line="219" w:lineRule="auto"/>
        <w:ind w:left="3"/>
        <w:outlineLvl w:val="2"/>
        <w:rPr>
          <w:rFonts w:hint="eastAsia" w:asciiTheme="minorEastAsia" w:hAnsiTheme="minorEastAsia" w:eastAsiaTheme="minorEastAsia" w:cstheme="minorEastAsia"/>
          <w:sz w:val="24"/>
          <w:szCs w:val="24"/>
        </w:rPr>
      </w:pPr>
      <w:bookmarkStart w:id="18" w:name="_Toc16720"/>
      <w:bookmarkStart w:id="19" w:name="_Toc20412"/>
      <w:bookmarkStart w:id="20" w:name="_Toc24445"/>
      <w:bookmarkStart w:id="21" w:name="_Toc14441"/>
      <w:r>
        <w:rPr>
          <w:rFonts w:hint="eastAsia" w:asciiTheme="minorEastAsia" w:hAnsiTheme="minorEastAsia" w:eastAsiaTheme="minorEastAsia" w:cstheme="minorEastAsia"/>
          <w:b/>
          <w:bCs/>
          <w:spacing w:val="3"/>
          <w:sz w:val="24"/>
          <w:szCs w:val="24"/>
        </w:rPr>
        <w:t>2.2分值构成与评分标准</w:t>
      </w:r>
      <w:bookmarkEnd w:id="18"/>
      <w:bookmarkEnd w:id="19"/>
      <w:bookmarkEnd w:id="20"/>
      <w:bookmarkEnd w:id="21"/>
    </w:p>
    <w:p w14:paraId="069DC12E">
      <w:pPr>
        <w:spacing w:before="259"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2.2.1.分值构成</w:t>
      </w:r>
    </w:p>
    <w:p w14:paraId="74CD2276">
      <w:pPr>
        <w:spacing w:before="18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评标价：见评标办法前附表。</w:t>
      </w:r>
    </w:p>
    <w:p w14:paraId="333B7FE6">
      <w:pPr>
        <w:spacing w:before="78" w:line="218" w:lineRule="auto"/>
        <w:ind w:left="480"/>
        <w:rPr>
          <w:rFonts w:hint="eastAsia" w:asciiTheme="minorEastAsia" w:hAnsiTheme="minorEastAsia" w:eastAsiaTheme="minorEastAsia" w:cstheme="minorEastAsia"/>
          <w:sz w:val="24"/>
          <w:szCs w:val="24"/>
        </w:rPr>
      </w:pPr>
      <w:bookmarkStart w:id="22" w:name="bookmark283"/>
      <w:bookmarkEnd w:id="22"/>
      <w:r>
        <w:rPr>
          <w:rFonts w:hint="eastAsia" w:asciiTheme="minorEastAsia" w:hAnsiTheme="minorEastAsia" w:eastAsiaTheme="minorEastAsia" w:cstheme="minorEastAsia"/>
          <w:spacing w:val="5"/>
          <w:sz w:val="24"/>
          <w:szCs w:val="24"/>
        </w:rPr>
        <w:t>2.2.2评标基准价计算</w:t>
      </w:r>
    </w:p>
    <w:p w14:paraId="75BED407">
      <w:pPr>
        <w:spacing w:before="216" w:line="218" w:lineRule="auto"/>
        <w:ind w:left="48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评标基准价计算方法：见评标办法前附表。</w:t>
      </w:r>
    </w:p>
    <w:p w14:paraId="2EBFE74D">
      <w:pPr>
        <w:pStyle w:val="7"/>
        <w:rPr>
          <w:rFonts w:hint="eastAsia"/>
        </w:rPr>
      </w:pPr>
    </w:p>
    <w:p w14:paraId="5ECB6B85">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2.2.3评标价的偏差率计算</w:t>
      </w:r>
    </w:p>
    <w:p w14:paraId="26E96C62">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评标价的偏差率计算公式：见评标办法前附表。</w:t>
      </w:r>
    </w:p>
    <w:p w14:paraId="2E36A582">
      <w:pPr>
        <w:spacing w:before="200"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2.2.4评分标准</w:t>
      </w:r>
    </w:p>
    <w:p w14:paraId="6411C9D9">
      <w:pPr>
        <w:spacing w:before="191"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评标价评分标准：见评标办法前附表。</w:t>
      </w:r>
    </w:p>
    <w:p w14:paraId="6865BB26">
      <w:pPr>
        <w:spacing w:before="98" w:line="220" w:lineRule="auto"/>
        <w:ind w:left="4"/>
        <w:outlineLvl w:val="1"/>
        <w:rPr>
          <w:rFonts w:hint="eastAsia" w:asciiTheme="minorEastAsia" w:hAnsiTheme="minorEastAsia" w:eastAsiaTheme="minorEastAsia" w:cstheme="minorEastAsia"/>
          <w:sz w:val="24"/>
          <w:szCs w:val="24"/>
        </w:rPr>
      </w:pPr>
      <w:bookmarkStart w:id="23" w:name="_Toc17154"/>
      <w:bookmarkStart w:id="24" w:name="_Toc22210"/>
      <w:bookmarkStart w:id="25" w:name="_Toc22583"/>
      <w:bookmarkStart w:id="26" w:name="_Toc6953"/>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评标程序</w:t>
      </w:r>
      <w:bookmarkEnd w:id="23"/>
      <w:bookmarkEnd w:id="24"/>
      <w:bookmarkEnd w:id="25"/>
      <w:bookmarkEnd w:id="26"/>
    </w:p>
    <w:p w14:paraId="7490A505">
      <w:pPr>
        <w:spacing w:before="79" w:line="219" w:lineRule="auto"/>
        <w:ind w:left="3"/>
        <w:outlineLvl w:val="2"/>
        <w:rPr>
          <w:rFonts w:hint="eastAsia" w:asciiTheme="minorEastAsia" w:hAnsiTheme="minorEastAsia" w:eastAsiaTheme="minorEastAsia" w:cstheme="minorEastAsia"/>
          <w:sz w:val="24"/>
          <w:szCs w:val="24"/>
        </w:rPr>
      </w:pPr>
      <w:bookmarkStart w:id="27" w:name="_Toc11018"/>
      <w:bookmarkStart w:id="28" w:name="_Toc17457"/>
      <w:bookmarkStart w:id="29" w:name="_Toc31148"/>
      <w:bookmarkStart w:id="30" w:name="_Toc20959"/>
      <w:r>
        <w:rPr>
          <w:rFonts w:hint="eastAsia" w:asciiTheme="minorEastAsia" w:hAnsiTheme="minorEastAsia" w:eastAsiaTheme="minorEastAsia" w:cstheme="minorEastAsia"/>
          <w:b/>
          <w:bCs/>
          <w:spacing w:val="10"/>
          <w:sz w:val="24"/>
          <w:szCs w:val="24"/>
        </w:rPr>
        <w:t>3.1第一个信封(商务及技术文件)初步评审</w:t>
      </w:r>
      <w:bookmarkEnd w:id="27"/>
      <w:bookmarkEnd w:id="28"/>
      <w:bookmarkEnd w:id="29"/>
      <w:bookmarkEnd w:id="30"/>
    </w:p>
    <w:p w14:paraId="72021E49">
      <w:pPr>
        <w:spacing w:before="235" w:line="332" w:lineRule="auto"/>
        <w:ind w:right="14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3.1.1评标委员会可以要求投标人提交第二</w:t>
      </w:r>
      <w:r>
        <w:rPr>
          <w:rFonts w:hint="eastAsia" w:asciiTheme="minorEastAsia" w:hAnsiTheme="minorEastAsia" w:eastAsiaTheme="minorEastAsia" w:cstheme="minorEastAsia"/>
          <w:spacing w:val="7"/>
          <w:sz w:val="24"/>
          <w:szCs w:val="24"/>
        </w:rPr>
        <w:t>章“投标人须知”第3.5.1项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至第3.5.9项规定的有关证明和证件的原件，以便核验。评标委员会依据本章</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1"/>
          <w:sz w:val="24"/>
          <w:szCs w:val="24"/>
        </w:rPr>
        <w:t>第2.1.1项规定的标准对投标文件第一个信封(商务及技术</w:t>
      </w:r>
      <w:r>
        <w:rPr>
          <w:rFonts w:hint="eastAsia" w:asciiTheme="minorEastAsia" w:hAnsiTheme="minorEastAsia" w:eastAsiaTheme="minorEastAsia" w:cstheme="minorEastAsia"/>
          <w:spacing w:val="10"/>
          <w:sz w:val="24"/>
          <w:szCs w:val="24"/>
        </w:rPr>
        <w:t>文件)进行初步评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审。有一项不符合评审标准的，评标委员会应否决</w:t>
      </w:r>
      <w:r>
        <w:rPr>
          <w:rFonts w:hint="eastAsia" w:asciiTheme="minorEastAsia" w:hAnsiTheme="minorEastAsia" w:eastAsiaTheme="minorEastAsia" w:cstheme="minorEastAsia"/>
          <w:spacing w:val="-3"/>
          <w:sz w:val="24"/>
          <w:szCs w:val="24"/>
        </w:rPr>
        <w:t>其投标。</w:t>
      </w:r>
    </w:p>
    <w:p w14:paraId="04CF60C1">
      <w:pPr>
        <w:spacing w:before="194" w:line="295" w:lineRule="auto"/>
        <w:ind w:right="147"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 评标委员会根据第一个信封(商务及技术文件)初步评</w:t>
      </w:r>
      <w:r>
        <w:rPr>
          <w:rFonts w:hint="eastAsia" w:asciiTheme="minorEastAsia" w:hAnsiTheme="minorEastAsia" w:eastAsiaTheme="minorEastAsia" w:cstheme="minorEastAsia"/>
          <w:spacing w:val="7"/>
          <w:sz w:val="24"/>
          <w:szCs w:val="24"/>
        </w:rPr>
        <w:t>审结果确定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通过和不通过第一个信封(商务及技术文件)初步评审的投标人名单。</w:t>
      </w:r>
    </w:p>
    <w:p w14:paraId="3D5C0017">
      <w:pPr>
        <w:spacing w:before="300" w:line="218" w:lineRule="auto"/>
        <w:ind w:left="3"/>
        <w:outlineLvl w:val="2"/>
        <w:rPr>
          <w:rFonts w:hint="eastAsia" w:asciiTheme="minorEastAsia" w:hAnsiTheme="minorEastAsia" w:eastAsiaTheme="minorEastAsia" w:cstheme="minorEastAsia"/>
          <w:sz w:val="24"/>
          <w:szCs w:val="24"/>
        </w:rPr>
      </w:pPr>
      <w:bookmarkStart w:id="31" w:name="_Toc32719"/>
      <w:bookmarkStart w:id="32" w:name="_Toc31997"/>
      <w:bookmarkStart w:id="33" w:name="_Toc5014"/>
      <w:bookmarkStart w:id="34" w:name="_Toc15344"/>
      <w:r>
        <w:rPr>
          <w:rFonts w:hint="eastAsia" w:asciiTheme="minorEastAsia" w:hAnsiTheme="minorEastAsia" w:eastAsiaTheme="minorEastAsia" w:cstheme="minorEastAsia"/>
          <w:b/>
          <w:bCs/>
          <w:spacing w:val="13"/>
          <w:sz w:val="24"/>
          <w:szCs w:val="24"/>
        </w:rPr>
        <w:t>3.2第二个信封(报价文件)开标</w:t>
      </w:r>
      <w:bookmarkEnd w:id="31"/>
      <w:bookmarkEnd w:id="32"/>
      <w:bookmarkEnd w:id="33"/>
      <w:bookmarkEnd w:id="34"/>
    </w:p>
    <w:p w14:paraId="4E32921E">
      <w:pPr>
        <w:spacing w:before="240" w:line="370" w:lineRule="auto"/>
        <w:ind w:right="151"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第一个信封(商务及技术文件)评审结束后，招标人将按照第二章“投标</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人须知”第5.1款规定的时间和地点对通过投标文件第</w:t>
      </w:r>
      <w:r>
        <w:rPr>
          <w:rFonts w:hint="eastAsia" w:asciiTheme="minorEastAsia" w:hAnsiTheme="minorEastAsia" w:eastAsiaTheme="minorEastAsia" w:cstheme="minorEastAsia"/>
          <w:spacing w:val="7"/>
          <w:sz w:val="24"/>
          <w:szCs w:val="24"/>
        </w:rPr>
        <w:t>一个信封(商务及技术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文件)评审的投标文件第二个信封(报价文件)进行开标。</w:t>
      </w:r>
    </w:p>
    <w:p w14:paraId="07BCB8BE">
      <w:pPr>
        <w:spacing w:before="94" w:line="218" w:lineRule="auto"/>
        <w:ind w:left="3"/>
        <w:outlineLvl w:val="2"/>
        <w:rPr>
          <w:rFonts w:hint="eastAsia" w:asciiTheme="minorEastAsia" w:hAnsiTheme="minorEastAsia" w:eastAsiaTheme="minorEastAsia" w:cstheme="minorEastAsia"/>
          <w:sz w:val="24"/>
          <w:szCs w:val="24"/>
        </w:rPr>
      </w:pPr>
      <w:bookmarkStart w:id="35" w:name="bookmark88"/>
      <w:bookmarkEnd w:id="35"/>
      <w:bookmarkStart w:id="36" w:name="_Toc25739"/>
      <w:bookmarkStart w:id="37" w:name="_Toc25655"/>
      <w:bookmarkStart w:id="38" w:name="_Toc21654"/>
      <w:bookmarkStart w:id="39" w:name="_Toc1401"/>
      <w:r>
        <w:rPr>
          <w:rFonts w:hint="eastAsia" w:asciiTheme="minorEastAsia" w:hAnsiTheme="minorEastAsia" w:eastAsiaTheme="minorEastAsia" w:cstheme="minorEastAsia"/>
          <w:b/>
          <w:bCs/>
          <w:spacing w:val="11"/>
          <w:sz w:val="24"/>
          <w:szCs w:val="24"/>
        </w:rPr>
        <w:t>3.3第二个信封(报价文件)初步评审</w:t>
      </w:r>
      <w:bookmarkEnd w:id="36"/>
      <w:bookmarkEnd w:id="37"/>
      <w:bookmarkEnd w:id="38"/>
      <w:bookmarkEnd w:id="39"/>
    </w:p>
    <w:p w14:paraId="192D795B">
      <w:pPr>
        <w:tabs>
          <w:tab w:val="left" w:pos="130"/>
        </w:tabs>
        <w:spacing w:before="241" w:line="369" w:lineRule="auto"/>
        <w:ind w:right="15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3.3.1评标委员会依据本章第2.1.2项规定的评审标准对通过第一个信封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1"/>
          <w:sz w:val="24"/>
          <w:szCs w:val="24"/>
        </w:rPr>
        <w:t>(商务及技术文件)评审、经第二个信封(报价文件)开标现场确认有效的投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标文件第二个信封(报价文件)进行初步评审。有一项不符合评审标</w:t>
      </w:r>
      <w:r>
        <w:rPr>
          <w:rFonts w:hint="eastAsia" w:asciiTheme="minorEastAsia" w:hAnsiTheme="minorEastAsia" w:eastAsiaTheme="minorEastAsia" w:cstheme="minorEastAsia"/>
          <w:spacing w:val="7"/>
          <w:sz w:val="24"/>
          <w:szCs w:val="24"/>
        </w:rPr>
        <w:t>准的，评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标委员会应否决其投标。</w:t>
      </w:r>
    </w:p>
    <w:p w14:paraId="0BD02C71">
      <w:pPr>
        <w:spacing w:before="1" w:line="369" w:lineRule="auto"/>
        <w:ind w:right="16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被否决投标的投标文件第二个信封(报价文件)不进入下一步的第二个信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封(报价文件)详细评审。</w:t>
      </w:r>
    </w:p>
    <w:p w14:paraId="47829229">
      <w:pPr>
        <w:spacing w:before="1" w:line="370"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3.3.2 评标委员会根据第二个信封(报价文件)初步评审结果确定通</w:t>
      </w:r>
      <w:r>
        <w:rPr>
          <w:rFonts w:hint="eastAsia" w:asciiTheme="minorEastAsia" w:hAnsiTheme="minorEastAsia" w:eastAsiaTheme="minorEastAsia" w:cstheme="minorEastAsia"/>
          <w:spacing w:val="7"/>
          <w:sz w:val="24"/>
          <w:szCs w:val="24"/>
        </w:rPr>
        <w:t>过和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不通过第二个信封(报价文件)初步评审的投标人名单。</w:t>
      </w:r>
    </w:p>
    <w:p w14:paraId="13C3F0EF">
      <w:pPr>
        <w:spacing w:line="370" w:lineRule="auto"/>
        <w:rPr>
          <w:rFonts w:hint="eastAsia" w:asciiTheme="minorEastAsia" w:hAnsiTheme="minorEastAsia" w:eastAsiaTheme="minorEastAsia" w:cstheme="minorEastAsia"/>
          <w:sz w:val="24"/>
          <w:szCs w:val="24"/>
        </w:rPr>
        <w:sectPr>
          <w:footerReference r:id="rId5"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6EB7FF1">
      <w:pPr>
        <w:spacing w:before="75" w:line="218" w:lineRule="auto"/>
        <w:ind w:left="3"/>
        <w:outlineLvl w:val="2"/>
        <w:rPr>
          <w:rFonts w:hint="eastAsia" w:asciiTheme="minorEastAsia" w:hAnsiTheme="minorEastAsia" w:eastAsiaTheme="minorEastAsia" w:cstheme="minorEastAsia"/>
          <w:sz w:val="24"/>
          <w:szCs w:val="24"/>
        </w:rPr>
      </w:pPr>
      <w:bookmarkStart w:id="40" w:name="bookmark89"/>
      <w:bookmarkEnd w:id="40"/>
      <w:bookmarkStart w:id="41" w:name="_Toc241"/>
      <w:bookmarkStart w:id="42" w:name="_Toc23085"/>
      <w:bookmarkStart w:id="43" w:name="_Toc20285"/>
      <w:bookmarkStart w:id="44" w:name="_Toc30195"/>
      <w:r>
        <w:rPr>
          <w:rFonts w:hint="eastAsia" w:asciiTheme="minorEastAsia" w:hAnsiTheme="minorEastAsia" w:eastAsiaTheme="minorEastAsia" w:cstheme="minorEastAsia"/>
          <w:b/>
          <w:bCs/>
          <w:spacing w:val="20"/>
          <w:sz w:val="24"/>
          <w:szCs w:val="24"/>
        </w:rPr>
        <w:t>3.4第二个信封(报价文件)详细评审</w:t>
      </w:r>
      <w:bookmarkEnd w:id="41"/>
      <w:bookmarkEnd w:id="42"/>
      <w:bookmarkEnd w:id="43"/>
      <w:bookmarkEnd w:id="44"/>
    </w:p>
    <w:p w14:paraId="18C5B0CC">
      <w:pPr>
        <w:spacing w:before="263" w:line="301"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3.4.1.评标委员会按本章第2.2款规定的量化因素和分值进行打分，并计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算出综合评估得分(即评标价得分)。</w:t>
      </w:r>
    </w:p>
    <w:p w14:paraId="1BF190DA">
      <w:pPr>
        <w:spacing w:before="210" w:line="343" w:lineRule="auto"/>
        <w:ind w:right="144"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3.4.2.评标委员会发现投标人的报价明显低于其他投标报价，使得其投标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1"/>
          <w:sz w:val="24"/>
          <w:szCs w:val="24"/>
        </w:rPr>
        <w:t>报价可能低于其个别成本的，应要求该投标人作出书面</w:t>
      </w:r>
      <w:r>
        <w:rPr>
          <w:rFonts w:hint="eastAsia" w:asciiTheme="minorEastAsia" w:hAnsiTheme="minorEastAsia" w:eastAsiaTheme="minorEastAsia" w:cstheme="minorEastAsia"/>
          <w:spacing w:val="10"/>
          <w:sz w:val="24"/>
          <w:szCs w:val="24"/>
        </w:rPr>
        <w:t>说明并提供相应的证明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材料。投标人不能合理说明或不能提供相应证明材料的，评标委员会应认定该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投标人以低于成本报价竞标，并否决其投标。</w:t>
      </w:r>
    </w:p>
    <w:p w14:paraId="3ECAE2F1">
      <w:pPr>
        <w:spacing w:before="297" w:line="219" w:lineRule="auto"/>
        <w:ind w:left="3"/>
        <w:outlineLvl w:val="2"/>
        <w:rPr>
          <w:rFonts w:hint="eastAsia" w:asciiTheme="minorEastAsia" w:hAnsiTheme="minorEastAsia" w:eastAsiaTheme="minorEastAsia" w:cstheme="minorEastAsia"/>
          <w:sz w:val="24"/>
          <w:szCs w:val="24"/>
        </w:rPr>
      </w:pPr>
      <w:bookmarkStart w:id="45" w:name="bookmark90"/>
      <w:bookmarkEnd w:id="45"/>
      <w:bookmarkStart w:id="46" w:name="_Toc5676"/>
      <w:bookmarkStart w:id="47" w:name="_Toc23740"/>
      <w:bookmarkStart w:id="48" w:name="_Toc21441"/>
      <w:r>
        <w:rPr>
          <w:rFonts w:hint="eastAsia" w:asciiTheme="minorEastAsia" w:hAnsiTheme="minorEastAsia" w:eastAsiaTheme="minorEastAsia" w:cstheme="minorEastAsia"/>
          <w:b/>
          <w:bCs/>
          <w:spacing w:val="6"/>
          <w:sz w:val="24"/>
          <w:szCs w:val="24"/>
        </w:rPr>
        <w:t>3.5投标文件相关信息的核查</w:t>
      </w:r>
      <w:bookmarkEnd w:id="46"/>
      <w:bookmarkEnd w:id="47"/>
      <w:bookmarkEnd w:id="48"/>
    </w:p>
    <w:p w14:paraId="7235E40E">
      <w:pPr>
        <w:spacing w:before="258" w:line="386"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3.5.1.评标委员会应对在评标过程中发现的投标人与投标人之间、投标人</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与招标人之间存在的串通投标的情形进行评审和认定。投标人存在串通投标、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弄虚作假、行贿等违法行为的，评标委员会应否决其投标。</w:t>
      </w:r>
    </w:p>
    <w:p w14:paraId="6766C5D9">
      <w:pPr>
        <w:spacing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(1)有下列情形之一的，属于投标人相互串通投标：</w:t>
      </w:r>
    </w:p>
    <w:p w14:paraId="1A7B3A4D">
      <w:pPr>
        <w:spacing w:before="20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a.投标人之间协商投标报价等投标文件的</w:t>
      </w:r>
      <w:r>
        <w:rPr>
          <w:rFonts w:hint="eastAsia" w:asciiTheme="minorEastAsia" w:hAnsiTheme="minorEastAsia" w:eastAsiaTheme="minorEastAsia" w:cstheme="minorEastAsia"/>
          <w:spacing w:val="7"/>
          <w:sz w:val="24"/>
          <w:szCs w:val="24"/>
        </w:rPr>
        <w:t>实质性内容；</w:t>
      </w:r>
    </w:p>
    <w:p w14:paraId="7286A548">
      <w:pPr>
        <w:spacing w:before="22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b. 投标人之间约定中标人；</w:t>
      </w:r>
    </w:p>
    <w:p w14:paraId="632F82C4">
      <w:pPr>
        <w:spacing w:before="19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w:t>
      </w:r>
      <w:r>
        <w:rPr>
          <w:rFonts w:hint="eastAsia" w:asciiTheme="minorEastAsia" w:hAnsiTheme="minorEastAsia" w:eastAsiaTheme="minorEastAsia" w:cstheme="minorEastAsia"/>
          <w:spacing w:val="44"/>
          <w:w w:val="101"/>
          <w:sz w:val="24"/>
          <w:szCs w:val="24"/>
        </w:rPr>
        <w:t xml:space="preserve"> </w:t>
      </w:r>
      <w:r>
        <w:rPr>
          <w:rFonts w:hint="eastAsia" w:asciiTheme="minorEastAsia" w:hAnsiTheme="minorEastAsia" w:eastAsiaTheme="minorEastAsia" w:cstheme="minorEastAsia"/>
          <w:spacing w:val="6"/>
          <w:sz w:val="24"/>
          <w:szCs w:val="24"/>
        </w:rPr>
        <w:t>投标人之间约定部分投标人放弃投标或中标；</w:t>
      </w:r>
    </w:p>
    <w:p w14:paraId="73D585A0">
      <w:pPr>
        <w:pStyle w:val="5"/>
        <w:spacing w:before="165" w:line="324"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d. 属于同一集团、协会、商会等组织成员的投标人按照该</w:t>
      </w:r>
      <w:r>
        <w:rPr>
          <w:rFonts w:hint="eastAsia" w:asciiTheme="minorEastAsia" w:hAnsiTheme="minorEastAsia" w:eastAsiaTheme="minorEastAsia" w:cstheme="minorEastAsia"/>
          <w:spacing w:val="9"/>
          <w:sz w:val="24"/>
          <w:szCs w:val="24"/>
        </w:rPr>
        <w:t>组织要求协同投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标；</w:t>
      </w:r>
    </w:p>
    <w:p w14:paraId="26AC48F5">
      <w:pPr>
        <w:spacing w:before="194"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e.投标人之间为谋取中标或排斥特定投标人而采取的其他</w:t>
      </w:r>
      <w:r>
        <w:rPr>
          <w:rFonts w:hint="eastAsia" w:asciiTheme="minorEastAsia" w:hAnsiTheme="minorEastAsia" w:eastAsiaTheme="minorEastAsia" w:cstheme="minorEastAsia"/>
          <w:spacing w:val="8"/>
          <w:sz w:val="24"/>
          <w:szCs w:val="24"/>
        </w:rPr>
        <w:t>联合行动。</w:t>
      </w:r>
    </w:p>
    <w:p w14:paraId="4E5472AD">
      <w:pPr>
        <w:spacing w:before="219"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(2)有下列情形之一的，视为投标人相互串通投标：</w:t>
      </w:r>
    </w:p>
    <w:p w14:paraId="106B377B">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不同投标人的投标文件由同一单位或个人编制；</w:t>
      </w:r>
    </w:p>
    <w:p w14:paraId="01B69F78">
      <w:pPr>
        <w:spacing w:before="208"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不同投标人委托同一单位或个人办理投标事宜；</w:t>
      </w:r>
    </w:p>
    <w:p w14:paraId="4D0798E0">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c.</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不同投标人的投标文件载明的项目管理</w:t>
      </w:r>
      <w:r>
        <w:rPr>
          <w:rFonts w:hint="eastAsia" w:asciiTheme="minorEastAsia" w:hAnsiTheme="minorEastAsia" w:eastAsiaTheme="minorEastAsia" w:cstheme="minorEastAsia"/>
          <w:spacing w:val="7"/>
          <w:sz w:val="24"/>
          <w:szCs w:val="24"/>
        </w:rPr>
        <w:t>成员为同一人；</w:t>
      </w:r>
    </w:p>
    <w:p w14:paraId="696FF89E">
      <w:pPr>
        <w:spacing w:before="20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d.</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不同投标人的投标文件异常一致或投标报价呈规律性差异；</w:t>
      </w:r>
    </w:p>
    <w:p w14:paraId="3EA06F2A">
      <w:pPr>
        <w:spacing w:before="220"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e.</w:t>
      </w:r>
      <w:r>
        <w:rPr>
          <w:rFonts w:hint="eastAsia" w:asciiTheme="minorEastAsia" w:hAnsiTheme="minorEastAsia" w:eastAsiaTheme="minorEastAsia" w:cstheme="minorEastAsia"/>
          <w:spacing w:val="24"/>
          <w:w w:val="101"/>
          <w:sz w:val="24"/>
          <w:szCs w:val="24"/>
        </w:rPr>
        <w:t xml:space="preserve"> </w:t>
      </w:r>
      <w:r>
        <w:rPr>
          <w:rFonts w:hint="eastAsia" w:asciiTheme="minorEastAsia" w:hAnsiTheme="minorEastAsia" w:eastAsiaTheme="minorEastAsia" w:cstheme="minorEastAsia"/>
          <w:spacing w:val="6"/>
          <w:sz w:val="24"/>
          <w:szCs w:val="24"/>
        </w:rPr>
        <w:t>不同投标人的投标文件相互混装；</w:t>
      </w:r>
    </w:p>
    <w:p w14:paraId="064146E1">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不同投标人的投标保证金从同一单位或个人的账户转</w:t>
      </w:r>
      <w:r>
        <w:rPr>
          <w:rFonts w:hint="eastAsia" w:asciiTheme="minorEastAsia" w:hAnsiTheme="minorEastAsia" w:eastAsiaTheme="minorEastAsia" w:cstheme="minorEastAsia"/>
          <w:spacing w:val="7"/>
          <w:sz w:val="24"/>
          <w:szCs w:val="24"/>
        </w:rPr>
        <w:t>出。</w:t>
      </w:r>
    </w:p>
    <w:p w14:paraId="7AAB4F8F">
      <w:pPr>
        <w:spacing w:before="208"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(3)有下列情形之一的，属于招标人与投标人串通</w:t>
      </w:r>
      <w:r>
        <w:rPr>
          <w:rFonts w:hint="eastAsia" w:asciiTheme="minorEastAsia" w:hAnsiTheme="minorEastAsia" w:eastAsiaTheme="minorEastAsia" w:cstheme="minorEastAsia"/>
          <w:spacing w:val="11"/>
          <w:sz w:val="24"/>
          <w:szCs w:val="24"/>
        </w:rPr>
        <w:t>投标：</w:t>
      </w:r>
    </w:p>
    <w:p w14:paraId="6DEEA73A">
      <w:pPr>
        <w:spacing w:before="206"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a.</w:t>
      </w:r>
      <w:r>
        <w:rPr>
          <w:rFonts w:hint="eastAsia" w:asciiTheme="minorEastAsia" w:hAnsiTheme="minorEastAsia" w:eastAsiaTheme="minorEastAsia" w:cstheme="minorEastAsia"/>
          <w:spacing w:val="56"/>
          <w:w w:val="101"/>
          <w:sz w:val="24"/>
          <w:szCs w:val="24"/>
        </w:rPr>
        <w:t xml:space="preserve"> </w:t>
      </w:r>
      <w:r>
        <w:rPr>
          <w:rFonts w:hint="eastAsia" w:asciiTheme="minorEastAsia" w:hAnsiTheme="minorEastAsia" w:eastAsiaTheme="minorEastAsia" w:cstheme="minorEastAsia"/>
          <w:spacing w:val="9"/>
          <w:sz w:val="24"/>
          <w:szCs w:val="24"/>
        </w:rPr>
        <w:t>招标人在开标前开启投标文件并将有关信息泄露给其他投标人；</w:t>
      </w:r>
    </w:p>
    <w:p w14:paraId="585E748F">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 招标人直接或间接向投标人泄露标底、评标委员会成</w:t>
      </w:r>
      <w:r>
        <w:rPr>
          <w:rFonts w:hint="eastAsia" w:asciiTheme="minorEastAsia" w:hAnsiTheme="minorEastAsia" w:eastAsiaTheme="minorEastAsia" w:cstheme="minorEastAsia"/>
          <w:spacing w:val="7"/>
          <w:sz w:val="24"/>
          <w:szCs w:val="24"/>
        </w:rPr>
        <w:t>员等信息；</w:t>
      </w:r>
    </w:p>
    <w:p w14:paraId="4A5A7D15">
      <w:pPr>
        <w:spacing w:line="219" w:lineRule="auto"/>
        <w:rPr>
          <w:rFonts w:hint="eastAsia" w:asciiTheme="minorEastAsia" w:hAnsiTheme="minorEastAsia" w:eastAsiaTheme="minorEastAsia" w:cstheme="minorEastAsia"/>
          <w:sz w:val="24"/>
          <w:szCs w:val="24"/>
        </w:rPr>
        <w:sectPr>
          <w:footerReference r:id="rId6"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CAAE022">
      <w:pPr>
        <w:spacing w:before="75" w:line="218"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c.</w:t>
      </w:r>
      <w:r>
        <w:rPr>
          <w:rFonts w:hint="eastAsia" w:asciiTheme="minorEastAsia" w:hAnsiTheme="minorEastAsia" w:eastAsiaTheme="minorEastAsia" w:cstheme="minorEastAsia"/>
          <w:spacing w:val="35"/>
          <w:w w:val="101"/>
          <w:sz w:val="24"/>
          <w:szCs w:val="24"/>
        </w:rPr>
        <w:t xml:space="preserve"> </w:t>
      </w:r>
      <w:r>
        <w:rPr>
          <w:rFonts w:hint="eastAsia" w:asciiTheme="minorEastAsia" w:hAnsiTheme="minorEastAsia" w:eastAsiaTheme="minorEastAsia" w:cstheme="minorEastAsia"/>
          <w:spacing w:val="7"/>
          <w:sz w:val="24"/>
          <w:szCs w:val="24"/>
        </w:rPr>
        <w:t>招标人明示或暗示投标人压低或抬高投标报价；</w:t>
      </w:r>
    </w:p>
    <w:p w14:paraId="034652FF">
      <w:pPr>
        <w:spacing w:before="2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d. 招标人授意投标人撤换、修改投标文件；</w:t>
      </w:r>
    </w:p>
    <w:p w14:paraId="1C99EB68">
      <w:pPr>
        <w:spacing w:before="20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e.</w:t>
      </w:r>
      <w:r>
        <w:rPr>
          <w:rFonts w:hint="eastAsia" w:asciiTheme="minorEastAsia" w:hAnsiTheme="minorEastAsia" w:eastAsiaTheme="minorEastAsia" w:cstheme="minorEastAsia"/>
          <w:spacing w:val="34"/>
          <w:w w:val="101"/>
          <w:sz w:val="24"/>
          <w:szCs w:val="24"/>
        </w:rPr>
        <w:t xml:space="preserve"> </w:t>
      </w:r>
      <w:r>
        <w:rPr>
          <w:rFonts w:hint="eastAsia" w:asciiTheme="minorEastAsia" w:hAnsiTheme="minorEastAsia" w:eastAsiaTheme="minorEastAsia" w:cstheme="minorEastAsia"/>
          <w:spacing w:val="7"/>
          <w:sz w:val="24"/>
          <w:szCs w:val="24"/>
        </w:rPr>
        <w:t>招标人明示或暗示投标人为特定投标人中标提供方便；</w:t>
      </w:r>
    </w:p>
    <w:p w14:paraId="02C97BE4">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招标人与投标人为谋求特定投标人中标而采取的其他串通行为。</w:t>
      </w:r>
    </w:p>
    <w:p w14:paraId="71592095">
      <w:pPr>
        <w:spacing w:before="197"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(4)投标人有下列情形之一的，属于弄虚作假的行为：</w:t>
      </w:r>
    </w:p>
    <w:p w14:paraId="5D5B4476">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a.使用通过受让或租借等方式获取的资格、资质证书</w:t>
      </w:r>
      <w:r>
        <w:rPr>
          <w:rFonts w:hint="eastAsia" w:asciiTheme="minorEastAsia" w:hAnsiTheme="minorEastAsia" w:eastAsiaTheme="minorEastAsia" w:cstheme="minorEastAsia"/>
          <w:spacing w:val="7"/>
          <w:sz w:val="24"/>
          <w:szCs w:val="24"/>
        </w:rPr>
        <w:t>投标；</w:t>
      </w:r>
    </w:p>
    <w:p w14:paraId="4EA086B6">
      <w:pPr>
        <w:spacing w:before="218"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68342C1F">
      <w:pPr>
        <w:spacing w:before="20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 提供虚假的财务状况或业绩；</w:t>
      </w:r>
    </w:p>
    <w:p w14:paraId="0AAFC5BC">
      <w:pPr>
        <w:spacing w:before="19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d.提供虚假的项目负责人或主要技术人员简历、劳动关系证明；</w:t>
      </w:r>
    </w:p>
    <w:p w14:paraId="16A103CA">
      <w:pPr>
        <w:spacing w:before="21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e.</w:t>
      </w:r>
      <w:r>
        <w:rPr>
          <w:rFonts w:hint="eastAsia" w:asciiTheme="minorEastAsia" w:hAnsiTheme="minorEastAsia" w:eastAsiaTheme="minorEastAsia" w:cstheme="minorEastAsia"/>
          <w:spacing w:val="30"/>
          <w:w w:val="101"/>
          <w:sz w:val="24"/>
          <w:szCs w:val="24"/>
        </w:rPr>
        <w:t xml:space="preserve"> </w:t>
      </w:r>
      <w:r>
        <w:rPr>
          <w:rFonts w:hint="eastAsia" w:asciiTheme="minorEastAsia" w:hAnsiTheme="minorEastAsia" w:eastAsiaTheme="minorEastAsia" w:cstheme="minorEastAsia"/>
          <w:spacing w:val="3"/>
          <w:sz w:val="24"/>
          <w:szCs w:val="24"/>
        </w:rPr>
        <w:t>提供虚假的信用状况；</w:t>
      </w:r>
    </w:p>
    <w:p w14:paraId="6CC16C03">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f.其他弄虚作假的行为。</w:t>
      </w:r>
    </w:p>
    <w:p w14:paraId="1DEAA158">
      <w:pPr>
        <w:spacing w:before="296" w:line="219" w:lineRule="auto"/>
        <w:ind w:left="3"/>
        <w:outlineLvl w:val="2"/>
        <w:rPr>
          <w:rFonts w:hint="eastAsia" w:asciiTheme="minorEastAsia" w:hAnsiTheme="minorEastAsia" w:eastAsiaTheme="minorEastAsia" w:cstheme="minorEastAsia"/>
          <w:sz w:val="24"/>
          <w:szCs w:val="24"/>
        </w:rPr>
      </w:pPr>
      <w:bookmarkStart w:id="49" w:name="bookmark91"/>
      <w:bookmarkEnd w:id="49"/>
      <w:bookmarkStart w:id="50" w:name="_Toc6805"/>
      <w:bookmarkStart w:id="51" w:name="_Toc18511"/>
      <w:bookmarkStart w:id="52" w:name="_Toc30328"/>
      <w:bookmarkStart w:id="53" w:name="_Toc10553"/>
      <w:r>
        <w:rPr>
          <w:rFonts w:hint="eastAsia" w:asciiTheme="minorEastAsia" w:hAnsiTheme="minorEastAsia" w:eastAsiaTheme="minorEastAsia" w:cstheme="minorEastAsia"/>
          <w:b/>
          <w:bCs/>
          <w:spacing w:val="8"/>
          <w:sz w:val="24"/>
          <w:szCs w:val="24"/>
        </w:rPr>
        <w:t>3.6投标文件的澄清和说明</w:t>
      </w:r>
      <w:bookmarkEnd w:id="50"/>
      <w:bookmarkEnd w:id="51"/>
      <w:bookmarkEnd w:id="52"/>
      <w:bookmarkEnd w:id="53"/>
    </w:p>
    <w:p w14:paraId="2EDC5AD6">
      <w:pPr>
        <w:spacing w:before="247" w:line="344"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3.6.1.在评标过程中，评标委员会可以书面形式要求投标人对所提交</w:t>
      </w:r>
      <w:r>
        <w:rPr>
          <w:rFonts w:hint="eastAsia" w:asciiTheme="minorEastAsia" w:hAnsiTheme="minorEastAsia" w:eastAsiaTheme="minorEastAsia" w:cstheme="minorEastAsia"/>
          <w:spacing w:val="9"/>
          <w:sz w:val="24"/>
          <w:szCs w:val="24"/>
        </w:rPr>
        <w:t>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文件中含义不明确的内容、明显文字或计算错误进行书面澄清或说明。评标委</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员会不接受投标人主动提出的澄清、说明。投标人不按评标委员会要求澄清或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说明的，评标委员会应否决其投标。</w:t>
      </w:r>
    </w:p>
    <w:p w14:paraId="2A7A57AD">
      <w:pPr>
        <w:spacing w:before="208" w:line="306" w:lineRule="auto"/>
        <w:ind w:right="13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3.6.2.</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澄清和说明不得超出投标文件的范围或改变投标文件的实质性内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容。投标人的书面澄清、说明属于投标文件的组成部分。</w:t>
      </w:r>
    </w:p>
    <w:p w14:paraId="7C150AA9">
      <w:pPr>
        <w:spacing w:before="196" w:line="330"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3.6.3.评标委员会不得暗示或诱导投标人作出澄清、说明，对投标人</w:t>
      </w:r>
      <w:r>
        <w:rPr>
          <w:rFonts w:hint="eastAsia" w:asciiTheme="minorEastAsia" w:hAnsiTheme="minorEastAsia" w:eastAsiaTheme="minorEastAsia" w:cstheme="minorEastAsia"/>
          <w:spacing w:val="9"/>
          <w:sz w:val="24"/>
          <w:szCs w:val="24"/>
        </w:rPr>
        <w:t>提交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的澄清、说明有疑问的，可以要求投标人进一步澄清或说明，直至满足评标委</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员会的要求。</w:t>
      </w:r>
    </w:p>
    <w:p w14:paraId="12D206D0">
      <w:pPr>
        <w:spacing w:before="208" w:line="302" w:lineRule="auto"/>
        <w:ind w:right="15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3.6.4.凡超出招标文件规定的或给发包人带来未曾要求的利益的变化、偏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差或其他因素在评标时不予考虑。</w:t>
      </w:r>
    </w:p>
    <w:p w14:paraId="78D3EB7A">
      <w:pPr>
        <w:spacing w:before="315" w:line="219" w:lineRule="auto"/>
        <w:ind w:left="3"/>
        <w:outlineLvl w:val="2"/>
        <w:rPr>
          <w:rFonts w:hint="eastAsia" w:asciiTheme="minorEastAsia" w:hAnsiTheme="minorEastAsia" w:eastAsiaTheme="minorEastAsia" w:cstheme="minorEastAsia"/>
          <w:sz w:val="24"/>
          <w:szCs w:val="24"/>
        </w:rPr>
      </w:pPr>
      <w:bookmarkStart w:id="54" w:name="bookmark92"/>
      <w:bookmarkEnd w:id="54"/>
      <w:bookmarkStart w:id="55" w:name="_Toc563"/>
      <w:bookmarkStart w:id="56" w:name="_Toc6349"/>
      <w:bookmarkStart w:id="57" w:name="_Toc19041"/>
      <w:bookmarkStart w:id="58" w:name="_Toc11611"/>
      <w:r>
        <w:rPr>
          <w:rFonts w:hint="eastAsia" w:asciiTheme="minorEastAsia" w:hAnsiTheme="minorEastAsia" w:eastAsiaTheme="minorEastAsia" w:cstheme="minorEastAsia"/>
          <w:b/>
          <w:bCs/>
          <w:spacing w:val="5"/>
          <w:sz w:val="24"/>
          <w:szCs w:val="24"/>
        </w:rPr>
        <w:t>3.7</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不得否决投标的情形</w:t>
      </w:r>
      <w:bookmarkEnd w:id="55"/>
      <w:bookmarkEnd w:id="56"/>
      <w:bookmarkEnd w:id="57"/>
      <w:bookmarkEnd w:id="58"/>
    </w:p>
    <w:p w14:paraId="4F357A45">
      <w:pPr>
        <w:spacing w:before="248" w:line="388" w:lineRule="auto"/>
        <w:ind w:right="149"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投标文件存在第二章“投标人须知”第1.12款所列情形的，均视为细微偏</w:t>
      </w:r>
      <w:r>
        <w:rPr>
          <w:rFonts w:hint="eastAsia" w:asciiTheme="minorEastAsia" w:hAnsiTheme="minorEastAsia" w:eastAsiaTheme="minorEastAsia" w:cstheme="minorEastAsia"/>
          <w:spacing w:val="11"/>
          <w:sz w:val="24"/>
          <w:szCs w:val="24"/>
        </w:rPr>
        <w:t xml:space="preserve"> 差，评标委员会不得否决投标人的投标，应按照第二</w:t>
      </w:r>
      <w:r>
        <w:rPr>
          <w:rFonts w:hint="eastAsia" w:asciiTheme="minorEastAsia" w:hAnsiTheme="minorEastAsia" w:eastAsiaTheme="minorEastAsia" w:cstheme="minorEastAsia"/>
          <w:spacing w:val="10"/>
          <w:sz w:val="24"/>
          <w:szCs w:val="24"/>
        </w:rPr>
        <w:t>章“投标人须知”第1.12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款项规定的原则处理。</w:t>
      </w:r>
    </w:p>
    <w:p w14:paraId="564D9161">
      <w:pPr>
        <w:spacing w:line="388" w:lineRule="auto"/>
        <w:rPr>
          <w:rFonts w:hint="eastAsia" w:asciiTheme="minorEastAsia" w:hAnsiTheme="minorEastAsia" w:eastAsiaTheme="minorEastAsia" w:cstheme="minorEastAsia"/>
          <w:sz w:val="24"/>
          <w:szCs w:val="24"/>
        </w:rPr>
        <w:sectPr>
          <w:footerReference r:id="rId7"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7402481C">
      <w:pPr>
        <w:spacing w:before="78" w:line="220" w:lineRule="auto"/>
        <w:outlineLvl w:val="2"/>
        <w:rPr>
          <w:rFonts w:hint="eastAsia" w:asciiTheme="minorEastAsia" w:hAnsiTheme="minorEastAsia" w:eastAsiaTheme="minorEastAsia" w:cstheme="minorEastAsia"/>
          <w:sz w:val="24"/>
          <w:szCs w:val="24"/>
        </w:rPr>
      </w:pPr>
      <w:bookmarkStart w:id="59" w:name="bookmark93"/>
      <w:bookmarkEnd w:id="59"/>
      <w:bookmarkStart w:id="60" w:name="_Toc163"/>
      <w:bookmarkStart w:id="61" w:name="_Toc7054"/>
      <w:bookmarkStart w:id="62" w:name="_Toc24523"/>
      <w:bookmarkStart w:id="63" w:name="_Toc10228"/>
      <w:r>
        <w:rPr>
          <w:rFonts w:hint="eastAsia" w:asciiTheme="minorEastAsia" w:hAnsiTheme="minorEastAsia" w:eastAsiaTheme="minorEastAsia" w:cstheme="minorEastAsia"/>
          <w:b/>
          <w:bCs/>
          <w:spacing w:val="1"/>
          <w:sz w:val="24"/>
          <w:szCs w:val="24"/>
        </w:rPr>
        <w:t>3.8评标结果</w:t>
      </w:r>
      <w:bookmarkEnd w:id="60"/>
      <w:bookmarkEnd w:id="61"/>
      <w:bookmarkEnd w:id="62"/>
      <w:bookmarkEnd w:id="63"/>
    </w:p>
    <w:p w14:paraId="0BFDA264">
      <w:pPr>
        <w:spacing w:before="245" w:line="294" w:lineRule="auto"/>
        <w:ind w:left="46" w:right="130"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3.8.1.除第二章“投标人须知”前附表授权直接确定中标人外，评标委员</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会依据本章第1条规定的标准，推荐中标候选人。</w:t>
      </w:r>
    </w:p>
    <w:p w14:paraId="0D12826D">
      <w:pPr>
        <w:jc w:val="both"/>
        <w:rPr>
          <w:sz w:val="21"/>
          <w:highlight w:val="none"/>
        </w:rPr>
      </w:pPr>
      <w:r>
        <w:rPr>
          <w:rFonts w:hint="eastAsia" w:asciiTheme="minorEastAsia" w:hAnsiTheme="minorEastAsia" w:eastAsiaTheme="minorEastAsia" w:cstheme="minorEastAsia"/>
          <w:spacing w:val="-1"/>
          <w:sz w:val="24"/>
          <w:szCs w:val="24"/>
        </w:rPr>
        <w:t>3.8.2.评标委员会完成评标后，应向招标人提交书面评标报告。</w:t>
      </w:r>
      <w:bookmarkStart w:id="64" w:name="_GoBack"/>
      <w:bookmarkEnd w:id="64"/>
    </w:p>
    <w:p w14:paraId="35A178F2">
      <w:pPr>
        <w:pStyle w:val="5"/>
        <w:numPr>
          <w:ilvl w:val="0"/>
          <w:numId w:val="0"/>
        </w:numPr>
        <w:adjustRightInd w:val="0"/>
        <w:snapToGrid w:val="0"/>
        <w:spacing w:line="336" w:lineRule="auto"/>
        <w:ind w:left="240" w:leftChars="0"/>
        <w:rPr>
          <w:rFonts w:hint="eastAsia"/>
          <w:b/>
          <w:bCs/>
          <w:sz w:val="28"/>
          <w:highlight w:val="none"/>
        </w:rPr>
      </w:pPr>
    </w:p>
    <w:bookmarkEnd w:id="3"/>
    <w:p w14:paraId="5B34EB73">
      <w:pPr>
        <w:pStyle w:val="13"/>
        <w:keepNext w:val="0"/>
        <w:keepLines w:val="0"/>
        <w:pageBreakBefore w:val="0"/>
        <w:widowControl w:val="0"/>
        <w:tabs>
          <w:tab w:val="left" w:pos="1505"/>
        </w:tabs>
        <w:kinsoku/>
        <w:wordWrap/>
        <w:overflowPunct/>
        <w:topLinePunct w:val="0"/>
        <w:autoSpaceDE/>
        <w:autoSpaceDN/>
        <w:bidi w:val="0"/>
        <w:adjustRightInd w:val="0"/>
        <w:snapToGrid w:val="0"/>
        <w:spacing w:line="336" w:lineRule="auto"/>
        <w:jc w:val="both"/>
        <w:textAlignment w:val="auto"/>
        <w:rPr>
          <w:rFonts w:hint="eastAsia" w:asciiTheme="minorEastAsia" w:hAnsiTheme="minorEastAsia" w:eastAsiaTheme="minorEastAsia" w:cstheme="minorEastAsia"/>
          <w:color w:val="auto"/>
          <w:sz w:val="24"/>
          <w:szCs w:val="24"/>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5BC6">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BA26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4BA26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8F8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0B0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20B0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69F">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D16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C26D16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E95">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DC0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CDC05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381">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81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1081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NkNmFkZTk2NzFiZGMxYmQzOGRmM2E3Yjk5MGYifQ=="/>
  </w:docVars>
  <w:rsids>
    <w:rsidRoot w:val="783646DD"/>
    <w:rsid w:val="01BF0D19"/>
    <w:rsid w:val="043D7D05"/>
    <w:rsid w:val="0FF5441F"/>
    <w:rsid w:val="1B4D345B"/>
    <w:rsid w:val="1DA13FCE"/>
    <w:rsid w:val="22D54CCE"/>
    <w:rsid w:val="23582030"/>
    <w:rsid w:val="2B3653F3"/>
    <w:rsid w:val="2EF24836"/>
    <w:rsid w:val="3B7E5EF0"/>
    <w:rsid w:val="44BF3856"/>
    <w:rsid w:val="477839CD"/>
    <w:rsid w:val="5260322E"/>
    <w:rsid w:val="55CA3439"/>
    <w:rsid w:val="5D377B75"/>
    <w:rsid w:val="5EB209F9"/>
    <w:rsid w:val="61214138"/>
    <w:rsid w:val="626B5132"/>
    <w:rsid w:val="63316553"/>
    <w:rsid w:val="76F471D0"/>
    <w:rsid w:val="7836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qFormat/>
    <w:uiPriority w:val="35"/>
    <w:pPr>
      <w:adjustRightInd w:val="0"/>
      <w:spacing w:before="152" w:after="160" w:line="312" w:lineRule="atLeast"/>
      <w:textAlignment w:val="baseline"/>
    </w:pPr>
    <w:rPr>
      <w:rFonts w:ascii="Arial" w:hAnsi="Arial" w:eastAsia="黑体"/>
      <w:kern w:val="0"/>
    </w:rPr>
  </w:style>
  <w:style w:type="paragraph" w:styleId="5">
    <w:name w:val="Body Text"/>
    <w:basedOn w:val="1"/>
    <w:autoRedefine/>
    <w:qFormat/>
    <w:uiPriority w:val="0"/>
    <w:pPr>
      <w:tabs>
        <w:tab w:val="left" w:pos="6480"/>
      </w:tabs>
    </w:pPr>
    <w:rPr>
      <w:kern w:val="0"/>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next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99"/>
    <w:pPr>
      <w:widowControl w:val="0"/>
    </w:pPr>
    <w:rPr>
      <w:rFonts w:ascii="Times New Roman" w:hAnsi="Times New Roman" w:cs="Times New Roman"/>
      <w:sz w:val="22"/>
      <w:szCs w:val="22"/>
      <w:lang w:eastAsia="en-US"/>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Paragraph"/>
    <w:basedOn w:val="1"/>
    <w:qFormat/>
    <w:uiPriority w:val="1"/>
    <w:pPr>
      <w:spacing w:beforeLines="0" w:afterLines="0"/>
    </w:pPr>
    <w:rPr>
      <w:rFonts w:hint="eastAsia"/>
      <w:sz w:val="24"/>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1752</Words>
  <Characters>1960</Characters>
  <Lines>0</Lines>
  <Paragraphs>0</Paragraphs>
  <TotalTime>1</TotalTime>
  <ScaleCrop>false</ScaleCrop>
  <LinksUpToDate>false</LinksUpToDate>
  <CharactersWithSpaces>2024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2023-06-19T04:09:00Z</dcterms:created>
  <dc:creator>刘丽</dc:creator>
  <cp:lastModifiedBy>12</cp:lastModifiedBy>
  <cp:lastPrinted>2023-06-20T07:23:00Z</cp:lastPrinted>
  <dcterms:modified xsi:type="dcterms:W3CDTF">2025-12-01T02:52:01Z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3B1B0586D22349F290473A8BCAF2DADC_13</vt:lpwstr>
  </property>
  <property fmtid="{D5CDD505-2E9C-101B-9397-08002B2CF9AE}" pid="4" name="KSOTemplateDocerSaveRecord">
    <vt:lpwstr>eyJoZGlkIjoiOWJmM2E5OGIwNWUwNmE1ZTMyZjdjY2U3YTY4NTVjZTAiLCJ1c2VySWQiOiI2MzAwODQyOTUifQ==</vt:lpwstr>
  </property>
</Properties>
</file>