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523F">
      <w:pPr>
        <w:jc w:val="center"/>
        <w:rPr>
          <w:rFonts w:hint="eastAsia" w:hAnsi="黑体" w:eastAsia="黑体"/>
          <w:bCs/>
          <w:color w:val="000000" w:themeColor="text1"/>
          <w:sz w:val="44"/>
          <w:szCs w:val="44"/>
          <w:highlight w:val="none"/>
          <w14:textFill>
            <w14:solidFill>
              <w14:schemeClr w14:val="tx1"/>
            </w14:solidFill>
          </w14:textFill>
        </w:rPr>
      </w:pPr>
    </w:p>
    <w:p w14:paraId="3EE4299F">
      <w:pPr>
        <w:jc w:val="center"/>
        <w:rPr>
          <w:b/>
          <w:sz w:val="72"/>
          <w:szCs w:val="72"/>
          <w:highlight w:val="none"/>
        </w:rPr>
      </w:pPr>
      <w:r>
        <w:rPr>
          <w:rFonts w:hint="eastAsia" w:hAnsi="黑体" w:eastAsia="黑体"/>
          <w:bCs/>
          <w:color w:val="000000" w:themeColor="text1"/>
          <w:sz w:val="44"/>
          <w:szCs w:val="44"/>
          <w:highlight w:val="none"/>
          <w14:textFill>
            <w14:solidFill>
              <w14:schemeClr w14:val="tx1"/>
            </w14:solidFill>
          </w14:textFill>
        </w:rPr>
        <w:t>赣州交控“十五五”规划编制服务</w:t>
      </w:r>
    </w:p>
    <w:p w14:paraId="0351D7DD">
      <w:pPr>
        <w:jc w:val="center"/>
        <w:rPr>
          <w:b/>
          <w:sz w:val="72"/>
          <w:szCs w:val="72"/>
          <w:highlight w:val="none"/>
        </w:rPr>
      </w:pPr>
    </w:p>
    <w:p w14:paraId="0CA850AA">
      <w:pPr>
        <w:jc w:val="center"/>
        <w:rPr>
          <w:b/>
          <w:sz w:val="72"/>
          <w:szCs w:val="72"/>
          <w:highlight w:val="none"/>
        </w:rPr>
      </w:pPr>
    </w:p>
    <w:p w14:paraId="3B288441">
      <w:pPr>
        <w:jc w:val="center"/>
        <w:rPr>
          <w:b/>
          <w:sz w:val="72"/>
          <w:szCs w:val="72"/>
          <w:highlight w:val="none"/>
        </w:rPr>
      </w:pPr>
    </w:p>
    <w:p w14:paraId="64DD9F48">
      <w:pPr>
        <w:jc w:val="center"/>
        <w:rPr>
          <w:b/>
          <w:sz w:val="72"/>
          <w:szCs w:val="72"/>
          <w:highlight w:val="none"/>
        </w:rPr>
      </w:pPr>
    </w:p>
    <w:p w14:paraId="3088CAAD">
      <w:pPr>
        <w:pStyle w:val="24"/>
        <w:rPr>
          <w:highlight w:val="none"/>
        </w:rPr>
      </w:pPr>
    </w:p>
    <w:p w14:paraId="7AAFFDC4">
      <w:pPr>
        <w:jc w:val="center"/>
        <w:rPr>
          <w:b/>
          <w:sz w:val="72"/>
          <w:szCs w:val="72"/>
          <w:highlight w:val="none"/>
        </w:rPr>
      </w:pPr>
      <w:r>
        <w:rPr>
          <w:rFonts w:hint="eastAsia"/>
          <w:b/>
          <w:sz w:val="72"/>
          <w:szCs w:val="72"/>
          <w:highlight w:val="none"/>
        </w:rPr>
        <w:t>询价文件</w:t>
      </w:r>
    </w:p>
    <w:p w14:paraId="26C05B6C">
      <w:pPr>
        <w:jc w:val="center"/>
        <w:rPr>
          <w:b/>
          <w:sz w:val="36"/>
          <w:szCs w:val="36"/>
          <w:highlight w:val="none"/>
        </w:rPr>
      </w:pPr>
    </w:p>
    <w:p w14:paraId="46AD6B33">
      <w:pPr>
        <w:jc w:val="center"/>
        <w:rPr>
          <w:b/>
          <w:sz w:val="36"/>
          <w:szCs w:val="36"/>
          <w:highlight w:val="none"/>
        </w:rPr>
      </w:pPr>
    </w:p>
    <w:p w14:paraId="57838150">
      <w:pPr>
        <w:pStyle w:val="3"/>
        <w:rPr>
          <w:sz w:val="36"/>
          <w:szCs w:val="36"/>
          <w:highlight w:val="none"/>
        </w:rPr>
      </w:pPr>
    </w:p>
    <w:p w14:paraId="03F73196">
      <w:pPr>
        <w:rPr>
          <w:highlight w:val="none"/>
        </w:rPr>
      </w:pPr>
    </w:p>
    <w:p w14:paraId="64C3A7D1">
      <w:pPr>
        <w:rPr>
          <w:highlight w:val="none"/>
        </w:rPr>
      </w:pPr>
    </w:p>
    <w:p w14:paraId="3EE8C9DB">
      <w:pPr>
        <w:jc w:val="center"/>
        <w:rPr>
          <w:b/>
          <w:sz w:val="36"/>
          <w:szCs w:val="36"/>
          <w:highlight w:val="none"/>
        </w:rPr>
      </w:pPr>
    </w:p>
    <w:p w14:paraId="38DA9985">
      <w:pPr>
        <w:jc w:val="center"/>
        <w:rPr>
          <w:b/>
          <w:sz w:val="36"/>
          <w:szCs w:val="36"/>
          <w:highlight w:val="none"/>
        </w:rPr>
      </w:pPr>
    </w:p>
    <w:p w14:paraId="6A4C1E03">
      <w:pPr>
        <w:jc w:val="center"/>
        <w:rPr>
          <w:b/>
          <w:sz w:val="36"/>
          <w:szCs w:val="36"/>
          <w:highlight w:val="none"/>
        </w:rPr>
      </w:pPr>
      <w:r>
        <w:rPr>
          <w:rFonts w:hint="eastAsia"/>
          <w:b/>
          <w:sz w:val="36"/>
          <w:szCs w:val="36"/>
          <w:highlight w:val="none"/>
        </w:rPr>
        <w:t>赣州交通控股集团有限公司</w:t>
      </w:r>
    </w:p>
    <w:p w14:paraId="05755329">
      <w:pPr>
        <w:jc w:val="center"/>
        <w:rPr>
          <w:rFonts w:hint="eastAsia"/>
          <w:b/>
          <w:sz w:val="36"/>
          <w:szCs w:val="36"/>
          <w:highlight w:val="none"/>
        </w:rPr>
      </w:pPr>
      <w:r>
        <w:rPr>
          <w:rFonts w:hint="eastAsia"/>
          <w:b/>
          <w:sz w:val="36"/>
          <w:szCs w:val="36"/>
          <w:highlight w:val="none"/>
        </w:rPr>
        <w:t>二O二五年</w:t>
      </w:r>
      <w:r>
        <w:rPr>
          <w:rFonts w:hint="eastAsia"/>
          <w:b/>
          <w:sz w:val="36"/>
          <w:szCs w:val="36"/>
          <w:highlight w:val="none"/>
          <w:lang w:val="en-US" w:eastAsia="zh-CN"/>
        </w:rPr>
        <w:t>九</w:t>
      </w:r>
      <w:r>
        <w:rPr>
          <w:rFonts w:hint="eastAsia"/>
          <w:b/>
          <w:sz w:val="36"/>
          <w:szCs w:val="36"/>
          <w:highlight w:val="none"/>
        </w:rPr>
        <w:t>月</w:t>
      </w:r>
    </w:p>
    <w:p w14:paraId="068673E5">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pPr>
    </w:p>
    <w:sdt>
      <w:sdtPr>
        <w:rPr>
          <w:rFonts w:ascii="宋体" w:hAnsi="宋体" w:eastAsia="宋体" w:cstheme="minorBidi"/>
          <w:kern w:val="2"/>
          <w:sz w:val="21"/>
          <w:szCs w:val="24"/>
          <w:highlight w:val="none"/>
          <w:lang w:val="en-US" w:eastAsia="zh-CN" w:bidi="ar-SA"/>
        </w:rPr>
        <w:id w:val="147472607"/>
        <w15:color w:val="DBDBDB"/>
        <w:docPartObj>
          <w:docPartGallery w:val="Table of Contents"/>
          <w:docPartUnique/>
        </w:docPartObj>
      </w:sdtPr>
      <w:sdtEndPr>
        <w:rPr>
          <w:rFonts w:hint="default" w:asciiTheme="minorEastAsia" w:hAnsiTheme="minorEastAsia" w:eastAsiaTheme="minorEastAsia" w:cstheme="minorEastAsia"/>
          <w:bCs w:val="0"/>
          <w:kern w:val="2"/>
          <w:sz w:val="21"/>
          <w:szCs w:val="32"/>
          <w:highlight w:val="none"/>
          <w:lang w:val="en-US" w:eastAsia="zh-CN" w:bidi="ar-SA"/>
        </w:rPr>
      </w:sdtEndPr>
      <w:sdtContent>
        <w:p w14:paraId="21DFB866">
          <w:pPr>
            <w:spacing w:before="0" w:beforeLines="0" w:after="0" w:afterLines="0" w:line="240" w:lineRule="auto"/>
            <w:ind w:left="0" w:leftChars="0" w:right="0" w:rightChars="0" w:firstLine="0" w:firstLineChars="0"/>
            <w:jc w:val="center"/>
            <w:rPr>
              <w:highlight w:val="none"/>
            </w:rPr>
          </w:pPr>
          <w:r>
            <w:rPr>
              <w:rFonts w:ascii="宋体" w:hAnsi="宋体" w:eastAsia="宋体"/>
              <w:b/>
              <w:bCs/>
              <w:sz w:val="36"/>
              <w:szCs w:val="36"/>
              <w:highlight w:val="none"/>
            </w:rPr>
            <w:t>目</w:t>
          </w:r>
          <w:r>
            <w:rPr>
              <w:rFonts w:hint="eastAsia" w:ascii="宋体" w:hAnsi="宋体" w:eastAsia="宋体"/>
              <w:b/>
              <w:bCs/>
              <w:sz w:val="36"/>
              <w:szCs w:val="36"/>
              <w:highlight w:val="none"/>
              <w:lang w:val="en-US" w:eastAsia="zh-CN"/>
            </w:rPr>
            <w:t xml:space="preserve"> </w:t>
          </w:r>
          <w:r>
            <w:rPr>
              <w:rFonts w:ascii="宋体" w:hAnsi="宋体" w:eastAsia="宋体"/>
              <w:b/>
              <w:bCs/>
              <w:sz w:val="36"/>
              <w:szCs w:val="36"/>
              <w:highlight w:val="none"/>
            </w:rPr>
            <w:t>录</w:t>
          </w:r>
        </w:p>
        <w:p w14:paraId="4CF07E00">
          <w:pPr>
            <w:pStyle w:val="12"/>
            <w:tabs>
              <w:tab w:val="right" w:leader="dot" w:pos="9070"/>
            </w:tabs>
            <w:rPr>
              <w:rFonts w:hint="eastAsia" w:ascii="黑体" w:hAnsi="黑体" w:eastAsia="黑体" w:cs="黑体"/>
              <w:sz w:val="24"/>
              <w:szCs w:val="24"/>
              <w:highlight w:val="none"/>
            </w:rPr>
          </w:pPr>
          <w:r>
            <w:rPr>
              <w:rFonts w:hint="default" w:asciiTheme="minorEastAsia" w:hAnsiTheme="minorEastAsia" w:eastAsiaTheme="minorEastAsia" w:cstheme="minorEastAsia"/>
              <w:bCs w:val="0"/>
              <w:kern w:val="2"/>
              <w:sz w:val="21"/>
              <w:szCs w:val="32"/>
              <w:highlight w:val="none"/>
              <w:lang w:val="en-US" w:eastAsia="zh-CN" w:bidi="ar-SA"/>
            </w:rPr>
            <w:fldChar w:fldCharType="begin"/>
          </w:r>
          <w:r>
            <w:rPr>
              <w:rFonts w:hint="default" w:asciiTheme="minorEastAsia" w:hAnsiTheme="minorEastAsia" w:eastAsiaTheme="minorEastAsia" w:cstheme="minorEastAsia"/>
              <w:bCs w:val="0"/>
              <w:kern w:val="2"/>
              <w:sz w:val="21"/>
              <w:szCs w:val="32"/>
              <w:highlight w:val="none"/>
              <w:lang w:val="en-US" w:eastAsia="zh-CN" w:bidi="ar-SA"/>
            </w:rPr>
            <w:instrText xml:space="preserve">TOC \o "1-2" \h \u </w:instrText>
          </w:r>
          <w:r>
            <w:rPr>
              <w:rFonts w:hint="default" w:asciiTheme="minorEastAsia" w:hAnsiTheme="minorEastAsia" w:eastAsiaTheme="minorEastAsia" w:cstheme="minorEastAsia"/>
              <w:bCs w:val="0"/>
              <w:kern w:val="2"/>
              <w:sz w:val="21"/>
              <w:szCs w:val="32"/>
              <w:highlight w:val="none"/>
              <w:lang w:val="en-US" w:eastAsia="zh-CN" w:bidi="ar-SA"/>
            </w:rPr>
            <w:fldChar w:fldCharType="separate"/>
          </w: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_Toc16418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第一章 询价公告</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_Toc16418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74D4FA94">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_Toc528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rPr>
            <w:t>一、询价条件</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_Toc528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464DB879">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_Toc29924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二、 询价人概况</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_Toc29924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04C6D9E7">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_Toc3842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三</w:t>
          </w:r>
          <w:r>
            <w:rPr>
              <w:rFonts w:hint="eastAsia" w:ascii="黑体" w:hAnsi="黑体" w:eastAsia="黑体" w:cs="黑体"/>
              <w:i w:val="0"/>
              <w:iCs w:val="0"/>
              <w:caps w:val="0"/>
              <w:spacing w:val="0"/>
              <w:sz w:val="24"/>
              <w:szCs w:val="24"/>
              <w:highlight w:val="none"/>
            </w:rPr>
            <w:t>、</w:t>
          </w:r>
          <w:r>
            <w:rPr>
              <w:rFonts w:hint="eastAsia" w:ascii="黑体" w:hAnsi="黑体" w:eastAsia="黑体" w:cs="黑体"/>
              <w:i w:val="0"/>
              <w:iCs w:val="0"/>
              <w:caps w:val="0"/>
              <w:spacing w:val="0"/>
              <w:sz w:val="24"/>
              <w:szCs w:val="24"/>
              <w:highlight w:val="none"/>
              <w:lang w:val="en-US" w:eastAsia="zh-CN"/>
            </w:rPr>
            <w:t>主要</w:t>
          </w:r>
          <w:r>
            <w:rPr>
              <w:rFonts w:hint="eastAsia" w:ascii="黑体" w:hAnsi="黑体" w:eastAsia="黑体" w:cs="黑体"/>
              <w:i w:val="0"/>
              <w:iCs w:val="0"/>
              <w:caps w:val="0"/>
              <w:spacing w:val="0"/>
              <w:sz w:val="24"/>
              <w:szCs w:val="24"/>
              <w:highlight w:val="none"/>
            </w:rPr>
            <w:t>服务内容及要求</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_Toc3842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6FEFDA54">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_Toc21382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四</w:t>
          </w:r>
          <w:r>
            <w:rPr>
              <w:rFonts w:hint="eastAsia" w:ascii="黑体" w:hAnsi="黑体" w:eastAsia="黑体" w:cs="黑体"/>
              <w:i w:val="0"/>
              <w:iCs w:val="0"/>
              <w:caps w:val="0"/>
              <w:spacing w:val="0"/>
              <w:sz w:val="24"/>
              <w:szCs w:val="24"/>
              <w:highlight w:val="none"/>
            </w:rPr>
            <w:t>、本次询价的控制价上限及要求</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_Toc21382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296FE7F3">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_Toc19788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rPr>
            <w:t>五、 评审原则：本次询价采用</w:t>
          </w:r>
          <w:r>
            <w:rPr>
              <w:rFonts w:hint="eastAsia" w:ascii="黑体" w:hAnsi="黑体" w:eastAsia="黑体" w:cs="黑体"/>
              <w:i w:val="0"/>
              <w:iCs w:val="0"/>
              <w:caps w:val="0"/>
              <w:spacing w:val="0"/>
              <w:sz w:val="24"/>
              <w:szCs w:val="24"/>
              <w:highlight w:val="none"/>
              <w:lang w:val="en-US" w:eastAsia="zh-CN"/>
            </w:rPr>
            <w:t>综合评估</w:t>
          </w:r>
          <w:r>
            <w:rPr>
              <w:rFonts w:hint="eastAsia" w:ascii="黑体" w:hAnsi="黑体" w:eastAsia="黑体" w:cs="黑体"/>
              <w:i w:val="0"/>
              <w:iCs w:val="0"/>
              <w:caps w:val="0"/>
              <w:spacing w:val="0"/>
              <w:sz w:val="24"/>
              <w:szCs w:val="24"/>
              <w:highlight w:val="none"/>
            </w:rPr>
            <w:t>法。</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_Toc19788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14245E2C">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_Toc18996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六</w:t>
          </w:r>
          <w:r>
            <w:rPr>
              <w:rFonts w:hint="eastAsia" w:ascii="黑体" w:hAnsi="黑体" w:eastAsia="黑体" w:cs="黑体"/>
              <w:i w:val="0"/>
              <w:iCs w:val="0"/>
              <w:caps w:val="0"/>
              <w:spacing w:val="0"/>
              <w:sz w:val="24"/>
              <w:szCs w:val="24"/>
              <w:highlight w:val="none"/>
            </w:rPr>
            <w:t>、询价保证金</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_Toc18996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5E41DF9D">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_Toc5184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七</w:t>
          </w:r>
          <w:r>
            <w:rPr>
              <w:rFonts w:hint="eastAsia" w:ascii="黑体" w:hAnsi="黑体" w:eastAsia="黑体" w:cs="黑体"/>
              <w:i w:val="0"/>
              <w:iCs w:val="0"/>
              <w:caps w:val="0"/>
              <w:spacing w:val="0"/>
              <w:sz w:val="24"/>
              <w:szCs w:val="24"/>
              <w:highlight w:val="none"/>
            </w:rPr>
            <w:t>、履约担保</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_Toc5184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5</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16852B8D">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_Toc13694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八、费用的支付</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_Toc13694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6</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43960CB1">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_Toc20111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九、报价人资格要求</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_Toc20111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6</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0CE1F9B5">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_Toc23598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十、响应文件组成</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_Toc23598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7</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655B0C3F">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_Toc31563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十一、 公告媒介、询价文件获取时间及方式及补遗：</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_Toc31563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7</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745563FB">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_Toc3764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i w:val="0"/>
              <w:iCs w:val="0"/>
              <w:caps w:val="0"/>
              <w:spacing w:val="0"/>
              <w:sz w:val="24"/>
              <w:szCs w:val="24"/>
              <w:highlight w:val="none"/>
              <w:lang w:val="en-US" w:eastAsia="zh-CN"/>
            </w:rPr>
            <w:t>十二、响应文件的密封和标识</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_Toc3764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8</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543D2EC7">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_Toc26664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rPr>
            <w:t>十</w:t>
          </w:r>
          <w:r>
            <w:rPr>
              <w:rFonts w:hint="eastAsia" w:ascii="黑体" w:hAnsi="黑体" w:eastAsia="黑体" w:cs="黑体"/>
              <w:sz w:val="24"/>
              <w:szCs w:val="24"/>
              <w:highlight w:val="none"/>
              <w:lang w:val="en-US" w:eastAsia="zh-CN"/>
            </w:rPr>
            <w:t>三</w:t>
          </w:r>
          <w:r>
            <w:rPr>
              <w:rFonts w:hint="eastAsia" w:ascii="黑体" w:hAnsi="黑体" w:eastAsia="黑体" w:cs="黑体"/>
              <w:sz w:val="24"/>
              <w:szCs w:val="24"/>
              <w:highlight w:val="none"/>
            </w:rPr>
            <w:t>、</w:t>
          </w:r>
          <w:r>
            <w:rPr>
              <w:rFonts w:hint="eastAsia" w:ascii="黑体" w:hAnsi="黑体" w:eastAsia="黑体" w:cs="黑体"/>
              <w:sz w:val="24"/>
              <w:szCs w:val="24"/>
              <w:highlight w:val="none"/>
              <w:lang w:eastAsia="zh-CN"/>
            </w:rPr>
            <w:t>响应文件</w:t>
          </w:r>
          <w:r>
            <w:rPr>
              <w:rFonts w:hint="eastAsia" w:ascii="黑体" w:hAnsi="黑体" w:eastAsia="黑体" w:cs="黑体"/>
              <w:sz w:val="24"/>
              <w:szCs w:val="24"/>
              <w:highlight w:val="none"/>
            </w:rPr>
            <w:t>的递交及相关事宜</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_Toc26664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8</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3C4F7E41">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_Toc12019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rPr>
            <w:t xml:space="preserve">十四、 </w:t>
          </w:r>
          <w:r>
            <w:rPr>
              <w:rFonts w:hint="eastAsia" w:ascii="黑体" w:hAnsi="黑体" w:eastAsia="黑体" w:cs="黑体"/>
              <w:sz w:val="24"/>
              <w:szCs w:val="24"/>
              <w:highlight w:val="none"/>
              <w:lang w:eastAsia="zh-CN"/>
            </w:rPr>
            <w:t>响应文件</w:t>
          </w:r>
          <w:r>
            <w:rPr>
              <w:rFonts w:hint="eastAsia" w:ascii="黑体" w:hAnsi="黑体" w:eastAsia="黑体" w:cs="黑体"/>
              <w:sz w:val="24"/>
              <w:szCs w:val="24"/>
              <w:highlight w:val="none"/>
            </w:rPr>
            <w:t>的开启程序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_Toc12019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8</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09A93D75">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_Toc30351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rPr>
            <w:t>十</w:t>
          </w:r>
          <w:r>
            <w:rPr>
              <w:rFonts w:hint="eastAsia" w:ascii="黑体" w:hAnsi="黑体" w:eastAsia="黑体" w:cs="黑体"/>
              <w:sz w:val="24"/>
              <w:szCs w:val="24"/>
              <w:highlight w:val="none"/>
              <w:lang w:val="en-US" w:eastAsia="zh-CN"/>
            </w:rPr>
            <w:t>五</w:t>
          </w:r>
          <w:r>
            <w:rPr>
              <w:rFonts w:hint="eastAsia" w:ascii="黑体" w:hAnsi="黑体" w:eastAsia="黑体" w:cs="黑体"/>
              <w:sz w:val="24"/>
              <w:szCs w:val="24"/>
              <w:highlight w:val="none"/>
            </w:rPr>
            <w:t>、公示</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_Toc30351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9</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2331E0D6">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_Toc19317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十六、其他</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_Toc19317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9</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0B7F7C1F">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_Toc2688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十七、联系方式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_Toc2688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9</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09F4C3FB">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_Toc4440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十八、监督部门及联系方式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_Toc4440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10</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1CC69EA3">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_Toc31066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bCs/>
              <w:sz w:val="24"/>
              <w:szCs w:val="24"/>
              <w:highlight w:val="none"/>
            </w:rPr>
            <w:t>附</w:t>
          </w:r>
          <w:r>
            <w:rPr>
              <w:rFonts w:hint="eastAsia" w:ascii="黑体" w:hAnsi="黑体" w:eastAsia="黑体" w:cs="黑体"/>
              <w:bCs/>
              <w:sz w:val="24"/>
              <w:szCs w:val="24"/>
              <w:highlight w:val="none"/>
              <w:lang w:val="en-US" w:eastAsia="zh-CN"/>
            </w:rPr>
            <w:t>表</w:t>
          </w:r>
          <w:r>
            <w:rPr>
              <w:rFonts w:hint="eastAsia" w:ascii="黑体" w:hAnsi="黑体" w:eastAsia="黑体" w:cs="黑体"/>
              <w:bCs/>
              <w:sz w:val="24"/>
              <w:szCs w:val="24"/>
              <w:highlight w:val="none"/>
            </w:rPr>
            <w:t>1 拟投入驻地团队</w:t>
          </w:r>
          <w:r>
            <w:rPr>
              <w:rFonts w:hint="eastAsia" w:ascii="黑体" w:hAnsi="黑体" w:eastAsia="黑体" w:cs="黑体"/>
              <w:bCs/>
              <w:sz w:val="24"/>
              <w:szCs w:val="24"/>
              <w:highlight w:val="none"/>
              <w:lang w:val="en-US" w:eastAsia="zh-CN"/>
            </w:rPr>
            <w:t>成</w:t>
          </w:r>
          <w:r>
            <w:rPr>
              <w:rFonts w:hint="eastAsia" w:ascii="黑体" w:hAnsi="黑体" w:eastAsia="黑体" w:cs="黑体"/>
              <w:bCs/>
              <w:sz w:val="24"/>
              <w:szCs w:val="24"/>
              <w:highlight w:val="none"/>
            </w:rPr>
            <w:t>员表</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_Toc31066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11</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3BBB0048">
          <w:pPr>
            <w:pStyle w:val="12"/>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_Toc12901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 xml:space="preserve">第二章 </w:t>
          </w:r>
          <w:r>
            <w:rPr>
              <w:rFonts w:hint="eastAsia" w:ascii="黑体" w:hAnsi="黑体" w:eastAsia="黑体" w:cs="黑体"/>
              <w:sz w:val="24"/>
              <w:szCs w:val="24"/>
              <w:highlight w:val="none"/>
            </w:rPr>
            <w:t>评审办法</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_Toc12901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23A78C2F">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_Toc16381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rPr>
            <w:t>一、评审方法</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_Toc16381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40640073">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_Toc2363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rPr>
            <w:t xml:space="preserve">二、 </w:t>
          </w:r>
          <w:r>
            <w:rPr>
              <w:rFonts w:hint="eastAsia" w:ascii="黑体" w:hAnsi="黑体" w:eastAsia="黑体" w:cs="黑体"/>
              <w:sz w:val="24"/>
              <w:szCs w:val="24"/>
              <w:highlight w:val="none"/>
              <w:lang w:val="en-US" w:eastAsia="zh-CN"/>
            </w:rPr>
            <w:t>询价</w:t>
          </w:r>
          <w:r>
            <w:rPr>
              <w:rFonts w:hint="eastAsia" w:ascii="黑体" w:hAnsi="黑体" w:eastAsia="黑体" w:cs="黑体"/>
              <w:sz w:val="24"/>
              <w:szCs w:val="24"/>
              <w:highlight w:val="none"/>
            </w:rPr>
            <w:t>评审小组</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_Toc2363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2D1BA382">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_Toc17123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三、 评审程序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_Toc17123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225E77AF">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_Toc21362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四</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评审结果</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_Toc21362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12</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3C634E0D">
          <w:pPr>
            <w:pStyle w:val="13"/>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_Toc12325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评审附表</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_Toc12325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13</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2797498E">
          <w:pPr>
            <w:pStyle w:val="12"/>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_Toc23064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bCs/>
              <w:sz w:val="24"/>
              <w:szCs w:val="24"/>
              <w:highlight w:val="none"/>
              <w:lang w:val="en-US" w:eastAsia="zh-CN"/>
            </w:rPr>
            <w:t>第三章 响应文件格式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_Toc23064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18</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41065107">
          <w:pPr>
            <w:pStyle w:val="12"/>
            <w:tabs>
              <w:tab w:val="right" w:leader="dot" w:pos="9070"/>
            </w:tabs>
            <w:rPr>
              <w:rFonts w:hint="eastAsia" w:ascii="黑体" w:hAnsi="黑体" w:eastAsia="黑体" w:cs="黑体"/>
              <w:sz w:val="24"/>
              <w:szCs w:val="24"/>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_Toc6794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sz w:val="24"/>
              <w:szCs w:val="24"/>
              <w:highlight w:val="none"/>
              <w:lang w:val="en-US" w:eastAsia="zh-CN"/>
            </w:rPr>
            <w:t xml:space="preserve">第四章 </w:t>
          </w:r>
          <w:r>
            <w:rPr>
              <w:rFonts w:hint="eastAsia" w:ascii="黑体" w:hAnsi="黑体" w:eastAsia="黑体" w:cs="黑体"/>
              <w:sz w:val="24"/>
              <w:szCs w:val="24"/>
              <w:highlight w:val="none"/>
            </w:rPr>
            <w:t>履约保</w:t>
          </w:r>
          <w:r>
            <w:rPr>
              <w:rFonts w:hint="eastAsia" w:ascii="黑体" w:hAnsi="黑体" w:eastAsia="黑体" w:cs="黑体"/>
              <w:spacing w:val="-3"/>
              <w:sz w:val="24"/>
              <w:szCs w:val="24"/>
              <w:highlight w:val="none"/>
            </w:rPr>
            <w:t>证</w:t>
          </w:r>
          <w:r>
            <w:rPr>
              <w:rFonts w:hint="eastAsia" w:ascii="黑体" w:hAnsi="黑体" w:eastAsia="黑体" w:cs="黑体"/>
              <w:sz w:val="24"/>
              <w:szCs w:val="24"/>
              <w:highlight w:val="none"/>
            </w:rPr>
            <w:t>金格式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_Toc6794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30</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62FDA04A">
          <w:pPr>
            <w:pStyle w:val="12"/>
            <w:tabs>
              <w:tab w:val="right" w:leader="dot" w:pos="9070"/>
            </w:tabs>
            <w:rPr>
              <w:highlight w:val="none"/>
            </w:rPr>
          </w:pPr>
          <w:r>
            <w:rPr>
              <w:rFonts w:hint="eastAsia" w:ascii="黑体" w:hAnsi="黑体" w:eastAsia="黑体" w:cs="黑体"/>
              <w:bCs w:val="0"/>
              <w:kern w:val="2"/>
              <w:sz w:val="24"/>
              <w:szCs w:val="24"/>
              <w:highlight w:val="none"/>
              <w:lang w:val="en-US" w:eastAsia="zh-CN" w:bidi="ar-SA"/>
            </w:rPr>
            <w:fldChar w:fldCharType="begin"/>
          </w:r>
          <w:r>
            <w:rPr>
              <w:rFonts w:hint="eastAsia" w:ascii="黑体" w:hAnsi="黑体" w:eastAsia="黑体" w:cs="黑体"/>
              <w:bCs w:val="0"/>
              <w:kern w:val="2"/>
              <w:sz w:val="24"/>
              <w:szCs w:val="24"/>
              <w:highlight w:val="none"/>
              <w:lang w:val="en-US" w:eastAsia="zh-CN" w:bidi="ar-SA"/>
            </w:rPr>
            <w:instrText xml:space="preserve"> HYPERLINK \l _Toc25350 </w:instrText>
          </w:r>
          <w:r>
            <w:rPr>
              <w:rFonts w:hint="eastAsia" w:ascii="黑体" w:hAnsi="黑体" w:eastAsia="黑体" w:cs="黑体"/>
              <w:bCs w:val="0"/>
              <w:kern w:val="2"/>
              <w:sz w:val="24"/>
              <w:szCs w:val="24"/>
              <w:highlight w:val="none"/>
              <w:lang w:val="en-US" w:eastAsia="zh-CN" w:bidi="ar-SA"/>
            </w:rPr>
            <w:fldChar w:fldCharType="separate"/>
          </w:r>
          <w:r>
            <w:rPr>
              <w:rFonts w:hint="eastAsia" w:ascii="黑体" w:hAnsi="黑体" w:eastAsia="黑体" w:cs="黑体"/>
              <w:bCs w:val="0"/>
              <w:sz w:val="24"/>
              <w:szCs w:val="24"/>
              <w:highlight w:val="none"/>
              <w:lang w:val="en-US" w:eastAsia="zh-CN"/>
            </w:rPr>
            <w:t>第五章 服务项目合同格式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_Toc25350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31</w:t>
          </w:r>
          <w:r>
            <w:rPr>
              <w:rFonts w:hint="eastAsia" w:ascii="黑体" w:hAnsi="黑体" w:eastAsia="黑体" w:cs="黑体"/>
              <w:sz w:val="24"/>
              <w:szCs w:val="24"/>
              <w:highlight w:val="none"/>
            </w:rPr>
            <w:fldChar w:fldCharType="end"/>
          </w:r>
          <w:r>
            <w:rPr>
              <w:rFonts w:hint="eastAsia" w:ascii="黑体" w:hAnsi="黑体" w:eastAsia="黑体" w:cs="黑体"/>
              <w:bCs w:val="0"/>
              <w:kern w:val="2"/>
              <w:sz w:val="24"/>
              <w:szCs w:val="24"/>
              <w:highlight w:val="none"/>
              <w:lang w:val="en-US" w:eastAsia="zh-CN" w:bidi="ar-SA"/>
            </w:rPr>
            <w:fldChar w:fldCharType="end"/>
          </w:r>
        </w:p>
        <w:p w14:paraId="76A52E0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Cs w:val="0"/>
              <w:kern w:val="2"/>
              <w:sz w:val="21"/>
              <w:szCs w:val="32"/>
              <w:highlight w:val="none"/>
              <w:lang w:val="en-US" w:eastAsia="zh-CN" w:bidi="ar-SA"/>
            </w:rPr>
          </w:pPr>
          <w:r>
            <w:rPr>
              <w:rFonts w:hint="default" w:asciiTheme="minorEastAsia" w:hAnsiTheme="minorEastAsia" w:eastAsiaTheme="minorEastAsia" w:cstheme="minorEastAsia"/>
              <w:bCs w:val="0"/>
              <w:kern w:val="2"/>
              <w:szCs w:val="32"/>
              <w:highlight w:val="none"/>
              <w:lang w:val="en-US" w:eastAsia="zh-CN" w:bidi="ar-SA"/>
            </w:rPr>
            <w:fldChar w:fldCharType="end"/>
          </w:r>
        </w:p>
      </w:sdtContent>
    </w:sdt>
    <w:p w14:paraId="2D367CD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Cs w:val="0"/>
          <w:kern w:val="2"/>
          <w:sz w:val="21"/>
          <w:szCs w:val="32"/>
          <w:highlight w:val="none"/>
          <w:lang w:val="en-US" w:eastAsia="zh-CN" w:bidi="ar-SA"/>
        </w:rPr>
        <w:sectPr>
          <w:footerReference r:id="rId3" w:type="default"/>
          <w:pgSz w:w="11906" w:h="16838"/>
          <w:pgMar w:top="1440" w:right="1418" w:bottom="1440" w:left="1418" w:header="709" w:footer="709" w:gutter="0"/>
          <w:pgBorders>
            <w:top w:val="none" w:sz="0" w:space="0"/>
            <w:left w:val="none" w:sz="0" w:space="0"/>
            <w:bottom w:val="none" w:sz="0" w:space="0"/>
            <w:right w:val="none" w:sz="0" w:space="0"/>
          </w:pgBorders>
          <w:pgNumType w:fmt="decimal" w:start="0"/>
          <w:cols w:space="720" w:num="1"/>
          <w:docGrid w:type="lines" w:linePitch="360" w:charSpace="0"/>
        </w:sectPr>
      </w:pPr>
    </w:p>
    <w:p w14:paraId="42951CD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outlineLvl w:val="0"/>
        <w:rPr>
          <w:rStyle w:val="19"/>
          <w:rFonts w:hint="default" w:asciiTheme="majorEastAsia" w:hAnsiTheme="majorEastAsia" w:eastAsiaTheme="majorEastAsia" w:cstheme="majorEastAsia"/>
          <w:i w:val="0"/>
          <w:iCs w:val="0"/>
          <w:caps w:val="0"/>
          <w:color w:val="auto"/>
          <w:spacing w:val="0"/>
          <w:sz w:val="36"/>
          <w:szCs w:val="36"/>
          <w:highlight w:val="none"/>
          <w:lang w:val="en-US" w:eastAsia="zh-CN"/>
        </w:rPr>
      </w:pPr>
      <w:bookmarkStart w:id="0" w:name="_Toc16418"/>
      <w:r>
        <w:rPr>
          <w:rStyle w:val="19"/>
          <w:rFonts w:hint="eastAsia" w:asciiTheme="majorEastAsia" w:hAnsiTheme="majorEastAsia" w:eastAsiaTheme="majorEastAsia" w:cstheme="majorEastAsia"/>
          <w:i w:val="0"/>
          <w:iCs w:val="0"/>
          <w:caps w:val="0"/>
          <w:color w:val="auto"/>
          <w:spacing w:val="0"/>
          <w:sz w:val="36"/>
          <w:szCs w:val="36"/>
          <w:highlight w:val="none"/>
          <w:lang w:val="en-US" w:eastAsia="zh-CN"/>
        </w:rPr>
        <w:t>第一章 询价公告</w:t>
      </w:r>
      <w:bookmarkEnd w:id="0"/>
    </w:p>
    <w:p w14:paraId="6EB49E6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Style w:val="19"/>
          <w:rFonts w:hint="eastAsia" w:asciiTheme="majorEastAsia" w:hAnsiTheme="majorEastAsia" w:eastAsiaTheme="majorEastAsia" w:cstheme="majorEastAsia"/>
          <w:i w:val="0"/>
          <w:iCs w:val="0"/>
          <w:caps w:val="0"/>
          <w:color w:val="auto"/>
          <w:spacing w:val="0"/>
          <w:sz w:val="36"/>
          <w:szCs w:val="36"/>
          <w:highlight w:val="none"/>
          <w:lang w:val="en-US" w:eastAsia="zh-CN"/>
        </w:rPr>
      </w:pPr>
      <w:r>
        <w:rPr>
          <w:rStyle w:val="19"/>
          <w:rFonts w:hint="eastAsia" w:asciiTheme="majorEastAsia" w:hAnsiTheme="majorEastAsia" w:eastAsiaTheme="majorEastAsia" w:cstheme="majorEastAsia"/>
          <w:i w:val="0"/>
          <w:iCs w:val="0"/>
          <w:caps w:val="0"/>
          <w:color w:val="auto"/>
          <w:spacing w:val="0"/>
          <w:sz w:val="36"/>
          <w:szCs w:val="36"/>
          <w:highlight w:val="none"/>
        </w:rPr>
        <w:t>赣州交控“十五五”规划编制</w:t>
      </w:r>
      <w:r>
        <w:rPr>
          <w:rStyle w:val="19"/>
          <w:rFonts w:hint="eastAsia" w:asciiTheme="majorEastAsia" w:hAnsiTheme="majorEastAsia" w:eastAsiaTheme="majorEastAsia" w:cstheme="majorEastAsia"/>
          <w:i w:val="0"/>
          <w:iCs w:val="0"/>
          <w:caps w:val="0"/>
          <w:color w:val="auto"/>
          <w:spacing w:val="0"/>
          <w:sz w:val="36"/>
          <w:szCs w:val="36"/>
          <w:highlight w:val="none"/>
          <w:lang w:val="en-US" w:eastAsia="zh-CN"/>
        </w:rPr>
        <w:t>服务询价公告</w:t>
      </w:r>
    </w:p>
    <w:p w14:paraId="1E6F90E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textAlignment w:val="auto"/>
        <w:outlineLvl w:val="1"/>
        <w:rPr>
          <w:rFonts w:hint="eastAsia" w:ascii="微软雅黑" w:hAnsi="微软雅黑" w:eastAsia="微软雅黑" w:cs="微软雅黑"/>
          <w:i w:val="0"/>
          <w:iCs w:val="0"/>
          <w:caps w:val="0"/>
          <w:color w:val="auto"/>
          <w:spacing w:val="0"/>
          <w:sz w:val="24"/>
          <w:szCs w:val="24"/>
          <w:highlight w:val="none"/>
        </w:rPr>
      </w:pPr>
      <w:bookmarkStart w:id="1" w:name="_Toc528"/>
      <w:r>
        <w:rPr>
          <w:rStyle w:val="19"/>
          <w:rFonts w:hint="eastAsia" w:ascii="宋体" w:hAnsi="宋体" w:eastAsia="宋体" w:cs="宋体"/>
          <w:i w:val="0"/>
          <w:iCs w:val="0"/>
          <w:caps w:val="0"/>
          <w:color w:val="auto"/>
          <w:spacing w:val="0"/>
          <w:sz w:val="24"/>
          <w:szCs w:val="24"/>
          <w:highlight w:val="none"/>
        </w:rPr>
        <w:t>一、询价条件</w:t>
      </w:r>
      <w:bookmarkEnd w:id="1"/>
    </w:p>
    <w:p w14:paraId="07D72A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lang w:eastAsia="zh-CN"/>
        </w:rPr>
        <w:t>因工作需要，现开展赣州交控“十五五”规划编制服务（以下简称“本项目”）询价，资金来源已落实，该项目已具备询价条件，现对本项目进行公开询价。</w:t>
      </w:r>
    </w:p>
    <w:p w14:paraId="4BFDC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lang w:eastAsia="zh-CN"/>
        </w:rPr>
        <w:t>本次询价项目名称：赣州交控“十五五”规划编制服务。询价人：赣州交通控股集团有限公司。</w:t>
      </w:r>
    </w:p>
    <w:p w14:paraId="2EDDD5A0">
      <w:pPr>
        <w:rPr>
          <w:rFonts w:hint="eastAsia"/>
          <w:highlight w:val="none"/>
          <w:lang w:eastAsia="zh-CN"/>
        </w:rPr>
      </w:pPr>
    </w:p>
    <w:p w14:paraId="1B7BD6E8">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bookmarkStart w:id="2" w:name="_Toc29924"/>
      <w:r>
        <w:rPr>
          <w:rStyle w:val="19"/>
          <w:rFonts w:hint="eastAsia" w:ascii="宋体" w:hAnsi="宋体" w:eastAsia="宋体" w:cs="宋体"/>
          <w:i w:val="0"/>
          <w:iCs w:val="0"/>
          <w:caps w:val="0"/>
          <w:color w:val="auto"/>
          <w:spacing w:val="0"/>
          <w:sz w:val="24"/>
          <w:szCs w:val="24"/>
          <w:highlight w:val="none"/>
          <w:lang w:val="en-US" w:eastAsia="zh-CN"/>
        </w:rPr>
        <w:t>询价人概况</w:t>
      </w:r>
      <w:bookmarkEnd w:id="2"/>
    </w:p>
    <w:p w14:paraId="5C84E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lang w:eastAsia="zh-CN"/>
        </w:rPr>
        <w:t>赣州交通控股集团</w:t>
      </w:r>
      <w:r>
        <w:rPr>
          <w:rFonts w:hint="eastAsia" w:cs="宋体"/>
          <w:b w:val="0"/>
          <w:bCs w:val="0"/>
          <w:i w:val="0"/>
          <w:iCs w:val="0"/>
          <w:caps w:val="0"/>
          <w:color w:val="auto"/>
          <w:spacing w:val="0"/>
          <w:sz w:val="24"/>
          <w:szCs w:val="24"/>
          <w:highlight w:val="none"/>
          <w:shd w:val="clear" w:fill="FFFFFF"/>
          <w:lang w:val="en-US" w:eastAsia="zh-CN"/>
        </w:rPr>
        <w:t>有限公司（简称“赣州交控集团”）</w:t>
      </w:r>
      <w:r>
        <w:rPr>
          <w:rFonts w:hint="eastAsia" w:ascii="宋体" w:hAnsi="宋体" w:eastAsia="宋体" w:cs="宋体"/>
          <w:b w:val="0"/>
          <w:bCs w:val="0"/>
          <w:i w:val="0"/>
          <w:iCs w:val="0"/>
          <w:caps w:val="0"/>
          <w:color w:val="auto"/>
          <w:spacing w:val="0"/>
          <w:sz w:val="24"/>
          <w:szCs w:val="24"/>
          <w:highlight w:val="none"/>
          <w:shd w:val="clear" w:fill="FFFFFF"/>
          <w:lang w:eastAsia="zh-CN"/>
        </w:rPr>
        <w:t>成立于2018年6月，是按照赣州市委、市政府市属国有企业整合重组安排，由赣州高速公司、赣州航空服务公司、赣州铁路投资公司等全市7家交通领域企业整合重组而成，是全市交通基础设施投资、建设、经营和管理主体</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lang w:eastAsia="zh-CN"/>
        </w:rPr>
        <w:t>2021年赣南勘察设计院和江西诚正咨询公司（原诚正监理公司）2家“事改企”整体划入集团，</w:t>
      </w:r>
      <w:r>
        <w:rPr>
          <w:rFonts w:hint="eastAsia" w:cs="宋体"/>
          <w:b w:val="0"/>
          <w:bCs w:val="0"/>
          <w:i w:val="0"/>
          <w:iCs w:val="0"/>
          <w:caps w:val="0"/>
          <w:color w:val="auto"/>
          <w:spacing w:val="0"/>
          <w:sz w:val="24"/>
          <w:szCs w:val="24"/>
          <w:highlight w:val="none"/>
          <w:shd w:val="clear" w:fill="FFFFFF"/>
          <w:lang w:val="en-US" w:eastAsia="zh-CN"/>
        </w:rPr>
        <w:t>2024年组建产投平台赣州交控产业投资公司</w:t>
      </w:r>
      <w:r>
        <w:rPr>
          <w:rFonts w:hint="eastAsia" w:ascii="宋体" w:hAnsi="宋体" w:eastAsia="宋体" w:cs="宋体"/>
          <w:b w:val="0"/>
          <w:bCs w:val="0"/>
          <w:i w:val="0"/>
          <w:iCs w:val="0"/>
          <w:caps w:val="0"/>
          <w:color w:val="auto"/>
          <w:spacing w:val="0"/>
          <w:sz w:val="24"/>
          <w:szCs w:val="24"/>
          <w:highlight w:val="none"/>
          <w:shd w:val="clear" w:fill="FFFFFF"/>
          <w:lang w:eastAsia="zh-CN"/>
        </w:rPr>
        <w:t>。截止2024年底，</w:t>
      </w:r>
      <w:r>
        <w:rPr>
          <w:rFonts w:hint="eastAsia" w:cs="宋体"/>
          <w:b w:val="0"/>
          <w:bCs w:val="0"/>
          <w:i w:val="0"/>
          <w:iCs w:val="0"/>
          <w:caps w:val="0"/>
          <w:color w:val="auto"/>
          <w:spacing w:val="0"/>
          <w:sz w:val="24"/>
          <w:szCs w:val="24"/>
          <w:highlight w:val="none"/>
          <w:shd w:val="clear" w:fill="FFFFFF"/>
          <w:lang w:val="en-US" w:eastAsia="zh-CN"/>
        </w:rPr>
        <w:t>赣州交控</w:t>
      </w:r>
      <w:r>
        <w:rPr>
          <w:rFonts w:hint="eastAsia" w:ascii="宋体" w:hAnsi="宋体" w:eastAsia="宋体" w:cs="宋体"/>
          <w:b w:val="0"/>
          <w:bCs w:val="0"/>
          <w:i w:val="0"/>
          <w:iCs w:val="0"/>
          <w:caps w:val="0"/>
          <w:color w:val="auto"/>
          <w:spacing w:val="0"/>
          <w:sz w:val="24"/>
          <w:szCs w:val="24"/>
          <w:highlight w:val="none"/>
          <w:shd w:val="clear" w:fill="FFFFFF"/>
          <w:lang w:eastAsia="zh-CN"/>
        </w:rPr>
        <w:t>集团注册资本金12亿元，资产总额397.05亿元，净资产122.41亿元，主体信用评级为AA+，是江西省内三大高速公路投融资建设运营平台之一，江西第二大航空服务平台。</w:t>
      </w:r>
      <w:r>
        <w:rPr>
          <w:rFonts w:hint="eastAsia" w:cs="宋体"/>
          <w:b w:val="0"/>
          <w:bCs w:val="0"/>
          <w:i w:val="0"/>
          <w:iCs w:val="0"/>
          <w:caps w:val="0"/>
          <w:color w:val="auto"/>
          <w:spacing w:val="0"/>
          <w:sz w:val="24"/>
          <w:szCs w:val="24"/>
          <w:highlight w:val="none"/>
          <w:shd w:val="clear" w:fill="FFFFFF"/>
          <w:lang w:val="en-US" w:eastAsia="zh-CN"/>
        </w:rPr>
        <w:t>旗下共有</w:t>
      </w:r>
      <w:r>
        <w:rPr>
          <w:rFonts w:hint="eastAsia" w:ascii="宋体" w:hAnsi="宋体" w:eastAsia="宋体" w:cs="宋体"/>
          <w:b w:val="0"/>
          <w:bCs w:val="0"/>
          <w:i w:val="0"/>
          <w:iCs w:val="0"/>
          <w:caps w:val="0"/>
          <w:color w:val="auto"/>
          <w:spacing w:val="0"/>
          <w:sz w:val="24"/>
          <w:szCs w:val="24"/>
          <w:highlight w:val="none"/>
          <w:shd w:val="clear" w:fill="FFFFFF"/>
          <w:lang w:eastAsia="zh-CN"/>
        </w:rPr>
        <w:t>全资</w:t>
      </w:r>
      <w:r>
        <w:rPr>
          <w:rFonts w:hint="eastAsia" w:cs="宋体"/>
          <w:b w:val="0"/>
          <w:bCs w:val="0"/>
          <w:i w:val="0"/>
          <w:iCs w:val="0"/>
          <w:caps w:val="0"/>
          <w:color w:val="auto"/>
          <w:spacing w:val="0"/>
          <w:sz w:val="24"/>
          <w:szCs w:val="24"/>
          <w:highlight w:val="none"/>
          <w:shd w:val="clear" w:fill="FFFFFF"/>
          <w:lang w:val="en-US" w:eastAsia="zh-CN"/>
        </w:rPr>
        <w:t>及</w:t>
      </w:r>
      <w:r>
        <w:rPr>
          <w:rFonts w:hint="eastAsia" w:ascii="宋体" w:hAnsi="宋体" w:eastAsia="宋体" w:cs="宋体"/>
          <w:b w:val="0"/>
          <w:bCs w:val="0"/>
          <w:i w:val="0"/>
          <w:iCs w:val="0"/>
          <w:caps w:val="0"/>
          <w:color w:val="auto"/>
          <w:spacing w:val="0"/>
          <w:sz w:val="24"/>
          <w:szCs w:val="24"/>
          <w:highlight w:val="none"/>
          <w:shd w:val="clear" w:fill="FFFFFF"/>
          <w:lang w:eastAsia="zh-CN"/>
        </w:rPr>
        <w:t>控股子公司2</w:t>
      </w:r>
      <w:r>
        <w:rPr>
          <w:rFonts w:hint="eastAsia" w:ascii="宋体" w:hAnsi="宋体" w:eastAsia="宋体" w:cs="宋体"/>
          <w:b w:val="0"/>
          <w:bCs w:val="0"/>
          <w:i w:val="0"/>
          <w:iCs w:val="0"/>
          <w:caps w:val="0"/>
          <w:color w:val="auto"/>
          <w:spacing w:val="0"/>
          <w:sz w:val="24"/>
          <w:szCs w:val="24"/>
          <w:highlight w:val="none"/>
          <w:shd w:val="clear" w:fill="FFFFFF"/>
          <w:lang w:val="en-US" w:eastAsia="zh-CN"/>
        </w:rPr>
        <w:t>0</w:t>
      </w:r>
      <w:r>
        <w:rPr>
          <w:rFonts w:hint="eastAsia" w:ascii="宋体" w:hAnsi="宋体" w:eastAsia="宋体" w:cs="宋体"/>
          <w:b w:val="0"/>
          <w:bCs w:val="0"/>
          <w:i w:val="0"/>
          <w:iCs w:val="0"/>
          <w:caps w:val="0"/>
          <w:color w:val="auto"/>
          <w:spacing w:val="0"/>
          <w:sz w:val="24"/>
          <w:szCs w:val="24"/>
          <w:highlight w:val="none"/>
          <w:shd w:val="clear" w:fill="FFFFFF"/>
          <w:lang w:eastAsia="zh-CN"/>
        </w:rPr>
        <w:t>家，参股公司</w:t>
      </w:r>
      <w:r>
        <w:rPr>
          <w:rFonts w:hint="eastAsia" w:cs="宋体"/>
          <w:b w:val="0"/>
          <w:bCs w:val="0"/>
          <w:i w:val="0"/>
          <w:iCs w:val="0"/>
          <w:caps w:val="0"/>
          <w:color w:val="auto"/>
          <w:spacing w:val="0"/>
          <w:sz w:val="24"/>
          <w:szCs w:val="24"/>
          <w:highlight w:val="none"/>
          <w:shd w:val="clear" w:fill="FFFFFF"/>
          <w:lang w:val="en-US" w:eastAsia="zh-CN"/>
        </w:rPr>
        <w:t>10</w:t>
      </w:r>
      <w:r>
        <w:rPr>
          <w:rFonts w:hint="eastAsia" w:ascii="宋体" w:hAnsi="宋体" w:eastAsia="宋体" w:cs="宋体"/>
          <w:b w:val="0"/>
          <w:bCs w:val="0"/>
          <w:i w:val="0"/>
          <w:iCs w:val="0"/>
          <w:caps w:val="0"/>
          <w:color w:val="auto"/>
          <w:spacing w:val="0"/>
          <w:sz w:val="24"/>
          <w:szCs w:val="24"/>
          <w:highlight w:val="none"/>
          <w:shd w:val="clear" w:fill="FFFFFF"/>
          <w:lang w:eastAsia="zh-CN"/>
        </w:rPr>
        <w:t>家</w:t>
      </w: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目前，</w:t>
      </w:r>
      <w:r>
        <w:rPr>
          <w:rFonts w:hint="eastAsia" w:ascii="宋体" w:hAnsi="宋体" w:eastAsia="宋体" w:cs="宋体"/>
          <w:b w:val="0"/>
          <w:bCs w:val="0"/>
          <w:i w:val="0"/>
          <w:iCs w:val="0"/>
          <w:caps w:val="0"/>
          <w:color w:val="auto"/>
          <w:spacing w:val="0"/>
          <w:sz w:val="24"/>
          <w:szCs w:val="24"/>
          <w:highlight w:val="none"/>
          <w:shd w:val="clear" w:fill="FFFFFF"/>
          <w:lang w:eastAsia="zh-CN"/>
        </w:rPr>
        <w:t>通车里程达638公里，实际管养里程达49</w:t>
      </w:r>
      <w:r>
        <w:rPr>
          <w:rFonts w:hint="eastAsia" w:cs="宋体"/>
          <w:b w:val="0"/>
          <w:bCs w:val="0"/>
          <w:i w:val="0"/>
          <w:iCs w:val="0"/>
          <w:caps w:val="0"/>
          <w:color w:val="auto"/>
          <w:spacing w:val="0"/>
          <w:sz w:val="24"/>
          <w:szCs w:val="24"/>
          <w:highlight w:val="none"/>
          <w:shd w:val="clear"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fill="FFFFFF"/>
          <w:lang w:eastAsia="zh-CN"/>
        </w:rPr>
        <w:t>公里，共辖10对服务区、27个收费站。</w:t>
      </w:r>
    </w:p>
    <w:p w14:paraId="13C9D3EA">
      <w:pPr>
        <w:rPr>
          <w:rFonts w:hint="default"/>
          <w:highlight w:val="none"/>
          <w:lang w:val="en-US" w:eastAsia="zh-CN"/>
        </w:rPr>
      </w:pPr>
    </w:p>
    <w:p w14:paraId="5FE336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rPr>
      </w:pPr>
      <w:bookmarkStart w:id="3" w:name="_Toc3842"/>
      <w:r>
        <w:rPr>
          <w:rStyle w:val="19"/>
          <w:rFonts w:hint="eastAsia" w:ascii="宋体" w:hAnsi="宋体" w:eastAsia="宋体" w:cs="宋体"/>
          <w:i w:val="0"/>
          <w:iCs w:val="0"/>
          <w:caps w:val="0"/>
          <w:color w:val="auto"/>
          <w:spacing w:val="0"/>
          <w:sz w:val="24"/>
          <w:szCs w:val="24"/>
          <w:highlight w:val="none"/>
          <w:lang w:val="en-US" w:eastAsia="zh-CN"/>
        </w:rPr>
        <w:t>三</w:t>
      </w:r>
      <w:r>
        <w:rPr>
          <w:rStyle w:val="19"/>
          <w:rFonts w:hint="eastAsia" w:ascii="宋体" w:hAnsi="宋体" w:eastAsia="宋体" w:cs="宋体"/>
          <w:i w:val="0"/>
          <w:iCs w:val="0"/>
          <w:caps w:val="0"/>
          <w:color w:val="auto"/>
          <w:spacing w:val="0"/>
          <w:sz w:val="24"/>
          <w:szCs w:val="24"/>
          <w:highlight w:val="none"/>
        </w:rPr>
        <w:t>、</w:t>
      </w:r>
      <w:r>
        <w:rPr>
          <w:rStyle w:val="19"/>
          <w:rFonts w:hint="eastAsia" w:ascii="宋体" w:hAnsi="宋体" w:eastAsia="宋体" w:cs="宋体"/>
          <w:i w:val="0"/>
          <w:iCs w:val="0"/>
          <w:caps w:val="0"/>
          <w:color w:val="auto"/>
          <w:spacing w:val="0"/>
          <w:sz w:val="24"/>
          <w:szCs w:val="24"/>
          <w:highlight w:val="none"/>
          <w:lang w:val="en-US" w:eastAsia="zh-CN"/>
        </w:rPr>
        <w:t>主要</w:t>
      </w:r>
      <w:r>
        <w:rPr>
          <w:rStyle w:val="19"/>
          <w:rFonts w:hint="eastAsia" w:ascii="宋体" w:hAnsi="宋体" w:eastAsia="宋体" w:cs="宋体"/>
          <w:i w:val="0"/>
          <w:iCs w:val="0"/>
          <w:caps w:val="0"/>
          <w:color w:val="auto"/>
          <w:spacing w:val="0"/>
          <w:sz w:val="24"/>
          <w:szCs w:val="24"/>
          <w:highlight w:val="none"/>
        </w:rPr>
        <w:t>服务内容及要求</w:t>
      </w:r>
      <w:bookmarkEnd w:id="3"/>
    </w:p>
    <w:p w14:paraId="2B5D9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主要</w:t>
      </w:r>
      <w:r>
        <w:rPr>
          <w:rFonts w:hint="eastAsia" w:ascii="宋体" w:hAnsi="宋体" w:eastAsia="宋体" w:cs="宋体"/>
          <w:b w:val="0"/>
          <w:bCs w:val="0"/>
          <w:i w:val="0"/>
          <w:iCs w:val="0"/>
          <w:caps w:val="0"/>
          <w:color w:val="auto"/>
          <w:spacing w:val="0"/>
          <w:sz w:val="24"/>
          <w:szCs w:val="24"/>
          <w:highlight w:val="none"/>
          <w:shd w:val="clear" w:fill="FFFFFF"/>
        </w:rPr>
        <w:t>服务内容</w:t>
      </w: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包括但不限于</w:t>
      </w:r>
      <w:r>
        <w:rPr>
          <w:rFonts w:hint="eastAsia" w:ascii="宋体" w:hAnsi="宋体" w:eastAsia="宋体" w:cs="宋体"/>
          <w:b w:val="0"/>
          <w:bCs w:val="0"/>
          <w:i w:val="0"/>
          <w:iCs w:val="0"/>
          <w:caps w:val="0"/>
          <w:color w:val="auto"/>
          <w:spacing w:val="0"/>
          <w:sz w:val="24"/>
          <w:szCs w:val="24"/>
          <w:highlight w:val="none"/>
          <w:shd w:val="clear" w:fill="FFFFFF"/>
        </w:rPr>
        <w:t>: </w:t>
      </w:r>
    </w:p>
    <w:p w14:paraId="0D126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1</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根据出资监管单位“十五五”发展规划编制要求，并结合集团实际情况，编制具有前瞻性，发展定位科学、发展目标合理、发展路径和举措具有可行性和可操作性的集团“十五五”发展规划。报告内容包括但不限于：①发展现状，即企业基本情况、发展基础、发展环境、行业对标及竞争分析等；②总体要求、战略定位、发展目标；③产业布局安排，即发展目标、路径举措、重点任务、重大工程项目等；④规划实施保障。</w:t>
      </w:r>
    </w:p>
    <w:p w14:paraId="73F43A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2</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“十五五”中期，根据出资监管单位的工作部署节点要求，应全面、准确、客观总结集团“十五五”中期发展情况，提出有效的目标、举措，完成集团“十五五”发展规划中期评估及调整。</w:t>
      </w:r>
    </w:p>
    <w:p w14:paraId="576076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3</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“十五五”规划期第5年开展总结评估，对集团“十五五”规划执行情况、重大工程项目实施情况、重点任务完成情况进行分析，</w:t>
      </w:r>
      <w:r>
        <w:rPr>
          <w:rFonts w:hint="eastAsia" w:cs="宋体"/>
          <w:b w:val="0"/>
          <w:bCs w:val="0"/>
          <w:i w:val="0"/>
          <w:iCs w:val="0"/>
          <w:caps w:val="0"/>
          <w:color w:val="auto"/>
          <w:spacing w:val="0"/>
          <w:sz w:val="24"/>
          <w:szCs w:val="24"/>
          <w:highlight w:val="none"/>
          <w:shd w:val="clear" w:fill="FFFFFF"/>
          <w:lang w:val="en-US" w:eastAsia="zh-CN"/>
        </w:rPr>
        <w:t>并总结分析</w:t>
      </w:r>
      <w:r>
        <w:rPr>
          <w:rFonts w:hint="eastAsia" w:ascii="宋体" w:hAnsi="宋体" w:eastAsia="宋体" w:cs="宋体"/>
          <w:b w:val="0"/>
          <w:bCs w:val="0"/>
          <w:i w:val="0"/>
          <w:iCs w:val="0"/>
          <w:caps w:val="0"/>
          <w:color w:val="auto"/>
          <w:spacing w:val="0"/>
          <w:sz w:val="24"/>
          <w:szCs w:val="24"/>
          <w:highlight w:val="none"/>
          <w:shd w:val="clear" w:fill="FFFFFF"/>
        </w:rPr>
        <w:t>集团短板及主要问题</w:t>
      </w:r>
      <w:r>
        <w:rPr>
          <w:rFonts w:hint="eastAsia" w:cs="宋体"/>
          <w:b w:val="0"/>
          <w:bCs w:val="0"/>
          <w:i w:val="0"/>
          <w:iCs w:val="0"/>
          <w:caps w:val="0"/>
          <w:color w:val="auto"/>
          <w:spacing w:val="0"/>
          <w:sz w:val="24"/>
          <w:szCs w:val="24"/>
          <w:highlight w:val="none"/>
          <w:shd w:val="clear"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fill="FFFFFF"/>
        </w:rPr>
        <w:t>。</w:t>
      </w:r>
    </w:p>
    <w:p w14:paraId="6F59D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4</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结合集团具体情况，编制物流和低空经济产业专项规划报告，提供能落地的举措。</w:t>
      </w:r>
    </w:p>
    <w:p w14:paraId="74E92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5</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提供与集团“十五五”发展规划编制、落地、评价、宣贯等相关跟踪</w:t>
      </w:r>
      <w:r>
        <w:rPr>
          <w:rFonts w:hint="eastAsia" w:cs="宋体"/>
          <w:b w:val="0"/>
          <w:bCs w:val="0"/>
          <w:i w:val="0"/>
          <w:iCs w:val="0"/>
          <w:caps w:val="0"/>
          <w:color w:val="auto"/>
          <w:spacing w:val="0"/>
          <w:sz w:val="24"/>
          <w:szCs w:val="24"/>
          <w:highlight w:val="none"/>
          <w:shd w:val="clear" w:fill="FFFFFF"/>
          <w:lang w:val="en-US" w:eastAsia="zh-CN"/>
        </w:rPr>
        <w:t>咨询服务</w:t>
      </w:r>
      <w:r>
        <w:rPr>
          <w:rFonts w:hint="eastAsia" w:ascii="宋体" w:hAnsi="宋体" w:eastAsia="宋体" w:cs="宋体"/>
          <w:b w:val="0"/>
          <w:bCs w:val="0"/>
          <w:i w:val="0"/>
          <w:iCs w:val="0"/>
          <w:caps w:val="0"/>
          <w:color w:val="auto"/>
          <w:spacing w:val="0"/>
          <w:sz w:val="24"/>
          <w:szCs w:val="24"/>
          <w:highlight w:val="none"/>
          <w:shd w:val="clear" w:fill="FFFFFF"/>
        </w:rPr>
        <w:t>，并结合每年发展规划执行情况，形成年度发展规划执行情况</w:t>
      </w:r>
      <w:r>
        <w:rPr>
          <w:rFonts w:hint="eastAsia" w:cs="宋体"/>
          <w:b w:val="0"/>
          <w:bCs w:val="0"/>
          <w:i w:val="0"/>
          <w:iCs w:val="0"/>
          <w:caps w:val="0"/>
          <w:color w:val="auto"/>
          <w:spacing w:val="0"/>
          <w:sz w:val="24"/>
          <w:szCs w:val="24"/>
          <w:highlight w:val="none"/>
          <w:shd w:val="clear" w:fill="FFFFFF"/>
          <w:lang w:val="en-US" w:eastAsia="zh-CN"/>
        </w:rPr>
        <w:t>报告</w:t>
      </w:r>
      <w:r>
        <w:rPr>
          <w:rFonts w:hint="eastAsia" w:ascii="宋体" w:hAnsi="宋体" w:eastAsia="宋体" w:cs="宋体"/>
          <w:b w:val="0"/>
          <w:bCs w:val="0"/>
          <w:i w:val="0"/>
          <w:iCs w:val="0"/>
          <w:caps w:val="0"/>
          <w:color w:val="auto"/>
          <w:spacing w:val="0"/>
          <w:sz w:val="24"/>
          <w:szCs w:val="24"/>
          <w:highlight w:val="none"/>
          <w:shd w:val="clear" w:fill="FFFFFF"/>
        </w:rPr>
        <w:t>。</w:t>
      </w:r>
    </w:p>
    <w:p w14:paraId="29A0A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s="宋体"/>
          <w:b w:val="0"/>
          <w:bCs w:val="0"/>
          <w:i w:val="0"/>
          <w:iCs w:val="0"/>
          <w:caps w:val="0"/>
          <w:color w:val="auto"/>
          <w:spacing w:val="0"/>
          <w:sz w:val="24"/>
          <w:szCs w:val="24"/>
          <w:highlight w:val="none"/>
          <w:shd w:val="clear" w:fill="FFFFFF"/>
          <w:lang w:eastAsia="zh-CN"/>
        </w:rPr>
      </w:pP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6）</w:t>
      </w:r>
      <w:r>
        <w:rPr>
          <w:rFonts w:hint="eastAsia" w:cs="宋体"/>
          <w:b w:val="0"/>
          <w:bCs w:val="0"/>
          <w:i w:val="0"/>
          <w:iCs w:val="0"/>
          <w:caps w:val="0"/>
          <w:color w:val="auto"/>
          <w:spacing w:val="0"/>
          <w:sz w:val="24"/>
          <w:szCs w:val="24"/>
          <w:highlight w:val="none"/>
          <w:shd w:val="clear" w:fill="FFFFFF"/>
          <w:lang w:eastAsia="zh-CN"/>
        </w:rPr>
        <w:t>各阶段任务完成过程中，根据</w:t>
      </w:r>
      <w:r>
        <w:rPr>
          <w:rFonts w:hint="eastAsia" w:cs="宋体"/>
          <w:b w:val="0"/>
          <w:bCs w:val="0"/>
          <w:i w:val="0"/>
          <w:iCs w:val="0"/>
          <w:caps w:val="0"/>
          <w:color w:val="auto"/>
          <w:spacing w:val="0"/>
          <w:sz w:val="24"/>
          <w:szCs w:val="24"/>
          <w:highlight w:val="none"/>
          <w:shd w:val="clear" w:fill="FFFFFF"/>
          <w:lang w:val="en-US" w:eastAsia="zh-CN"/>
        </w:rPr>
        <w:t>询价人</w:t>
      </w:r>
      <w:r>
        <w:rPr>
          <w:rFonts w:hint="eastAsia" w:cs="宋体"/>
          <w:b w:val="0"/>
          <w:bCs w:val="0"/>
          <w:i w:val="0"/>
          <w:iCs w:val="0"/>
          <w:caps w:val="0"/>
          <w:color w:val="auto"/>
          <w:spacing w:val="0"/>
          <w:sz w:val="24"/>
          <w:szCs w:val="24"/>
          <w:highlight w:val="none"/>
          <w:shd w:val="clear" w:fill="FFFFFF"/>
          <w:lang w:eastAsia="zh-CN"/>
        </w:rPr>
        <w:t>提出的修改意见或因其他修改的需要，准确高效完成相关修改任务。</w:t>
      </w:r>
    </w:p>
    <w:p w14:paraId="69DCA82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、相关要求</w:t>
      </w:r>
    </w:p>
    <w:p w14:paraId="05B41E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（1）</w:t>
      </w:r>
      <w:r>
        <w:rPr>
          <w:rFonts w:hint="eastAsia" w:ascii="宋体" w:hAnsi="宋体" w:eastAsia="宋体" w:cs="宋体"/>
          <w:i w:val="0"/>
          <w:iCs w:val="0"/>
          <w:caps w:val="0"/>
          <w:color w:val="auto"/>
          <w:spacing w:val="0"/>
          <w:sz w:val="24"/>
          <w:szCs w:val="24"/>
          <w:highlight w:val="none"/>
          <w:shd w:val="clear" w:fill="FFFFFF"/>
        </w:rPr>
        <w:t>服务时间:合同签订之日至</w:t>
      </w:r>
      <w:r>
        <w:rPr>
          <w:rFonts w:hint="eastAsia" w:ascii="宋体" w:hAnsi="宋体" w:eastAsia="宋体" w:cs="宋体"/>
          <w:i w:val="0"/>
          <w:iCs w:val="0"/>
          <w:caps w:val="0"/>
          <w:color w:val="auto"/>
          <w:spacing w:val="0"/>
          <w:sz w:val="24"/>
          <w:szCs w:val="24"/>
          <w:highlight w:val="none"/>
          <w:shd w:val="clear" w:fill="FFFFFF"/>
          <w:lang w:val="en-US" w:eastAsia="zh-CN"/>
        </w:rPr>
        <w:t>2030年12月31日</w:t>
      </w:r>
      <w:r>
        <w:rPr>
          <w:rFonts w:hint="eastAsia" w:ascii="宋体" w:hAnsi="宋体" w:eastAsia="宋体" w:cs="宋体"/>
          <w:i w:val="0"/>
          <w:iCs w:val="0"/>
          <w:caps w:val="0"/>
          <w:color w:val="auto"/>
          <w:spacing w:val="0"/>
          <w:sz w:val="24"/>
          <w:szCs w:val="24"/>
          <w:highlight w:val="none"/>
          <w:shd w:val="clear" w:fill="FFFFFF"/>
        </w:rPr>
        <w:t>。</w:t>
      </w:r>
    </w:p>
    <w:p w14:paraId="300C8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w:t>
      </w:r>
      <w:r>
        <w:rPr>
          <w:rFonts w:hint="eastAsia" w:cs="宋体"/>
          <w:b w:val="0"/>
          <w:bCs w:val="0"/>
          <w:i w:val="0"/>
          <w:iCs w:val="0"/>
          <w:caps w:val="0"/>
          <w:color w:val="auto"/>
          <w:spacing w:val="0"/>
          <w:kern w:val="0"/>
          <w:sz w:val="24"/>
          <w:szCs w:val="24"/>
          <w:highlight w:val="none"/>
          <w:shd w:val="clear" w:fill="FFFFFF"/>
          <w:lang w:val="en-US" w:eastAsia="zh-CN" w:bidi="ar"/>
        </w:rPr>
        <w:t>2</w:t>
      </w: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w:t>
      </w:r>
      <w:r>
        <w:rPr>
          <w:rFonts w:hint="eastAsia" w:ascii="宋体" w:hAnsi="宋体" w:eastAsia="宋体" w:cs="宋体"/>
          <w:b w:val="0"/>
          <w:bCs w:val="0"/>
          <w:i w:val="0"/>
          <w:iCs w:val="0"/>
          <w:caps w:val="0"/>
          <w:color w:val="auto"/>
          <w:spacing w:val="0"/>
          <w:sz w:val="24"/>
          <w:szCs w:val="24"/>
          <w:highlight w:val="none"/>
          <w:shd w:val="clear" w:fill="FFFFFF"/>
        </w:rPr>
        <w:t>成果</w:t>
      </w:r>
      <w:r>
        <w:rPr>
          <w:rFonts w:hint="eastAsia" w:cs="宋体"/>
          <w:b w:val="0"/>
          <w:bCs w:val="0"/>
          <w:i w:val="0"/>
          <w:iCs w:val="0"/>
          <w:caps w:val="0"/>
          <w:color w:val="auto"/>
          <w:spacing w:val="0"/>
          <w:sz w:val="24"/>
          <w:szCs w:val="24"/>
          <w:highlight w:val="none"/>
          <w:shd w:val="clear" w:fill="FFFFFF"/>
          <w:lang w:val="en-US" w:eastAsia="zh-CN"/>
        </w:rPr>
        <w:t>内容</w:t>
      </w:r>
      <w:r>
        <w:rPr>
          <w:rFonts w:hint="eastAsia" w:ascii="宋体" w:hAnsi="宋体" w:eastAsia="宋体" w:cs="宋体"/>
          <w:b w:val="0"/>
          <w:bCs w:val="0"/>
          <w:i w:val="0"/>
          <w:iCs w:val="0"/>
          <w:caps w:val="0"/>
          <w:color w:val="auto"/>
          <w:spacing w:val="0"/>
          <w:sz w:val="24"/>
          <w:szCs w:val="24"/>
          <w:highlight w:val="none"/>
          <w:shd w:val="clear" w:fill="FFFFFF"/>
        </w:rPr>
        <w:t>：</w:t>
      </w:r>
    </w:p>
    <w:p w14:paraId="30492DB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eastAsia="宋体"/>
          <w:color w:val="auto"/>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成交人签订服务合同后，根据不同阶段提供以下成果报告：</w:t>
      </w:r>
    </w:p>
    <w:p w14:paraId="52CD6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①《赣州交通控股集团有限公司“十五五”发展规划报告》</w:t>
      </w:r>
    </w:p>
    <w:p w14:paraId="018EE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②《赣州交通控股集团有限公司“十五五”发展规划中期评估及调整报告》</w:t>
      </w:r>
    </w:p>
    <w:p w14:paraId="1A1F7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③《赣州交通控股集团有限公司“十五五”发展规划总结报告》</w:t>
      </w:r>
    </w:p>
    <w:p w14:paraId="0C086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仿宋_GB2312" w:hAnsi="仿宋_GB2312" w:eastAsia="仿宋_GB2312" w:cs="仿宋_GB2312"/>
          <w:b w:val="0"/>
          <w:bCs w:val="0"/>
          <w:i w:val="0"/>
          <w:iCs w:val="0"/>
          <w:caps w:val="0"/>
          <w:color w:val="auto"/>
          <w:spacing w:val="0"/>
          <w:sz w:val="24"/>
          <w:szCs w:val="24"/>
          <w:highlight w:val="none"/>
          <w:shd w:val="clear" w:fill="FFFFFF"/>
        </w:rPr>
        <w:t>④</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《赣州交通控股集团有限公司物流产业专项规划报告》</w:t>
      </w:r>
    </w:p>
    <w:p w14:paraId="1AF39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⑤《赣州交通控股集团有限公司低空经济产业专项规划报告》</w:t>
      </w:r>
    </w:p>
    <w:p w14:paraId="2E020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报价人提交的正式成果</w:t>
      </w:r>
      <w:r>
        <w:rPr>
          <w:rFonts w:hint="eastAsia" w:ascii="宋体" w:hAnsi="宋体" w:eastAsia="宋体" w:cs="宋体"/>
          <w:b w:val="0"/>
          <w:bCs w:val="0"/>
          <w:i w:val="0"/>
          <w:iCs w:val="0"/>
          <w:caps w:val="0"/>
          <w:color w:val="auto"/>
          <w:spacing w:val="0"/>
          <w:sz w:val="24"/>
          <w:szCs w:val="24"/>
          <w:highlight w:val="none"/>
          <w:shd w:val="clear" w:fill="FFFFFF"/>
          <w:lang w:val="en-US" w:eastAsia="zh-CN"/>
        </w:rPr>
        <w:t>报告</w:t>
      </w:r>
      <w:r>
        <w:rPr>
          <w:rFonts w:hint="eastAsia" w:ascii="宋体" w:hAnsi="宋体" w:eastAsia="宋体" w:cs="宋体"/>
          <w:b w:val="0"/>
          <w:bCs w:val="0"/>
          <w:i w:val="0"/>
          <w:iCs w:val="0"/>
          <w:caps w:val="0"/>
          <w:color w:val="auto"/>
          <w:spacing w:val="0"/>
          <w:sz w:val="24"/>
          <w:szCs w:val="24"/>
          <w:highlight w:val="none"/>
          <w:shd w:val="clear" w:fill="FFFFFF"/>
        </w:rPr>
        <w:t>应符合国家和地方相关标准、规范要求，如提供的成果</w:t>
      </w:r>
      <w:r>
        <w:rPr>
          <w:rFonts w:hint="eastAsia" w:ascii="宋体" w:hAnsi="宋体" w:eastAsia="宋体" w:cs="宋体"/>
          <w:b w:val="0"/>
          <w:bCs w:val="0"/>
          <w:i w:val="0"/>
          <w:iCs w:val="0"/>
          <w:caps w:val="0"/>
          <w:color w:val="auto"/>
          <w:spacing w:val="0"/>
          <w:sz w:val="24"/>
          <w:szCs w:val="24"/>
          <w:highlight w:val="none"/>
          <w:shd w:val="clear" w:fill="FFFFFF"/>
          <w:lang w:val="en-US" w:eastAsia="zh-CN"/>
        </w:rPr>
        <w:t>报告</w:t>
      </w:r>
      <w:r>
        <w:rPr>
          <w:rFonts w:hint="eastAsia" w:ascii="宋体" w:hAnsi="宋体" w:eastAsia="宋体" w:cs="宋体"/>
          <w:b w:val="0"/>
          <w:bCs w:val="0"/>
          <w:i w:val="0"/>
          <w:iCs w:val="0"/>
          <w:caps w:val="0"/>
          <w:color w:val="auto"/>
          <w:spacing w:val="0"/>
          <w:sz w:val="24"/>
          <w:szCs w:val="24"/>
          <w:highlight w:val="none"/>
          <w:shd w:val="clear" w:fill="FFFFFF"/>
        </w:rPr>
        <w:t>质量不合格，报价人应负责无偿给予</w:t>
      </w:r>
      <w:r>
        <w:rPr>
          <w:rFonts w:hint="eastAsia" w:cs="宋体"/>
          <w:b w:val="0"/>
          <w:bCs w:val="0"/>
          <w:i w:val="0"/>
          <w:iCs w:val="0"/>
          <w:caps w:val="0"/>
          <w:color w:val="auto"/>
          <w:spacing w:val="0"/>
          <w:sz w:val="24"/>
          <w:szCs w:val="24"/>
          <w:highlight w:val="none"/>
          <w:shd w:val="clear" w:fill="FFFFFF"/>
          <w:lang w:val="en-US" w:eastAsia="zh-CN"/>
        </w:rPr>
        <w:t>重新编制</w:t>
      </w:r>
      <w:r>
        <w:rPr>
          <w:rFonts w:hint="eastAsia" w:ascii="宋体" w:hAnsi="宋体" w:eastAsia="宋体" w:cs="宋体"/>
          <w:b w:val="0"/>
          <w:bCs w:val="0"/>
          <w:i w:val="0"/>
          <w:iCs w:val="0"/>
          <w:caps w:val="0"/>
          <w:color w:val="auto"/>
          <w:spacing w:val="0"/>
          <w:sz w:val="24"/>
          <w:szCs w:val="24"/>
          <w:highlight w:val="none"/>
          <w:shd w:val="clear" w:fill="FFFFFF"/>
        </w:rPr>
        <w:t>或采取补救措施，以达到质量要求。</w:t>
      </w:r>
    </w:p>
    <w:p w14:paraId="0C9C4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fill="FFFFFF"/>
          <w:lang w:val="en-US" w:eastAsia="zh-CN"/>
        </w:rPr>
        <w:t>提交成果报告形式包括但不限于：</w:t>
      </w:r>
    </w:p>
    <w:p w14:paraId="6D519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default" w:ascii="宋体" w:hAnsi="宋体" w:eastAsia="宋体" w:cs="宋体"/>
          <w:b w:val="0"/>
          <w:bCs w:val="0"/>
          <w:i w:val="0"/>
          <w:iCs w:val="0"/>
          <w:caps w:val="0"/>
          <w:color w:val="auto"/>
          <w:spacing w:val="0"/>
          <w:sz w:val="24"/>
          <w:szCs w:val="24"/>
          <w:highlight w:val="none"/>
          <w:shd w:val="clear" w:fill="FFFFFF"/>
          <w:lang w:val="en-US" w:eastAsia="zh-CN"/>
        </w:rPr>
        <w:t>①</w:t>
      </w:r>
      <w:r>
        <w:rPr>
          <w:rFonts w:hint="eastAsia" w:ascii="宋体" w:hAnsi="宋体" w:eastAsia="宋体" w:cs="宋体"/>
          <w:b w:val="0"/>
          <w:bCs w:val="0"/>
          <w:i w:val="0"/>
          <w:iCs w:val="0"/>
          <w:caps w:val="0"/>
          <w:color w:val="auto"/>
          <w:spacing w:val="0"/>
          <w:sz w:val="24"/>
          <w:szCs w:val="24"/>
          <w:highlight w:val="none"/>
          <w:shd w:val="clear" w:fill="FFFFFF"/>
          <w:lang w:val="en-US" w:eastAsia="zh-CN"/>
        </w:rPr>
        <w:t>PPT和</w:t>
      </w:r>
      <w:r>
        <w:rPr>
          <w:rFonts w:hint="eastAsia" w:cs="宋体"/>
          <w:b w:val="0"/>
          <w:bCs w:val="0"/>
          <w:i w:val="0"/>
          <w:iCs w:val="0"/>
          <w:caps w:val="0"/>
          <w:color w:val="auto"/>
          <w:spacing w:val="0"/>
          <w:sz w:val="24"/>
          <w:szCs w:val="24"/>
          <w:highlight w:val="none"/>
          <w:shd w:val="clear" w:fill="FFFFFF"/>
          <w:lang w:val="en-US" w:eastAsia="zh-CN"/>
        </w:rPr>
        <w:t>WORD</w:t>
      </w:r>
      <w:r>
        <w:rPr>
          <w:rFonts w:hint="eastAsia" w:ascii="宋体" w:hAnsi="宋体" w:eastAsia="宋体" w:cs="宋体"/>
          <w:b w:val="0"/>
          <w:bCs w:val="0"/>
          <w:i w:val="0"/>
          <w:iCs w:val="0"/>
          <w:caps w:val="0"/>
          <w:color w:val="auto"/>
          <w:spacing w:val="0"/>
          <w:sz w:val="24"/>
          <w:szCs w:val="24"/>
          <w:highlight w:val="none"/>
          <w:shd w:val="clear" w:fill="FFFFFF"/>
          <w:lang w:val="en-US" w:eastAsia="zh-CN"/>
        </w:rPr>
        <w:t>版本的电子版成果报告各1套</w:t>
      </w:r>
      <w:r>
        <w:rPr>
          <w:rFonts w:hint="eastAsia" w:cs="宋体"/>
          <w:b w:val="0"/>
          <w:bCs w:val="0"/>
          <w:i w:val="0"/>
          <w:iCs w:val="0"/>
          <w:caps w:val="0"/>
          <w:color w:val="auto"/>
          <w:spacing w:val="0"/>
          <w:sz w:val="24"/>
          <w:szCs w:val="24"/>
          <w:highlight w:val="none"/>
          <w:shd w:val="clear" w:fill="FFFFFF"/>
          <w:lang w:val="en-US" w:eastAsia="zh-CN"/>
        </w:rPr>
        <w:t>；</w:t>
      </w:r>
    </w:p>
    <w:p w14:paraId="0E58C6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default" w:ascii="宋体" w:hAnsi="宋体" w:eastAsia="宋体" w:cs="宋体"/>
          <w:b w:val="0"/>
          <w:bCs w:val="0"/>
          <w:i w:val="0"/>
          <w:iCs w:val="0"/>
          <w:caps w:val="0"/>
          <w:color w:val="auto"/>
          <w:spacing w:val="0"/>
          <w:sz w:val="24"/>
          <w:szCs w:val="24"/>
          <w:highlight w:val="none"/>
          <w:shd w:val="clear" w:fill="FFFFFF"/>
          <w:lang w:val="en-US" w:eastAsia="zh-CN"/>
        </w:rPr>
        <w:t>②</w:t>
      </w:r>
      <w:r>
        <w:rPr>
          <w:rFonts w:hint="eastAsia" w:cs="宋体"/>
          <w:b w:val="0"/>
          <w:bCs w:val="0"/>
          <w:i w:val="0"/>
          <w:iCs w:val="0"/>
          <w:caps w:val="0"/>
          <w:color w:val="auto"/>
          <w:spacing w:val="0"/>
          <w:sz w:val="24"/>
          <w:szCs w:val="24"/>
          <w:highlight w:val="none"/>
          <w:shd w:val="clear" w:fill="FFFFFF"/>
          <w:lang w:val="en-US" w:eastAsia="zh-CN"/>
        </w:rPr>
        <w:t>WORD版本的纸质版成果报告各4套。</w:t>
      </w:r>
    </w:p>
    <w:p w14:paraId="69363C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（4）进度时间安排：</w:t>
      </w:r>
    </w:p>
    <w:p w14:paraId="678E8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①</w:t>
      </w:r>
      <w:r>
        <w:rPr>
          <w:rFonts w:hint="eastAsia" w:ascii="宋体" w:hAnsi="宋体" w:eastAsia="宋体" w:cs="宋体"/>
          <w:b w:val="0"/>
          <w:bCs w:val="0"/>
          <w:i w:val="0"/>
          <w:iCs w:val="0"/>
          <w:caps w:val="0"/>
          <w:color w:val="auto"/>
          <w:spacing w:val="0"/>
          <w:sz w:val="24"/>
          <w:szCs w:val="24"/>
          <w:highlight w:val="none"/>
          <w:shd w:val="clear" w:fill="FFFFFF"/>
          <w:lang w:val="en-US" w:eastAsia="zh-CN"/>
        </w:rPr>
        <w:t>2025年1</w:t>
      </w:r>
      <w:r>
        <w:rPr>
          <w:rFonts w:hint="eastAsia" w:cs="宋体"/>
          <w:b w:val="0"/>
          <w:bCs w:val="0"/>
          <w:i w:val="0"/>
          <w:iCs w:val="0"/>
          <w:caps w:val="0"/>
          <w:color w:val="auto"/>
          <w:spacing w:val="0"/>
          <w:sz w:val="24"/>
          <w:szCs w:val="24"/>
          <w:highlight w:val="none"/>
          <w:shd w:val="clear"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月底前</w:t>
      </w:r>
      <w:r>
        <w:rPr>
          <w:rFonts w:hint="eastAsia" w:cs="宋体"/>
          <w:b w:val="0"/>
          <w:bCs w:val="0"/>
          <w:i w:val="0"/>
          <w:iCs w:val="0"/>
          <w:caps w:val="0"/>
          <w:color w:val="auto"/>
          <w:spacing w:val="0"/>
          <w:sz w:val="24"/>
          <w:szCs w:val="24"/>
          <w:highlight w:val="none"/>
          <w:shd w:val="clear" w:fill="FFFFFF"/>
          <w:lang w:val="en-US" w:eastAsia="zh-CN"/>
        </w:rPr>
        <w:t>，完成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《赣州交通控股集团有限公司物流产业专项规划报告》</w:t>
      </w: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《赣州交通控股集团有限公司低空经济产业专项规划报告》</w:t>
      </w: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cs="宋体"/>
          <w:b w:val="0"/>
          <w:bCs w:val="0"/>
          <w:i w:val="0"/>
          <w:iCs w:val="0"/>
          <w:caps w:val="0"/>
          <w:color w:val="auto"/>
          <w:spacing w:val="0"/>
          <w:sz w:val="24"/>
          <w:szCs w:val="24"/>
          <w:highlight w:val="none"/>
          <w:shd w:val="clear" w:fill="FFFFFF"/>
          <w:lang w:eastAsia="zh-CN"/>
        </w:rPr>
        <w:t>）。</w:t>
      </w:r>
    </w:p>
    <w:p w14:paraId="5807C7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②</w:t>
      </w:r>
      <w:r>
        <w:rPr>
          <w:rFonts w:hint="eastAsia" w:cs="宋体"/>
          <w:b w:val="0"/>
          <w:bCs w:val="0"/>
          <w:i w:val="0"/>
          <w:iCs w:val="0"/>
          <w:caps w:val="0"/>
          <w:color w:val="auto"/>
          <w:spacing w:val="0"/>
          <w:sz w:val="24"/>
          <w:szCs w:val="24"/>
          <w:highlight w:val="none"/>
          <w:shd w:val="clear" w:fill="FFFFFF"/>
          <w:lang w:val="en-US" w:eastAsia="zh-CN"/>
        </w:rPr>
        <w:t>2025年12月底前，完成《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val="en-US" w:eastAsia="zh-CN"/>
        </w:rPr>
        <w:t>》（报批稿）、</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《赣州交通控股集团有限公司物流产业专项规划报告》</w:t>
      </w:r>
      <w:r>
        <w:rPr>
          <w:rFonts w:hint="eastAsia" w:cs="宋体"/>
          <w:b w:val="0"/>
          <w:bCs w:val="0"/>
          <w:i w:val="0"/>
          <w:iCs w:val="0"/>
          <w:caps w:val="0"/>
          <w:color w:val="auto"/>
          <w:spacing w:val="0"/>
          <w:sz w:val="24"/>
          <w:szCs w:val="24"/>
          <w:highlight w:val="none"/>
          <w:shd w:val="clear" w:fill="FFFFFF"/>
          <w:lang w:val="en-US" w:eastAsia="zh-CN"/>
        </w:rPr>
        <w:t>（定稿）</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《赣州交通控股集团有限公司低空经济产业专项规划报告》</w:t>
      </w:r>
      <w:r>
        <w:rPr>
          <w:rFonts w:hint="eastAsia" w:cs="宋体"/>
          <w:b w:val="0"/>
          <w:bCs w:val="0"/>
          <w:i w:val="0"/>
          <w:iCs w:val="0"/>
          <w:caps w:val="0"/>
          <w:color w:val="auto"/>
          <w:spacing w:val="0"/>
          <w:sz w:val="24"/>
          <w:szCs w:val="24"/>
          <w:highlight w:val="none"/>
          <w:shd w:val="clear" w:fill="FFFFFF"/>
          <w:lang w:val="en-US" w:eastAsia="zh-CN"/>
        </w:rPr>
        <w:t>（定稿）</w:t>
      </w:r>
    </w:p>
    <w:p w14:paraId="2F8FB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③</w:t>
      </w:r>
      <w:r>
        <w:rPr>
          <w:rFonts w:hint="eastAsia" w:cs="宋体"/>
          <w:b w:val="0"/>
          <w:bCs w:val="0"/>
          <w:i w:val="0"/>
          <w:iCs w:val="0"/>
          <w:caps w:val="0"/>
          <w:color w:val="auto"/>
          <w:spacing w:val="0"/>
          <w:sz w:val="24"/>
          <w:szCs w:val="24"/>
          <w:highlight w:val="none"/>
          <w:shd w:val="clear" w:fill="FFFFFF"/>
          <w:lang w:val="en-US" w:eastAsia="zh-CN"/>
        </w:rPr>
        <w:t>2026年2月底前，完成《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val="en-US" w:eastAsia="zh-CN"/>
        </w:rPr>
        <w:t>》（定稿）</w:t>
      </w:r>
      <w:r>
        <w:rPr>
          <w:rFonts w:hint="eastAsia" w:cs="宋体"/>
          <w:b w:val="0"/>
          <w:bCs w:val="0"/>
          <w:i w:val="0"/>
          <w:iCs w:val="0"/>
          <w:caps w:val="0"/>
          <w:color w:val="auto"/>
          <w:spacing w:val="0"/>
          <w:sz w:val="24"/>
          <w:szCs w:val="24"/>
          <w:highlight w:val="none"/>
          <w:shd w:val="clear" w:fill="FFFFFF"/>
          <w:lang w:eastAsia="zh-CN"/>
        </w:rPr>
        <w:t>。</w:t>
      </w:r>
    </w:p>
    <w:p w14:paraId="38CC9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highlight w:val="none"/>
          <w:shd w:val="clear" w:fill="FFFFFF"/>
          <w:lang w:val="en-US" w:eastAsia="zh-CN"/>
        </w:rPr>
        <w:t>④</w:t>
      </w:r>
      <w:r>
        <w:rPr>
          <w:rFonts w:hint="eastAsia" w:ascii="宋体" w:hAnsi="宋体" w:eastAsia="宋体" w:cs="宋体"/>
          <w:b w:val="0"/>
          <w:bCs w:val="0"/>
          <w:i w:val="0"/>
          <w:iCs w:val="0"/>
          <w:caps w:val="0"/>
          <w:color w:val="auto"/>
          <w:spacing w:val="0"/>
          <w:sz w:val="24"/>
          <w:szCs w:val="24"/>
          <w:highlight w:val="none"/>
          <w:shd w:val="clear" w:fill="FFFFFF"/>
          <w:lang w:val="en-US" w:eastAsia="zh-CN"/>
        </w:rPr>
        <w:t>2028年12月底前完成《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ascii="宋体" w:hAnsi="宋体" w:eastAsia="宋体" w:cs="宋体"/>
          <w:b w:val="0"/>
          <w:bCs w:val="0"/>
          <w:i w:val="0"/>
          <w:iCs w:val="0"/>
          <w:caps w:val="0"/>
          <w:color w:val="auto"/>
          <w:spacing w:val="0"/>
          <w:sz w:val="24"/>
          <w:szCs w:val="24"/>
          <w:highlight w:val="none"/>
          <w:shd w:val="clear" w:fill="FFFFFF"/>
          <w:lang w:val="en-US" w:eastAsia="zh-CN"/>
        </w:rPr>
        <w:t>中期评估及调整报告》</w:t>
      </w:r>
      <w:r>
        <w:rPr>
          <w:rFonts w:hint="eastAsia" w:cs="宋体"/>
          <w:b w:val="0"/>
          <w:bCs w:val="0"/>
          <w:i w:val="0"/>
          <w:iCs w:val="0"/>
          <w:caps w:val="0"/>
          <w:color w:val="auto"/>
          <w:spacing w:val="0"/>
          <w:sz w:val="24"/>
          <w:szCs w:val="24"/>
          <w:highlight w:val="none"/>
          <w:shd w:val="clear" w:fill="FFFFFF"/>
          <w:lang w:val="en-US" w:eastAsia="zh-CN"/>
        </w:rPr>
        <w:t>（定稿）。</w:t>
      </w:r>
    </w:p>
    <w:p w14:paraId="16647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highlight w:val="none"/>
          <w:shd w:val="clear" w:fill="FFFFFF"/>
          <w:lang w:val="en-US" w:eastAsia="zh-CN"/>
        </w:rPr>
        <w:t>⑤</w:t>
      </w:r>
      <w:r>
        <w:rPr>
          <w:rFonts w:hint="eastAsia" w:ascii="宋体" w:hAnsi="宋体" w:eastAsia="宋体" w:cs="宋体"/>
          <w:b w:val="0"/>
          <w:bCs w:val="0"/>
          <w:i w:val="0"/>
          <w:iCs w:val="0"/>
          <w:caps w:val="0"/>
          <w:color w:val="auto"/>
          <w:spacing w:val="0"/>
          <w:sz w:val="24"/>
          <w:szCs w:val="24"/>
          <w:highlight w:val="none"/>
          <w:shd w:val="clear" w:fill="FFFFFF"/>
          <w:lang w:val="en-US" w:eastAsia="zh-CN"/>
        </w:rPr>
        <w:t>2030年6月底前完成《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ascii="宋体" w:hAnsi="宋体" w:eastAsia="宋体" w:cs="宋体"/>
          <w:b w:val="0"/>
          <w:bCs w:val="0"/>
          <w:i w:val="0"/>
          <w:iCs w:val="0"/>
          <w:caps w:val="0"/>
          <w:color w:val="auto"/>
          <w:spacing w:val="0"/>
          <w:sz w:val="24"/>
          <w:szCs w:val="24"/>
          <w:highlight w:val="none"/>
          <w:shd w:val="clear" w:fill="FFFFFF"/>
          <w:lang w:val="en-US" w:eastAsia="zh-CN"/>
        </w:rPr>
        <w:t>总结报告》</w:t>
      </w:r>
      <w:r>
        <w:rPr>
          <w:rFonts w:hint="eastAsia" w:cs="宋体"/>
          <w:b w:val="0"/>
          <w:bCs w:val="0"/>
          <w:i w:val="0"/>
          <w:iCs w:val="0"/>
          <w:caps w:val="0"/>
          <w:color w:val="auto"/>
          <w:spacing w:val="0"/>
          <w:sz w:val="24"/>
          <w:szCs w:val="24"/>
          <w:highlight w:val="none"/>
          <w:shd w:val="clear" w:fill="FFFFFF"/>
          <w:lang w:val="en-US" w:eastAsia="zh-CN"/>
        </w:rPr>
        <w:t>（定稿）。</w:t>
      </w:r>
    </w:p>
    <w:p w14:paraId="416444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在合同执行过程中，询价人可能根据的实际进度调整服务时间和进度安排，报价人必须理解并接受。</w:t>
      </w:r>
    </w:p>
    <w:p w14:paraId="6F6081FD">
      <w:pPr>
        <w:rPr>
          <w:rFonts w:hint="eastAsia"/>
          <w:highlight w:val="none"/>
          <w:lang w:val="en-US" w:eastAsia="zh-CN"/>
        </w:rPr>
      </w:pPr>
    </w:p>
    <w:p w14:paraId="03275D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rPr>
      </w:pPr>
      <w:bookmarkStart w:id="4" w:name="_Toc21382"/>
      <w:r>
        <w:rPr>
          <w:rStyle w:val="19"/>
          <w:rFonts w:hint="eastAsia" w:ascii="宋体" w:hAnsi="宋体" w:eastAsia="宋体" w:cs="宋体"/>
          <w:i w:val="0"/>
          <w:iCs w:val="0"/>
          <w:caps w:val="0"/>
          <w:color w:val="auto"/>
          <w:spacing w:val="0"/>
          <w:sz w:val="24"/>
          <w:szCs w:val="24"/>
          <w:highlight w:val="none"/>
          <w:lang w:val="en-US" w:eastAsia="zh-CN"/>
        </w:rPr>
        <w:t>四</w:t>
      </w:r>
      <w:r>
        <w:rPr>
          <w:rStyle w:val="19"/>
          <w:rFonts w:hint="eastAsia" w:ascii="宋体" w:hAnsi="宋体" w:eastAsia="宋体" w:cs="宋体"/>
          <w:i w:val="0"/>
          <w:iCs w:val="0"/>
          <w:caps w:val="0"/>
          <w:color w:val="auto"/>
          <w:spacing w:val="0"/>
          <w:sz w:val="24"/>
          <w:szCs w:val="24"/>
          <w:highlight w:val="none"/>
        </w:rPr>
        <w:t>、本次询价的控制价上限及要求</w:t>
      </w:r>
      <w:bookmarkEnd w:id="4"/>
    </w:p>
    <w:p w14:paraId="355AB57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微软雅黑" w:hAnsi="微软雅黑" w:eastAsia="微软雅黑" w:cs="微软雅黑"/>
          <w:i w:val="0"/>
          <w:iCs w:val="0"/>
          <w:caps w:val="0"/>
          <w:color w:val="auto"/>
          <w:spacing w:val="0"/>
          <w:sz w:val="24"/>
          <w:szCs w:val="24"/>
          <w:highlight w:val="none"/>
        </w:rPr>
      </w:pPr>
      <w:r>
        <w:rPr>
          <w:rStyle w:val="19"/>
          <w:rFonts w:hint="eastAsia" w:ascii="宋体" w:hAnsi="宋体" w:eastAsia="宋体" w:cs="宋体"/>
          <w:i w:val="0"/>
          <w:iCs w:val="0"/>
          <w:caps w:val="0"/>
          <w:color w:val="auto"/>
          <w:spacing w:val="0"/>
          <w:sz w:val="24"/>
          <w:szCs w:val="24"/>
          <w:highlight w:val="none"/>
        </w:rPr>
        <w:t>控制价上限人民币：</w:t>
      </w:r>
      <w:r>
        <w:rPr>
          <w:rStyle w:val="19"/>
          <w:rFonts w:hint="eastAsia" w:ascii="宋体" w:hAnsi="宋体" w:eastAsia="宋体" w:cs="宋体"/>
          <w:i w:val="0"/>
          <w:iCs w:val="0"/>
          <w:caps w:val="0"/>
          <w:color w:val="auto"/>
          <w:spacing w:val="0"/>
          <w:sz w:val="24"/>
          <w:szCs w:val="24"/>
          <w:highlight w:val="none"/>
          <w:lang w:val="en-US" w:eastAsia="zh-CN"/>
        </w:rPr>
        <w:t>玖拾万</w:t>
      </w:r>
      <w:r>
        <w:rPr>
          <w:rStyle w:val="19"/>
          <w:rFonts w:hint="eastAsia" w:ascii="宋体" w:hAnsi="宋体" w:eastAsia="宋体" w:cs="宋体"/>
          <w:i w:val="0"/>
          <w:iCs w:val="0"/>
          <w:caps w:val="0"/>
          <w:color w:val="auto"/>
          <w:spacing w:val="0"/>
          <w:sz w:val="24"/>
          <w:szCs w:val="24"/>
          <w:highlight w:val="none"/>
        </w:rPr>
        <w:t>元整(¥：</w:t>
      </w:r>
      <w:r>
        <w:rPr>
          <w:rStyle w:val="19"/>
          <w:rFonts w:hint="eastAsia" w:ascii="宋体" w:hAnsi="宋体" w:eastAsia="宋体" w:cs="宋体"/>
          <w:i w:val="0"/>
          <w:iCs w:val="0"/>
          <w:caps w:val="0"/>
          <w:color w:val="auto"/>
          <w:spacing w:val="0"/>
          <w:sz w:val="24"/>
          <w:szCs w:val="24"/>
          <w:highlight w:val="none"/>
          <w:lang w:val="en-US" w:eastAsia="zh-CN"/>
        </w:rPr>
        <w:t>900000</w:t>
      </w:r>
      <w:r>
        <w:rPr>
          <w:rStyle w:val="19"/>
          <w:rFonts w:hint="eastAsia" w:ascii="宋体" w:hAnsi="宋体" w:eastAsia="宋体" w:cs="宋体"/>
          <w:i w:val="0"/>
          <w:iCs w:val="0"/>
          <w:caps w:val="0"/>
          <w:color w:val="auto"/>
          <w:spacing w:val="0"/>
          <w:sz w:val="24"/>
          <w:szCs w:val="24"/>
          <w:highlight w:val="none"/>
        </w:rPr>
        <w:t>元)，</w:t>
      </w:r>
      <w:r>
        <w:rPr>
          <w:rFonts w:hint="eastAsia" w:ascii="宋体" w:hAnsi="宋体" w:eastAsia="宋体" w:cs="宋体"/>
          <w:i w:val="0"/>
          <w:iCs w:val="0"/>
          <w:caps w:val="0"/>
          <w:color w:val="auto"/>
          <w:spacing w:val="0"/>
          <w:sz w:val="24"/>
          <w:szCs w:val="24"/>
          <w:highlight w:val="none"/>
        </w:rPr>
        <w:t>报价方的报价不得高于本控制价，否则视为不响应询价文件，而被询价人拒绝。</w:t>
      </w:r>
    </w:p>
    <w:p w14:paraId="06BE1E6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Style w:val="19"/>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本报价为一次性包干使用，包括但不限于实施发展规划编制所需的劳务、材料、设备、咨询、专家、会务、交通、通讯、食宿、管理、保险、税费、利润等所有费用，</w:t>
      </w:r>
      <w:r>
        <w:rPr>
          <w:rStyle w:val="19"/>
          <w:rFonts w:hint="eastAsia" w:ascii="宋体" w:hAnsi="宋体" w:eastAsia="宋体" w:cs="宋体"/>
          <w:i w:val="0"/>
          <w:iCs w:val="0"/>
          <w:caps w:val="0"/>
          <w:color w:val="auto"/>
          <w:spacing w:val="0"/>
          <w:sz w:val="24"/>
          <w:szCs w:val="24"/>
          <w:highlight w:val="none"/>
        </w:rPr>
        <w:t>询价人不再另行支付其他费用。</w:t>
      </w:r>
      <w:bookmarkStart w:id="5" w:name="_Toc30409"/>
      <w:bookmarkEnd w:id="5"/>
    </w:p>
    <w:p w14:paraId="600E59F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Style w:val="19"/>
          <w:rFonts w:hint="eastAsia" w:ascii="宋体" w:hAnsi="宋体" w:eastAsia="宋体" w:cs="宋体"/>
          <w:i w:val="0"/>
          <w:iCs w:val="0"/>
          <w:caps w:val="0"/>
          <w:color w:val="auto"/>
          <w:spacing w:val="0"/>
          <w:sz w:val="24"/>
          <w:szCs w:val="24"/>
          <w:highlight w:val="none"/>
        </w:rPr>
      </w:pPr>
    </w:p>
    <w:p w14:paraId="3E7BE4A5">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rPr>
      </w:pPr>
      <w:bookmarkStart w:id="6" w:name="_Toc19788"/>
      <w:r>
        <w:rPr>
          <w:rStyle w:val="19"/>
          <w:rFonts w:hint="eastAsia" w:ascii="宋体" w:hAnsi="宋体" w:eastAsia="宋体" w:cs="宋体"/>
          <w:i w:val="0"/>
          <w:iCs w:val="0"/>
          <w:caps w:val="0"/>
          <w:color w:val="auto"/>
          <w:spacing w:val="0"/>
          <w:sz w:val="24"/>
          <w:szCs w:val="24"/>
          <w:highlight w:val="none"/>
        </w:rPr>
        <w:t>评审原则：本次询价采用</w:t>
      </w:r>
      <w:r>
        <w:rPr>
          <w:rStyle w:val="19"/>
          <w:rFonts w:hint="eastAsia" w:ascii="宋体" w:hAnsi="宋体" w:eastAsia="宋体" w:cs="宋体"/>
          <w:i w:val="0"/>
          <w:iCs w:val="0"/>
          <w:caps w:val="0"/>
          <w:color w:val="auto"/>
          <w:spacing w:val="0"/>
          <w:sz w:val="24"/>
          <w:szCs w:val="24"/>
          <w:highlight w:val="none"/>
          <w:lang w:val="en-US" w:eastAsia="zh-CN"/>
        </w:rPr>
        <w:t>综合评估</w:t>
      </w:r>
      <w:r>
        <w:rPr>
          <w:rStyle w:val="19"/>
          <w:rFonts w:hint="eastAsia" w:ascii="宋体" w:hAnsi="宋体" w:eastAsia="宋体" w:cs="宋体"/>
          <w:i w:val="0"/>
          <w:iCs w:val="0"/>
          <w:caps w:val="0"/>
          <w:color w:val="auto"/>
          <w:spacing w:val="0"/>
          <w:sz w:val="24"/>
          <w:szCs w:val="24"/>
          <w:highlight w:val="none"/>
        </w:rPr>
        <w:t>法。</w:t>
      </w:r>
      <w:bookmarkEnd w:id="6"/>
    </w:p>
    <w:p w14:paraId="5B80B00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outlineLvl w:val="1"/>
        <w:rPr>
          <w:rStyle w:val="19"/>
          <w:rFonts w:hint="eastAsia" w:ascii="宋体" w:hAnsi="宋体" w:eastAsia="宋体" w:cs="宋体"/>
          <w:i w:val="0"/>
          <w:iCs w:val="0"/>
          <w:caps w:val="0"/>
          <w:color w:val="auto"/>
          <w:spacing w:val="0"/>
          <w:sz w:val="24"/>
          <w:szCs w:val="24"/>
          <w:highlight w:val="none"/>
        </w:rPr>
      </w:pPr>
    </w:p>
    <w:p w14:paraId="2573AE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rPr>
      </w:pPr>
      <w:bookmarkStart w:id="7" w:name="_Toc18996"/>
      <w:r>
        <w:rPr>
          <w:rStyle w:val="19"/>
          <w:rFonts w:hint="eastAsia" w:ascii="宋体" w:hAnsi="宋体" w:eastAsia="宋体" w:cs="宋体"/>
          <w:i w:val="0"/>
          <w:iCs w:val="0"/>
          <w:caps w:val="0"/>
          <w:color w:val="auto"/>
          <w:spacing w:val="0"/>
          <w:sz w:val="24"/>
          <w:szCs w:val="24"/>
          <w:highlight w:val="none"/>
          <w:lang w:val="en-US" w:eastAsia="zh-CN"/>
        </w:rPr>
        <w:t>六</w:t>
      </w:r>
      <w:r>
        <w:rPr>
          <w:rStyle w:val="19"/>
          <w:rFonts w:hint="eastAsia" w:ascii="宋体" w:hAnsi="宋体" w:eastAsia="宋体" w:cs="宋体"/>
          <w:i w:val="0"/>
          <w:iCs w:val="0"/>
          <w:caps w:val="0"/>
          <w:color w:val="auto"/>
          <w:spacing w:val="0"/>
          <w:sz w:val="24"/>
          <w:szCs w:val="24"/>
          <w:highlight w:val="none"/>
        </w:rPr>
        <w:t>、询价保证金</w:t>
      </w:r>
      <w:bookmarkEnd w:id="7"/>
    </w:p>
    <w:p w14:paraId="196163F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宋体" w:hAnsi="宋体" w:eastAsia="宋体" w:cs="宋体"/>
          <w:i w:val="0"/>
          <w:iCs w:val="0"/>
          <w:caps w:val="0"/>
          <w:color w:val="auto"/>
          <w:spacing w:val="0"/>
          <w:sz w:val="24"/>
          <w:szCs w:val="24"/>
          <w:highlight w:val="none"/>
        </w:rPr>
      </w:pPr>
      <w:r>
        <w:rPr>
          <w:rStyle w:val="19"/>
          <w:rFonts w:hint="eastAsia" w:ascii="宋体" w:hAnsi="宋体" w:eastAsia="宋体" w:cs="宋体"/>
          <w:i w:val="0"/>
          <w:iCs w:val="0"/>
          <w:caps w:val="0"/>
          <w:color w:val="auto"/>
          <w:spacing w:val="0"/>
          <w:sz w:val="24"/>
          <w:szCs w:val="24"/>
          <w:highlight w:val="none"/>
        </w:rPr>
        <w:t>该项目询价保证金为人民币：</w:t>
      </w:r>
      <w:r>
        <w:rPr>
          <w:rStyle w:val="19"/>
          <w:rFonts w:hint="eastAsia" w:ascii="宋体" w:hAnsi="宋体" w:eastAsia="宋体" w:cs="宋体"/>
          <w:i w:val="0"/>
          <w:iCs w:val="0"/>
          <w:caps w:val="0"/>
          <w:color w:val="auto"/>
          <w:spacing w:val="0"/>
          <w:sz w:val="24"/>
          <w:szCs w:val="24"/>
          <w:highlight w:val="none"/>
          <w:lang w:val="en-US" w:eastAsia="zh-CN"/>
        </w:rPr>
        <w:t>壹万伍仟</w:t>
      </w:r>
      <w:r>
        <w:rPr>
          <w:rStyle w:val="19"/>
          <w:rFonts w:hint="eastAsia" w:ascii="宋体" w:hAnsi="宋体" w:eastAsia="宋体" w:cs="宋体"/>
          <w:i w:val="0"/>
          <w:iCs w:val="0"/>
          <w:caps w:val="0"/>
          <w:color w:val="auto"/>
          <w:spacing w:val="0"/>
          <w:sz w:val="24"/>
          <w:szCs w:val="24"/>
          <w:highlight w:val="none"/>
        </w:rPr>
        <w:t>元整(¥：</w:t>
      </w:r>
      <w:r>
        <w:rPr>
          <w:rStyle w:val="19"/>
          <w:rFonts w:hint="eastAsia" w:ascii="宋体" w:hAnsi="宋体" w:eastAsia="宋体" w:cs="宋体"/>
          <w:i w:val="0"/>
          <w:iCs w:val="0"/>
          <w:caps w:val="0"/>
          <w:color w:val="auto"/>
          <w:spacing w:val="0"/>
          <w:sz w:val="24"/>
          <w:szCs w:val="24"/>
          <w:highlight w:val="none"/>
          <w:lang w:val="en-US" w:eastAsia="zh-CN"/>
        </w:rPr>
        <w:t>15000</w:t>
      </w:r>
      <w:r>
        <w:rPr>
          <w:rStyle w:val="19"/>
          <w:rFonts w:hint="eastAsia" w:ascii="宋体" w:hAnsi="宋体" w:eastAsia="宋体" w:cs="宋体"/>
          <w:i w:val="0"/>
          <w:iCs w:val="0"/>
          <w:caps w:val="0"/>
          <w:color w:val="auto"/>
          <w:spacing w:val="0"/>
          <w:sz w:val="24"/>
          <w:szCs w:val="24"/>
          <w:highlight w:val="none"/>
        </w:rPr>
        <w:t>元)</w:t>
      </w:r>
      <w:r>
        <w:rPr>
          <w:rFonts w:hint="eastAsia" w:ascii="宋体" w:hAnsi="宋体" w:eastAsia="宋体" w:cs="宋体"/>
          <w:i w:val="0"/>
          <w:iCs w:val="0"/>
          <w:caps w:val="0"/>
          <w:color w:val="auto"/>
          <w:spacing w:val="0"/>
          <w:sz w:val="24"/>
          <w:szCs w:val="24"/>
          <w:highlight w:val="none"/>
        </w:rPr>
        <w:t>。报价单位必须在</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的递交截止时间之前将询价保证金以现金或银行保函形式（现金形式或银行保函的原件，均应密封完好在一个单独的封套内，并在封套的封口处加盖报价人单位公章），在递交</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时一并递交给询价人，逾期不予受理。</w:t>
      </w:r>
    </w:p>
    <w:p w14:paraId="273796D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询价保证金必须按上述的时限、密封要求递交，否则其询价保证金无效，询价单位有权拒绝其</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w:t>
      </w:r>
    </w:p>
    <w:p w14:paraId="7034D13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询价保证金的核验及退还：由询价人现场核验并收取第一候选人的保证金，其余报价人的保证金当场退还（如第一候选人的保证金不满足要求，则</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视为无效，保证金予以退还，再按候选人顺序收取并核验保证金，直至保证金满足要求）。中选人的询价保证金在合同签订后一次性退还，如中选人拒绝签订合同或存在其他损害询价人利益的情况，询价人有权拒绝退还中选单位的询价保证金。</w:t>
      </w:r>
    </w:p>
    <w:p w14:paraId="462CD5D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若报价人在</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的递交截止时间后要求撤回</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，询价人有权拒绝退还报价人的询价保证金。</w:t>
      </w:r>
    </w:p>
    <w:p w14:paraId="7385F43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default" w:ascii="宋体" w:hAnsi="宋体" w:eastAsia="宋体" w:cs="宋体"/>
          <w:i w:val="0"/>
          <w:iCs w:val="0"/>
          <w:caps w:val="0"/>
          <w:color w:val="auto"/>
          <w:spacing w:val="0"/>
          <w:sz w:val="24"/>
          <w:szCs w:val="24"/>
          <w:highlight w:val="none"/>
          <w:u w:val="single"/>
          <w:lang w:val="en-US" w:eastAsia="zh-CN"/>
        </w:rPr>
      </w:pPr>
      <w:r>
        <w:rPr>
          <w:rFonts w:hint="eastAsia" w:ascii="宋体" w:hAnsi="宋体" w:eastAsia="宋体" w:cs="宋体"/>
          <w:b/>
          <w:bCs/>
          <w:i w:val="0"/>
          <w:iCs w:val="0"/>
          <w:caps w:val="0"/>
          <w:color w:val="auto"/>
          <w:spacing w:val="0"/>
          <w:sz w:val="24"/>
          <w:szCs w:val="24"/>
          <w:highlight w:val="none"/>
        </w:rPr>
        <w:t>保证金封套</w:t>
      </w:r>
      <w:r>
        <w:rPr>
          <w:rFonts w:hint="eastAsia" w:ascii="宋体" w:hAnsi="宋体" w:eastAsia="宋体" w:cs="宋体"/>
          <w:i w:val="0"/>
          <w:iCs w:val="0"/>
          <w:caps w:val="0"/>
          <w:color w:val="auto"/>
          <w:spacing w:val="0"/>
          <w:sz w:val="24"/>
          <w:szCs w:val="24"/>
          <w:highlight w:val="none"/>
        </w:rPr>
        <w:t>：</w:t>
      </w:r>
    </w:p>
    <w:p w14:paraId="72999E0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询价</w:t>
      </w:r>
      <w:r>
        <w:rPr>
          <w:rFonts w:hint="eastAsia" w:ascii="宋体" w:hAnsi="宋体" w:eastAsia="宋体" w:cs="宋体"/>
          <w:i w:val="0"/>
          <w:iCs w:val="0"/>
          <w:caps w:val="0"/>
          <w:color w:val="auto"/>
          <w:spacing w:val="0"/>
          <w:sz w:val="24"/>
          <w:szCs w:val="24"/>
          <w:highlight w:val="none"/>
        </w:rPr>
        <w:t>人名称：</w:t>
      </w:r>
      <w:r>
        <w:rPr>
          <w:rFonts w:hint="eastAsia" w:ascii="宋体" w:hAnsi="宋体" w:eastAsia="宋体" w:cs="宋体"/>
          <w:i w:val="0"/>
          <w:iCs w:val="0"/>
          <w:caps w:val="0"/>
          <w:color w:val="auto"/>
          <w:spacing w:val="0"/>
          <w:sz w:val="24"/>
          <w:szCs w:val="24"/>
          <w:highlight w:val="none"/>
          <w:u w:val="single"/>
        </w:rPr>
        <w:t>赣州交通控股集团有限公司</w:t>
      </w:r>
    </w:p>
    <w:p w14:paraId="7E4C1DC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询价</w:t>
      </w:r>
      <w:r>
        <w:rPr>
          <w:rFonts w:hint="eastAsia" w:ascii="宋体" w:hAnsi="宋体" w:eastAsia="宋体" w:cs="宋体"/>
          <w:i w:val="0"/>
          <w:iCs w:val="0"/>
          <w:caps w:val="0"/>
          <w:color w:val="auto"/>
          <w:spacing w:val="0"/>
          <w:sz w:val="24"/>
          <w:szCs w:val="24"/>
          <w:highlight w:val="none"/>
        </w:rPr>
        <w:t>人地址：</w:t>
      </w:r>
      <w:r>
        <w:rPr>
          <w:rFonts w:hint="eastAsia" w:ascii="宋体" w:hAnsi="宋体" w:eastAsia="宋体" w:cs="宋体"/>
          <w:i w:val="0"/>
          <w:iCs w:val="0"/>
          <w:caps w:val="0"/>
          <w:color w:val="auto"/>
          <w:spacing w:val="0"/>
          <w:sz w:val="24"/>
          <w:szCs w:val="24"/>
          <w:highlight w:val="none"/>
          <w:u w:val="single"/>
        </w:rPr>
        <w:t>江西省赣州市章贡区沙河镇赣州东收费站出口右侧</w:t>
      </w:r>
    </w:p>
    <w:p w14:paraId="0985508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项目名称：</w:t>
      </w:r>
      <w:r>
        <w:rPr>
          <w:rFonts w:hint="eastAsia" w:ascii="宋体" w:hAnsi="宋体" w:eastAsia="宋体" w:cs="宋体"/>
          <w:i w:val="0"/>
          <w:iCs w:val="0"/>
          <w:caps w:val="0"/>
          <w:color w:val="auto"/>
          <w:spacing w:val="0"/>
          <w:sz w:val="24"/>
          <w:szCs w:val="24"/>
          <w:highlight w:val="none"/>
          <w:u w:val="single"/>
        </w:rPr>
        <w:t>赣州交控“十五五”规划编制服务</w:t>
      </w:r>
    </w:p>
    <w:p w14:paraId="1406079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在</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u w:val="single"/>
        </w:rPr>
        <w:t>2025</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lang w:val="en-US" w:eastAsia="zh-CN"/>
        </w:rPr>
        <w:t xml:space="preserve"> 9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lang w:val="en-US" w:eastAsia="zh-CN"/>
        </w:rPr>
        <w:t xml:space="preserve">  12 </w:t>
      </w:r>
      <w:r>
        <w:rPr>
          <w:rFonts w:hint="eastAsia" w:ascii="宋体" w:hAnsi="宋体" w:eastAsia="宋体" w:cs="宋体"/>
          <w:i w:val="0"/>
          <w:iCs w:val="0"/>
          <w:caps w:val="0"/>
          <w:color w:val="auto"/>
          <w:spacing w:val="0"/>
          <w:sz w:val="24"/>
          <w:szCs w:val="24"/>
          <w:highlight w:val="none"/>
        </w:rPr>
        <w:t>日</w:t>
      </w:r>
      <w:r>
        <w:rPr>
          <w:rFonts w:hint="eastAsia" w:ascii="宋体" w:hAnsi="宋体" w:eastAsia="宋体" w:cs="宋体"/>
          <w:i w:val="0"/>
          <w:iCs w:val="0"/>
          <w:caps w:val="0"/>
          <w:color w:val="auto"/>
          <w:spacing w:val="0"/>
          <w:sz w:val="24"/>
          <w:szCs w:val="24"/>
          <w:highlight w:val="none"/>
          <w:u w:val="single"/>
          <w:lang w:val="en-US" w:eastAsia="zh-CN"/>
        </w:rPr>
        <w:t xml:space="preserve"> 9 </w:t>
      </w:r>
      <w:r>
        <w:rPr>
          <w:rFonts w:hint="eastAsia" w:ascii="宋体" w:hAnsi="宋体" w:eastAsia="宋体" w:cs="宋体"/>
          <w:i w:val="0"/>
          <w:iCs w:val="0"/>
          <w:caps w:val="0"/>
          <w:color w:val="auto"/>
          <w:spacing w:val="0"/>
          <w:sz w:val="24"/>
          <w:szCs w:val="24"/>
          <w:highlight w:val="none"/>
        </w:rPr>
        <w:t>时</w:t>
      </w:r>
      <w:r>
        <w:rPr>
          <w:rFonts w:hint="eastAsia" w:ascii="宋体" w:hAnsi="宋体" w:eastAsia="宋体" w:cs="宋体"/>
          <w:i w:val="0"/>
          <w:iCs w:val="0"/>
          <w:caps w:val="0"/>
          <w:color w:val="auto"/>
          <w:spacing w:val="0"/>
          <w:sz w:val="24"/>
          <w:szCs w:val="24"/>
          <w:highlight w:val="none"/>
          <w:u w:val="single"/>
          <w:lang w:val="en-US" w:eastAsia="zh-CN"/>
        </w:rPr>
        <w:t xml:space="preserve"> 30 </w:t>
      </w:r>
      <w:r>
        <w:rPr>
          <w:rFonts w:hint="eastAsia" w:ascii="宋体" w:hAnsi="宋体" w:eastAsia="宋体" w:cs="宋体"/>
          <w:i w:val="0"/>
          <w:iCs w:val="0"/>
          <w:caps w:val="0"/>
          <w:color w:val="auto"/>
          <w:spacing w:val="0"/>
          <w:sz w:val="24"/>
          <w:szCs w:val="24"/>
          <w:highlight w:val="none"/>
        </w:rPr>
        <w:t>分前不得开封</w:t>
      </w:r>
    </w:p>
    <w:p w14:paraId="506D27F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报价人</w:t>
      </w:r>
      <w:r>
        <w:rPr>
          <w:rFonts w:hint="eastAsia" w:ascii="宋体" w:hAnsi="宋体" w:eastAsia="宋体" w:cs="宋体"/>
          <w:i w:val="0"/>
          <w:iCs w:val="0"/>
          <w:caps w:val="0"/>
          <w:color w:val="auto"/>
          <w:spacing w:val="0"/>
          <w:sz w:val="24"/>
          <w:szCs w:val="24"/>
          <w:highlight w:val="none"/>
        </w:rPr>
        <w:t>名称：</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rPr>
        <w:t xml:space="preserve">                     </w:t>
      </w:r>
    </w:p>
    <w:p w14:paraId="05F8A53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报价人</w:t>
      </w:r>
      <w:r>
        <w:rPr>
          <w:rFonts w:hint="eastAsia" w:ascii="宋体" w:hAnsi="宋体" w:eastAsia="宋体" w:cs="宋体"/>
          <w:i w:val="0"/>
          <w:iCs w:val="0"/>
          <w:caps w:val="0"/>
          <w:color w:val="auto"/>
          <w:spacing w:val="0"/>
          <w:sz w:val="24"/>
          <w:szCs w:val="24"/>
          <w:highlight w:val="none"/>
        </w:rPr>
        <w:t>地址：</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rPr>
        <w:t xml:space="preserve">     </w:t>
      </w:r>
    </w:p>
    <w:p w14:paraId="2FC631A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xml:space="preserve">                </w:t>
      </w:r>
    </w:p>
    <w:p w14:paraId="38159E6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rPr>
      </w:pPr>
      <w:bookmarkStart w:id="8" w:name="_Toc5184"/>
      <w:r>
        <w:rPr>
          <w:rStyle w:val="19"/>
          <w:rFonts w:hint="eastAsia" w:ascii="宋体" w:hAnsi="宋体" w:eastAsia="宋体" w:cs="宋体"/>
          <w:i w:val="0"/>
          <w:iCs w:val="0"/>
          <w:caps w:val="0"/>
          <w:color w:val="auto"/>
          <w:spacing w:val="0"/>
          <w:sz w:val="24"/>
          <w:szCs w:val="24"/>
          <w:highlight w:val="none"/>
          <w:lang w:val="en-US" w:eastAsia="zh-CN"/>
        </w:rPr>
        <w:t>七</w:t>
      </w:r>
      <w:r>
        <w:rPr>
          <w:rStyle w:val="19"/>
          <w:rFonts w:hint="eastAsia" w:ascii="宋体" w:hAnsi="宋体" w:eastAsia="宋体" w:cs="宋体"/>
          <w:i w:val="0"/>
          <w:iCs w:val="0"/>
          <w:caps w:val="0"/>
          <w:color w:val="auto"/>
          <w:spacing w:val="0"/>
          <w:sz w:val="24"/>
          <w:szCs w:val="24"/>
          <w:highlight w:val="none"/>
        </w:rPr>
        <w:t>、履约担保</w:t>
      </w:r>
      <w:bookmarkEnd w:id="8"/>
    </w:p>
    <w:p w14:paraId="2B9C54F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1、在询价人发出成交通知书后30天内成交人应向询价人提交履约担保并签订合同。履约保证金的金额：签约合同价的10%，履约保证金自合同生效之日起生效，在项目实施完成合同工作内容并</w:t>
      </w:r>
      <w:r>
        <w:rPr>
          <w:rFonts w:hint="eastAsia" w:ascii="宋体" w:hAnsi="宋体" w:eastAsia="宋体" w:cs="宋体"/>
          <w:i w:val="0"/>
          <w:iCs w:val="0"/>
          <w:caps w:val="0"/>
          <w:color w:val="auto"/>
          <w:spacing w:val="0"/>
          <w:sz w:val="24"/>
          <w:szCs w:val="24"/>
          <w:highlight w:val="none"/>
          <w:lang w:val="en-US" w:eastAsia="zh-CN"/>
        </w:rPr>
        <w:t>经询价人验收</w:t>
      </w:r>
      <w:r>
        <w:rPr>
          <w:rFonts w:hint="eastAsia" w:ascii="宋体" w:hAnsi="宋体" w:eastAsia="宋体" w:cs="宋体"/>
          <w:i w:val="0"/>
          <w:iCs w:val="0"/>
          <w:caps w:val="0"/>
          <w:color w:val="auto"/>
          <w:spacing w:val="0"/>
          <w:sz w:val="24"/>
          <w:szCs w:val="24"/>
          <w:highlight w:val="none"/>
        </w:rPr>
        <w:t>合格后28天内将履约担保退还成交人。</w:t>
      </w:r>
    </w:p>
    <w:p w14:paraId="36E197E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2、履约担保的形式：保函（银行保函、财务公司保函、保险公司保函、第三方担保公司保函）或现金保证金。</w:t>
      </w:r>
    </w:p>
    <w:p w14:paraId="5EFFB89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若采用银行保函，出具履约保证金的银行级别：成交人所在地的国有商业银行或股份制商业银行的支行及以上级别且具有相应担保能力；</w:t>
      </w:r>
    </w:p>
    <w:p w14:paraId="6E4F696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若采用财务公司保函，财务公司应属于国家金融监督管理总局批准的国有财务公司且经合同签订人认可；</w:t>
      </w:r>
    </w:p>
    <w:p w14:paraId="6F89744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若采用保险公司保函或第三方担保公司保函，应经合同签订人认可；</w:t>
      </w:r>
    </w:p>
    <w:p w14:paraId="6EC9B56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若采用现金，成交人应从其基本账户以转账或电汇形式一次性转入合同签订人指定的银行账户内。</w:t>
      </w:r>
    </w:p>
    <w:p w14:paraId="6AA97FF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both"/>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3、履约担保格式见询价文件。</w:t>
      </w:r>
    </w:p>
    <w:p w14:paraId="0B20A0A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bookmarkStart w:id="9" w:name="_Toc9470"/>
      <w:bookmarkEnd w:id="9"/>
    </w:p>
    <w:p w14:paraId="14E0F6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bookmarkStart w:id="10" w:name="_Toc13694"/>
      <w:r>
        <w:rPr>
          <w:rStyle w:val="19"/>
          <w:rFonts w:hint="eastAsia" w:ascii="宋体" w:hAnsi="宋体" w:eastAsia="宋体" w:cs="宋体"/>
          <w:i w:val="0"/>
          <w:iCs w:val="0"/>
          <w:caps w:val="0"/>
          <w:color w:val="auto"/>
          <w:spacing w:val="0"/>
          <w:sz w:val="24"/>
          <w:szCs w:val="24"/>
          <w:highlight w:val="none"/>
          <w:lang w:val="en-US" w:eastAsia="zh-CN"/>
        </w:rPr>
        <w:t>八、费用的支付</w:t>
      </w:r>
      <w:bookmarkEnd w:id="10"/>
    </w:p>
    <w:p w14:paraId="32B8B71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采用分期支付：</w:t>
      </w:r>
    </w:p>
    <w:p w14:paraId="7CF8B006">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成交人</w:t>
      </w:r>
      <w:r>
        <w:rPr>
          <w:rFonts w:hint="eastAsia" w:ascii="宋体" w:hAnsi="宋体" w:eastAsia="宋体" w:cs="宋体"/>
          <w:i w:val="0"/>
          <w:iCs w:val="0"/>
          <w:caps w:val="0"/>
          <w:color w:val="auto"/>
          <w:spacing w:val="0"/>
          <w:sz w:val="24"/>
          <w:szCs w:val="24"/>
          <w:highlight w:val="none"/>
        </w:rPr>
        <w:t>完成《赣州交通控股集团有限公司“十五五”发展规划报告》</w:t>
      </w:r>
      <w:r>
        <w:rPr>
          <w:rFonts w:hint="eastAsia" w:ascii="宋体" w:hAnsi="宋体" w:eastAsia="宋体" w:cs="宋体"/>
          <w:i w:val="0"/>
          <w:iCs w:val="0"/>
          <w:caps w:val="0"/>
          <w:color w:val="auto"/>
          <w:spacing w:val="0"/>
          <w:sz w:val="24"/>
          <w:szCs w:val="24"/>
          <w:highlight w:val="none"/>
          <w:lang w:val="en-US" w:eastAsia="zh-CN"/>
        </w:rPr>
        <w:t>（征求意见稿）、完成</w:t>
      </w:r>
      <w:r>
        <w:rPr>
          <w:rFonts w:hint="eastAsia" w:ascii="宋体" w:hAnsi="宋体" w:eastAsia="宋体" w:cs="宋体"/>
          <w:i w:val="0"/>
          <w:iCs w:val="0"/>
          <w:caps w:val="0"/>
          <w:color w:val="auto"/>
          <w:spacing w:val="0"/>
          <w:sz w:val="24"/>
          <w:szCs w:val="24"/>
          <w:highlight w:val="none"/>
        </w:rPr>
        <w:t>《赣州交通控股集团有限公司物流产业专项规划报告》</w:t>
      </w:r>
      <w:r>
        <w:rPr>
          <w:rFonts w:hint="eastAsia" w:ascii="宋体" w:hAnsi="宋体" w:eastAsia="宋体" w:cs="宋体"/>
          <w:i w:val="0"/>
          <w:iCs w:val="0"/>
          <w:caps w:val="0"/>
          <w:color w:val="auto"/>
          <w:spacing w:val="0"/>
          <w:sz w:val="24"/>
          <w:szCs w:val="24"/>
          <w:highlight w:val="none"/>
          <w:lang w:val="en-US" w:eastAsia="zh-CN"/>
        </w:rPr>
        <w:t>（征求意见稿）、完成</w:t>
      </w:r>
      <w:r>
        <w:rPr>
          <w:rFonts w:hint="eastAsia" w:ascii="宋体" w:hAnsi="宋体" w:eastAsia="宋体" w:cs="宋体"/>
          <w:i w:val="0"/>
          <w:iCs w:val="0"/>
          <w:caps w:val="0"/>
          <w:color w:val="auto"/>
          <w:spacing w:val="0"/>
          <w:sz w:val="24"/>
          <w:szCs w:val="24"/>
          <w:highlight w:val="none"/>
        </w:rPr>
        <w:t>《赣州交通控股集团有限公司低空经济产业专项规划报告》</w:t>
      </w:r>
      <w:r>
        <w:rPr>
          <w:rFonts w:hint="eastAsia" w:ascii="宋体" w:hAnsi="宋体" w:eastAsia="宋体" w:cs="宋体"/>
          <w:i w:val="0"/>
          <w:iCs w:val="0"/>
          <w:caps w:val="0"/>
          <w:color w:val="auto"/>
          <w:spacing w:val="0"/>
          <w:sz w:val="24"/>
          <w:szCs w:val="24"/>
          <w:highlight w:val="none"/>
          <w:lang w:val="en-US" w:eastAsia="zh-CN"/>
        </w:rPr>
        <w:t>（征求意见稿）后支付规划编制费用总额的40%。</w:t>
      </w:r>
    </w:p>
    <w:p w14:paraId="3FEF65C5">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成交人完成</w:t>
      </w:r>
      <w:r>
        <w:rPr>
          <w:rFonts w:hint="eastAsia" w:ascii="宋体" w:hAnsi="宋体" w:eastAsia="宋体" w:cs="宋体"/>
          <w:i w:val="0"/>
          <w:iCs w:val="0"/>
          <w:caps w:val="0"/>
          <w:color w:val="auto"/>
          <w:spacing w:val="0"/>
          <w:sz w:val="24"/>
          <w:szCs w:val="24"/>
          <w:highlight w:val="none"/>
        </w:rPr>
        <w:t>《赣州交通控股集团有限公司物流产业专项规划报告》</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完成</w:t>
      </w:r>
      <w:r>
        <w:rPr>
          <w:rFonts w:hint="eastAsia" w:ascii="宋体" w:hAnsi="宋体" w:eastAsia="宋体" w:cs="宋体"/>
          <w:i w:val="0"/>
          <w:iCs w:val="0"/>
          <w:caps w:val="0"/>
          <w:color w:val="auto"/>
          <w:spacing w:val="0"/>
          <w:sz w:val="24"/>
          <w:szCs w:val="24"/>
          <w:highlight w:val="none"/>
        </w:rPr>
        <w:t>《赣州交通控股集团有限公司低空经济产业专项规划报告》</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完成</w:t>
      </w:r>
      <w:r>
        <w:rPr>
          <w:rFonts w:hint="eastAsia" w:ascii="宋体" w:hAnsi="宋体" w:eastAsia="宋体" w:cs="宋体"/>
          <w:i w:val="0"/>
          <w:iCs w:val="0"/>
          <w:caps w:val="0"/>
          <w:color w:val="auto"/>
          <w:spacing w:val="0"/>
          <w:sz w:val="24"/>
          <w:szCs w:val="24"/>
          <w:highlight w:val="none"/>
        </w:rPr>
        <w:t>《赣州交通控股集团有限公司“十五五”发展规划报告》</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并</w:t>
      </w:r>
      <w:r>
        <w:rPr>
          <w:rFonts w:hint="eastAsia" w:ascii="宋体" w:hAnsi="宋体" w:eastAsia="宋体" w:cs="宋体"/>
          <w:i w:val="0"/>
          <w:iCs w:val="0"/>
          <w:caps w:val="0"/>
          <w:color w:val="auto"/>
          <w:spacing w:val="0"/>
          <w:sz w:val="24"/>
          <w:szCs w:val="24"/>
          <w:highlight w:val="none"/>
          <w:lang w:val="en-US" w:eastAsia="zh-CN"/>
        </w:rPr>
        <w:t>经询价人</w:t>
      </w:r>
      <w:r>
        <w:rPr>
          <w:rFonts w:hint="eastAsia" w:ascii="宋体" w:hAnsi="宋体" w:eastAsia="宋体" w:cs="宋体"/>
          <w:i w:val="0"/>
          <w:iCs w:val="0"/>
          <w:caps w:val="0"/>
          <w:color w:val="auto"/>
          <w:spacing w:val="0"/>
          <w:sz w:val="24"/>
          <w:szCs w:val="24"/>
          <w:highlight w:val="none"/>
        </w:rPr>
        <w:t>验收合格后支付规划编制费用总额的</w:t>
      </w:r>
      <w:r>
        <w:rPr>
          <w:rFonts w:hint="eastAsia" w:ascii="宋体" w:hAnsi="宋体" w:eastAsia="宋体" w:cs="宋体"/>
          <w:i w:val="0"/>
          <w:iCs w:val="0"/>
          <w:caps w:val="0"/>
          <w:color w:val="auto"/>
          <w:spacing w:val="0"/>
          <w:sz w:val="24"/>
          <w:szCs w:val="24"/>
          <w:highlight w:val="none"/>
          <w:lang w:val="en-US" w:eastAsia="zh-CN"/>
        </w:rPr>
        <w:t>40</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w:t>
      </w:r>
    </w:p>
    <w:p w14:paraId="30990FE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成交人</w:t>
      </w:r>
      <w:r>
        <w:rPr>
          <w:rFonts w:hint="eastAsia" w:ascii="宋体" w:hAnsi="宋体" w:eastAsia="宋体" w:cs="宋体"/>
          <w:i w:val="0"/>
          <w:iCs w:val="0"/>
          <w:caps w:val="0"/>
          <w:color w:val="auto"/>
          <w:spacing w:val="0"/>
          <w:sz w:val="24"/>
          <w:szCs w:val="24"/>
          <w:highlight w:val="none"/>
        </w:rPr>
        <w:t>完成《赣州交通控股集团有限公司“十五五”发展规划中期评估及调整报告》</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rPr>
        <w:t>并</w:t>
      </w:r>
      <w:r>
        <w:rPr>
          <w:rFonts w:hint="eastAsia" w:ascii="宋体" w:hAnsi="宋体" w:eastAsia="宋体" w:cs="宋体"/>
          <w:i w:val="0"/>
          <w:iCs w:val="0"/>
          <w:caps w:val="0"/>
          <w:color w:val="auto"/>
          <w:spacing w:val="0"/>
          <w:sz w:val="24"/>
          <w:szCs w:val="24"/>
          <w:highlight w:val="none"/>
          <w:lang w:val="en-US" w:eastAsia="zh-CN"/>
        </w:rPr>
        <w:t>经</w:t>
      </w:r>
      <w:r>
        <w:rPr>
          <w:rFonts w:hint="eastAsia" w:ascii="宋体" w:hAnsi="宋体" w:eastAsia="宋体" w:cs="宋体"/>
          <w:i w:val="0"/>
          <w:iCs w:val="0"/>
          <w:caps w:val="0"/>
          <w:color w:val="auto"/>
          <w:spacing w:val="0"/>
          <w:sz w:val="24"/>
          <w:szCs w:val="24"/>
          <w:highlight w:val="none"/>
        </w:rPr>
        <w:t>询价人验收合</w:t>
      </w:r>
      <w:r>
        <w:rPr>
          <w:rFonts w:hint="eastAsia" w:ascii="宋体" w:hAnsi="宋体" w:eastAsia="宋体" w:cs="宋体"/>
          <w:i w:val="0"/>
          <w:iCs w:val="0"/>
          <w:caps w:val="0"/>
          <w:color w:val="auto"/>
          <w:spacing w:val="0"/>
          <w:sz w:val="24"/>
          <w:szCs w:val="24"/>
          <w:highlight w:val="none"/>
          <w:lang w:val="en-US" w:eastAsia="zh-CN"/>
        </w:rPr>
        <w:t>格</w:t>
      </w:r>
      <w:r>
        <w:rPr>
          <w:rFonts w:hint="eastAsia" w:ascii="宋体" w:hAnsi="宋体" w:eastAsia="宋体" w:cs="宋体"/>
          <w:i w:val="0"/>
          <w:iCs w:val="0"/>
          <w:caps w:val="0"/>
          <w:color w:val="auto"/>
          <w:spacing w:val="0"/>
          <w:sz w:val="24"/>
          <w:szCs w:val="24"/>
          <w:highlight w:val="none"/>
        </w:rPr>
        <w:t>后，支付规划编制费用总额的</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0%</w:t>
      </w:r>
      <w:r>
        <w:rPr>
          <w:rFonts w:hint="eastAsia" w:ascii="宋体" w:hAnsi="宋体" w:eastAsia="宋体" w:cs="宋体"/>
          <w:i w:val="0"/>
          <w:iCs w:val="0"/>
          <w:caps w:val="0"/>
          <w:color w:val="auto"/>
          <w:spacing w:val="0"/>
          <w:sz w:val="24"/>
          <w:szCs w:val="24"/>
          <w:highlight w:val="none"/>
          <w:lang w:eastAsia="zh-CN"/>
        </w:rPr>
        <w:t>。</w:t>
      </w:r>
    </w:p>
    <w:p w14:paraId="39679E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）成交人完成《赣州交通控股集团有限公司“十五五”发展规划总结报告》</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rPr>
        <w:t>并</w:t>
      </w:r>
      <w:r>
        <w:rPr>
          <w:rFonts w:hint="eastAsia" w:ascii="宋体" w:hAnsi="宋体" w:eastAsia="宋体" w:cs="宋体"/>
          <w:i w:val="0"/>
          <w:iCs w:val="0"/>
          <w:caps w:val="0"/>
          <w:color w:val="auto"/>
          <w:spacing w:val="0"/>
          <w:sz w:val="24"/>
          <w:szCs w:val="24"/>
          <w:highlight w:val="none"/>
          <w:lang w:val="en-US" w:eastAsia="zh-CN"/>
        </w:rPr>
        <w:t>经询价人</w:t>
      </w:r>
      <w:r>
        <w:rPr>
          <w:rFonts w:hint="eastAsia" w:ascii="宋体" w:hAnsi="宋体" w:eastAsia="宋体" w:cs="宋体"/>
          <w:i w:val="0"/>
          <w:iCs w:val="0"/>
          <w:caps w:val="0"/>
          <w:color w:val="auto"/>
          <w:spacing w:val="0"/>
          <w:sz w:val="24"/>
          <w:szCs w:val="24"/>
          <w:highlight w:val="none"/>
        </w:rPr>
        <w:t>验收</w:t>
      </w:r>
      <w:r>
        <w:rPr>
          <w:rFonts w:hint="eastAsia" w:ascii="宋体" w:hAnsi="宋体" w:eastAsia="宋体" w:cs="宋体"/>
          <w:i w:val="0"/>
          <w:iCs w:val="0"/>
          <w:caps w:val="0"/>
          <w:color w:val="auto"/>
          <w:spacing w:val="0"/>
          <w:sz w:val="24"/>
          <w:szCs w:val="24"/>
          <w:highlight w:val="none"/>
          <w:lang w:val="en-US" w:eastAsia="zh-CN"/>
        </w:rPr>
        <w:t>合格</w:t>
      </w:r>
      <w:r>
        <w:rPr>
          <w:rFonts w:hint="eastAsia" w:ascii="宋体" w:hAnsi="宋体" w:eastAsia="宋体" w:cs="宋体"/>
          <w:i w:val="0"/>
          <w:iCs w:val="0"/>
          <w:caps w:val="0"/>
          <w:color w:val="auto"/>
          <w:spacing w:val="0"/>
          <w:sz w:val="24"/>
          <w:szCs w:val="24"/>
          <w:highlight w:val="none"/>
        </w:rPr>
        <w:t>后，支付规划编制费用总额的</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0%</w:t>
      </w:r>
      <w:r>
        <w:rPr>
          <w:rFonts w:hint="eastAsia" w:ascii="宋体" w:hAnsi="宋体" w:eastAsia="宋体" w:cs="宋体"/>
          <w:i w:val="0"/>
          <w:iCs w:val="0"/>
          <w:caps w:val="0"/>
          <w:color w:val="auto"/>
          <w:spacing w:val="0"/>
          <w:sz w:val="24"/>
          <w:szCs w:val="24"/>
          <w:highlight w:val="none"/>
          <w:lang w:eastAsia="zh-CN"/>
        </w:rPr>
        <w:t>。</w:t>
      </w:r>
    </w:p>
    <w:p w14:paraId="369E19F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支付前，</w:t>
      </w:r>
      <w:r>
        <w:rPr>
          <w:rFonts w:hint="eastAsia" w:ascii="宋体" w:hAnsi="宋体" w:eastAsia="宋体" w:cs="宋体"/>
          <w:i w:val="0"/>
          <w:iCs w:val="0"/>
          <w:caps w:val="0"/>
          <w:color w:val="auto"/>
          <w:spacing w:val="0"/>
          <w:sz w:val="24"/>
          <w:szCs w:val="24"/>
          <w:highlight w:val="none"/>
          <w:lang w:val="en-US" w:eastAsia="zh-CN"/>
        </w:rPr>
        <w:t>成交</w:t>
      </w:r>
      <w:r>
        <w:rPr>
          <w:rFonts w:hint="eastAsia" w:ascii="宋体" w:hAnsi="宋体" w:eastAsia="宋体" w:cs="宋体"/>
          <w:i w:val="0"/>
          <w:iCs w:val="0"/>
          <w:caps w:val="0"/>
          <w:color w:val="auto"/>
          <w:spacing w:val="0"/>
          <w:sz w:val="24"/>
          <w:szCs w:val="24"/>
          <w:highlight w:val="none"/>
        </w:rPr>
        <w:t>人将支付申请报询价人，询价人收到</w:t>
      </w:r>
      <w:r>
        <w:rPr>
          <w:rFonts w:hint="eastAsia" w:ascii="宋体" w:hAnsi="宋体" w:eastAsia="宋体" w:cs="宋体"/>
          <w:i w:val="0"/>
          <w:iCs w:val="0"/>
          <w:caps w:val="0"/>
          <w:color w:val="auto"/>
          <w:spacing w:val="0"/>
          <w:sz w:val="24"/>
          <w:szCs w:val="24"/>
          <w:highlight w:val="none"/>
          <w:lang w:val="en-US" w:eastAsia="zh-CN"/>
        </w:rPr>
        <w:t>成交</w:t>
      </w:r>
      <w:r>
        <w:rPr>
          <w:rFonts w:hint="eastAsia" w:ascii="宋体" w:hAnsi="宋体" w:eastAsia="宋体" w:cs="宋体"/>
          <w:i w:val="0"/>
          <w:iCs w:val="0"/>
          <w:caps w:val="0"/>
          <w:color w:val="auto"/>
          <w:spacing w:val="0"/>
          <w:sz w:val="24"/>
          <w:szCs w:val="24"/>
          <w:highlight w:val="none"/>
        </w:rPr>
        <w:t>人提供的等额有效的增值税专用发票后，由询价人通过银行转账方式付至</w:t>
      </w:r>
      <w:r>
        <w:rPr>
          <w:rFonts w:hint="eastAsia" w:ascii="宋体" w:hAnsi="宋体" w:eastAsia="宋体" w:cs="宋体"/>
          <w:i w:val="0"/>
          <w:iCs w:val="0"/>
          <w:caps w:val="0"/>
          <w:color w:val="auto"/>
          <w:spacing w:val="0"/>
          <w:sz w:val="24"/>
          <w:szCs w:val="24"/>
          <w:highlight w:val="none"/>
          <w:lang w:val="en-US" w:eastAsia="zh-CN"/>
        </w:rPr>
        <w:t>成交</w:t>
      </w:r>
      <w:r>
        <w:rPr>
          <w:rFonts w:hint="eastAsia" w:ascii="宋体" w:hAnsi="宋体" w:eastAsia="宋体" w:cs="宋体"/>
          <w:i w:val="0"/>
          <w:iCs w:val="0"/>
          <w:caps w:val="0"/>
          <w:color w:val="auto"/>
          <w:spacing w:val="0"/>
          <w:sz w:val="24"/>
          <w:szCs w:val="24"/>
          <w:highlight w:val="none"/>
        </w:rPr>
        <w:t>人指定的银行账户，若因票据本身原因造成询价人审计、税务稽查风险，责任和损失全部由</w:t>
      </w:r>
      <w:r>
        <w:rPr>
          <w:rFonts w:hint="eastAsia" w:ascii="宋体" w:hAnsi="宋体" w:eastAsia="宋体" w:cs="宋体"/>
          <w:i w:val="0"/>
          <w:iCs w:val="0"/>
          <w:caps w:val="0"/>
          <w:color w:val="auto"/>
          <w:spacing w:val="0"/>
          <w:sz w:val="24"/>
          <w:szCs w:val="24"/>
          <w:highlight w:val="none"/>
          <w:lang w:val="en-US" w:eastAsia="zh-CN"/>
        </w:rPr>
        <w:t>成交</w:t>
      </w:r>
      <w:r>
        <w:rPr>
          <w:rFonts w:hint="eastAsia" w:ascii="宋体" w:hAnsi="宋体" w:eastAsia="宋体" w:cs="宋体"/>
          <w:i w:val="0"/>
          <w:iCs w:val="0"/>
          <w:caps w:val="0"/>
          <w:color w:val="auto"/>
          <w:spacing w:val="0"/>
          <w:sz w:val="24"/>
          <w:szCs w:val="24"/>
          <w:highlight w:val="none"/>
        </w:rPr>
        <w:t>人承担。</w:t>
      </w:r>
    </w:p>
    <w:p w14:paraId="1742FC7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p>
    <w:p w14:paraId="6A49C0F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bookmarkStart w:id="11" w:name="_Toc28414"/>
      <w:bookmarkEnd w:id="11"/>
      <w:bookmarkStart w:id="12" w:name="_Toc20111"/>
      <w:r>
        <w:rPr>
          <w:rStyle w:val="19"/>
          <w:rFonts w:hint="eastAsia" w:ascii="宋体" w:hAnsi="宋体" w:eastAsia="宋体" w:cs="宋体"/>
          <w:i w:val="0"/>
          <w:iCs w:val="0"/>
          <w:caps w:val="0"/>
          <w:color w:val="auto"/>
          <w:spacing w:val="0"/>
          <w:sz w:val="24"/>
          <w:szCs w:val="24"/>
          <w:highlight w:val="none"/>
          <w:lang w:val="en-US" w:eastAsia="zh-CN"/>
        </w:rPr>
        <w:t>九、报价人资格要求</w:t>
      </w:r>
      <w:bookmarkEnd w:id="12"/>
    </w:p>
    <w:p w14:paraId="1DBB669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宋体" w:hAnsi="宋体" w:eastAsia="宋体" w:cs="宋体"/>
          <w:b/>
          <w:bCs/>
          <w:i w:val="0"/>
          <w:iCs w:val="0"/>
          <w:caps w:val="0"/>
          <w:color w:val="auto"/>
          <w:spacing w:val="0"/>
          <w:sz w:val="24"/>
          <w:szCs w:val="24"/>
          <w:highlight w:val="none"/>
          <w:lang w:val="en-US" w:eastAsia="zh-CN"/>
        </w:rPr>
      </w:pPr>
      <w:bookmarkStart w:id="13" w:name="_Toc14089"/>
      <w:bookmarkEnd w:id="13"/>
      <w:r>
        <w:rPr>
          <w:rFonts w:hint="eastAsia" w:ascii="宋体" w:hAnsi="宋体" w:eastAsia="宋体" w:cs="宋体"/>
          <w:i w:val="0"/>
          <w:iCs w:val="0"/>
          <w:caps w:val="0"/>
          <w:color w:val="auto"/>
          <w:spacing w:val="0"/>
          <w:sz w:val="24"/>
          <w:szCs w:val="24"/>
          <w:highlight w:val="none"/>
        </w:rPr>
        <w:t>1、具备独立法人资格，持有有效的营业执照</w:t>
      </w:r>
      <w:r>
        <w:rPr>
          <w:rFonts w:hint="eastAsia" w:ascii="宋体" w:hAnsi="宋体" w:eastAsia="宋体" w:cs="宋体"/>
          <w:b/>
          <w:bCs/>
          <w:i w:val="0"/>
          <w:iCs w:val="0"/>
          <w:caps w:val="0"/>
          <w:color w:val="auto"/>
          <w:spacing w:val="0"/>
          <w:sz w:val="24"/>
          <w:szCs w:val="24"/>
          <w:highlight w:val="none"/>
          <w:lang w:val="en-US" w:eastAsia="zh-CN"/>
        </w:rPr>
        <w:t>或</w:t>
      </w:r>
      <w:r>
        <w:rPr>
          <w:rFonts w:hint="eastAsia" w:ascii="宋体" w:hAnsi="宋体" w:eastAsia="宋体" w:cs="宋体"/>
          <w:i w:val="0"/>
          <w:iCs w:val="0"/>
          <w:caps w:val="0"/>
          <w:color w:val="auto"/>
          <w:spacing w:val="0"/>
          <w:sz w:val="24"/>
          <w:szCs w:val="24"/>
          <w:highlight w:val="none"/>
          <w:lang w:val="en-US" w:eastAsia="zh-CN"/>
        </w:rPr>
        <w:t>事业单位法人证书。</w:t>
      </w:r>
    </w:p>
    <w:p w14:paraId="6AC0E5E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2、业绩</w:t>
      </w:r>
      <w:r>
        <w:rPr>
          <w:rFonts w:hint="eastAsia" w:ascii="宋体" w:hAnsi="宋体" w:eastAsia="宋体" w:cs="宋体"/>
          <w:i w:val="0"/>
          <w:iCs w:val="0"/>
          <w:caps w:val="0"/>
          <w:color w:val="auto"/>
          <w:spacing w:val="0"/>
          <w:sz w:val="24"/>
          <w:szCs w:val="24"/>
          <w:highlight w:val="none"/>
          <w:lang w:val="en-US" w:eastAsia="zh-CN"/>
        </w:rPr>
        <w:t>最低</w:t>
      </w:r>
      <w:r>
        <w:rPr>
          <w:rFonts w:hint="eastAsia" w:ascii="宋体" w:hAnsi="宋体" w:eastAsia="宋体" w:cs="宋体"/>
          <w:i w:val="0"/>
          <w:iCs w:val="0"/>
          <w:caps w:val="0"/>
          <w:color w:val="auto"/>
          <w:spacing w:val="0"/>
          <w:sz w:val="24"/>
          <w:szCs w:val="24"/>
          <w:highlight w:val="none"/>
        </w:rPr>
        <w:t>要求：近</w:t>
      </w:r>
      <w:r>
        <w:rPr>
          <w:rFonts w:hint="eastAsia" w:ascii="宋体" w:hAnsi="宋体" w:eastAsia="宋体" w:cs="宋体"/>
          <w:i w:val="0"/>
          <w:iCs w:val="0"/>
          <w:caps w:val="0"/>
          <w:color w:val="auto"/>
          <w:spacing w:val="0"/>
          <w:sz w:val="24"/>
          <w:szCs w:val="24"/>
          <w:highlight w:val="none"/>
          <w:lang w:val="en-US" w:eastAsia="zh-CN"/>
        </w:rPr>
        <w:t>五</w:t>
      </w:r>
      <w:r>
        <w:rPr>
          <w:rFonts w:hint="eastAsia" w:ascii="宋体" w:hAnsi="宋体" w:eastAsia="宋体" w:cs="宋体"/>
          <w:i w:val="0"/>
          <w:iCs w:val="0"/>
          <w:caps w:val="0"/>
          <w:color w:val="auto"/>
          <w:spacing w:val="0"/>
          <w:sz w:val="24"/>
          <w:szCs w:val="24"/>
          <w:highlight w:val="none"/>
        </w:rPr>
        <w:t>年内（合同签订时间为202</w:t>
      </w:r>
      <w:r>
        <w:rPr>
          <w:rFonts w:hint="eastAsia" w:ascii="宋体" w:hAnsi="宋体" w:eastAsia="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日至询价公告发布前1日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下同</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至少</w:t>
      </w:r>
      <w:r>
        <w:rPr>
          <w:rFonts w:hint="eastAsia" w:ascii="宋体" w:hAnsi="宋体" w:eastAsia="宋体" w:cs="宋体"/>
          <w:i w:val="0"/>
          <w:iCs w:val="0"/>
          <w:caps w:val="0"/>
          <w:color w:val="auto"/>
          <w:spacing w:val="0"/>
          <w:sz w:val="24"/>
          <w:szCs w:val="24"/>
          <w:highlight w:val="none"/>
        </w:rPr>
        <w:t>承</w:t>
      </w:r>
      <w:r>
        <w:rPr>
          <w:rFonts w:hint="eastAsia" w:ascii="宋体" w:hAnsi="宋体" w:eastAsia="宋体" w:cs="宋体"/>
          <w:i w:val="0"/>
          <w:iCs w:val="0"/>
          <w:caps w:val="0"/>
          <w:color w:val="auto"/>
          <w:spacing w:val="0"/>
          <w:sz w:val="24"/>
          <w:szCs w:val="24"/>
          <w:highlight w:val="none"/>
          <w:lang w:val="en-US" w:eastAsia="zh-CN"/>
        </w:rPr>
        <w:t>接</w:t>
      </w:r>
      <w:r>
        <w:rPr>
          <w:rFonts w:hint="eastAsia" w:ascii="宋体" w:hAnsi="宋体" w:eastAsia="宋体" w:cs="宋体"/>
          <w:i w:val="0"/>
          <w:iCs w:val="0"/>
          <w:caps w:val="0"/>
          <w:color w:val="auto"/>
          <w:spacing w:val="0"/>
          <w:sz w:val="24"/>
          <w:szCs w:val="24"/>
          <w:highlight w:val="none"/>
        </w:rPr>
        <w:t>过</w:t>
      </w:r>
      <w:r>
        <w:rPr>
          <w:rFonts w:hint="eastAsia" w:ascii="宋体" w:hAnsi="宋体" w:eastAsia="宋体" w:cs="宋体"/>
          <w:i w:val="0"/>
          <w:iCs w:val="0"/>
          <w:caps w:val="0"/>
          <w:color w:val="auto"/>
          <w:spacing w:val="0"/>
          <w:sz w:val="24"/>
          <w:szCs w:val="24"/>
          <w:highlight w:val="none"/>
          <w:lang w:val="en-US" w:eastAsia="zh-CN"/>
        </w:rPr>
        <w:t>1个地级市及以上国有企业</w:t>
      </w:r>
      <w:r>
        <w:rPr>
          <w:rFonts w:hint="eastAsia" w:ascii="宋体" w:hAnsi="宋体" w:eastAsia="宋体" w:cs="宋体"/>
          <w:i w:val="0"/>
          <w:iCs w:val="0"/>
          <w:caps w:val="0"/>
          <w:color w:val="auto"/>
          <w:spacing w:val="0"/>
          <w:sz w:val="24"/>
          <w:szCs w:val="24"/>
          <w:highlight w:val="none"/>
        </w:rPr>
        <w:t>战略规划编制项目业绩。</w:t>
      </w:r>
    </w:p>
    <w:p w14:paraId="6ED3B88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3、</w:t>
      </w:r>
      <w:r>
        <w:rPr>
          <w:rFonts w:hint="eastAsia" w:ascii="宋体" w:hAnsi="宋体" w:eastAsia="宋体" w:cs="宋体"/>
          <w:i w:val="0"/>
          <w:iCs w:val="0"/>
          <w:caps w:val="0"/>
          <w:color w:val="auto"/>
          <w:spacing w:val="0"/>
          <w:sz w:val="24"/>
          <w:szCs w:val="24"/>
          <w:highlight w:val="none"/>
          <w:lang w:val="en-US" w:eastAsia="zh-CN"/>
        </w:rPr>
        <w:t>项目负责人最低要求：</w:t>
      </w:r>
      <w:r>
        <w:rPr>
          <w:rFonts w:hint="eastAsia" w:ascii="宋体" w:hAnsi="宋体" w:eastAsia="宋体" w:cs="宋体"/>
          <w:i w:val="0"/>
          <w:iCs w:val="0"/>
          <w:caps w:val="0"/>
          <w:color w:val="auto"/>
          <w:spacing w:val="0"/>
          <w:sz w:val="24"/>
          <w:szCs w:val="24"/>
          <w:highlight w:val="none"/>
        </w:rPr>
        <w:t>拟委任的项目负责人</w:t>
      </w:r>
      <w:r>
        <w:rPr>
          <w:rFonts w:hint="eastAsia" w:ascii="宋体" w:hAnsi="宋体" w:eastAsia="宋体" w:cs="宋体"/>
          <w:i w:val="0"/>
          <w:iCs w:val="0"/>
          <w:caps w:val="0"/>
          <w:color w:val="auto"/>
          <w:spacing w:val="0"/>
          <w:sz w:val="24"/>
          <w:szCs w:val="24"/>
          <w:highlight w:val="none"/>
          <w:lang w:val="en-US" w:eastAsia="zh-CN"/>
        </w:rPr>
        <w:t>作为项目负责人至少承接过1个地级市及以上国有企业</w:t>
      </w:r>
      <w:r>
        <w:rPr>
          <w:rFonts w:hint="eastAsia" w:ascii="宋体" w:hAnsi="宋体" w:eastAsia="宋体" w:cs="宋体"/>
          <w:i w:val="0"/>
          <w:iCs w:val="0"/>
          <w:caps w:val="0"/>
          <w:color w:val="auto"/>
          <w:spacing w:val="0"/>
          <w:sz w:val="24"/>
          <w:szCs w:val="24"/>
          <w:highlight w:val="none"/>
        </w:rPr>
        <w:t>战略规划编制项目业绩</w:t>
      </w:r>
      <w:r>
        <w:rPr>
          <w:rFonts w:hint="eastAsia" w:ascii="宋体" w:hAnsi="宋体" w:eastAsia="宋体" w:cs="宋体"/>
          <w:i w:val="0"/>
          <w:iCs w:val="0"/>
          <w:caps w:val="0"/>
          <w:color w:val="auto"/>
          <w:spacing w:val="0"/>
          <w:sz w:val="24"/>
          <w:szCs w:val="24"/>
          <w:highlight w:val="none"/>
          <w:lang w:val="en-US" w:eastAsia="zh-CN"/>
        </w:rPr>
        <w:t>。</w:t>
      </w:r>
    </w:p>
    <w:p w14:paraId="1AD98D4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Style w:val="19"/>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报价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0EC2F6D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p>
    <w:p w14:paraId="32E04F7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bookmarkStart w:id="14" w:name="_Toc23598"/>
      <w:r>
        <w:rPr>
          <w:rStyle w:val="19"/>
          <w:rFonts w:hint="eastAsia" w:ascii="宋体" w:hAnsi="宋体" w:eastAsia="宋体" w:cs="宋体"/>
          <w:i w:val="0"/>
          <w:iCs w:val="0"/>
          <w:caps w:val="0"/>
          <w:color w:val="auto"/>
          <w:spacing w:val="0"/>
          <w:sz w:val="24"/>
          <w:szCs w:val="24"/>
          <w:highlight w:val="none"/>
          <w:lang w:val="en-US" w:eastAsia="zh-CN"/>
        </w:rPr>
        <w:t>十、响应文件组成</w:t>
      </w:r>
      <w:bookmarkEnd w:id="14"/>
    </w:p>
    <w:p w14:paraId="3F199E4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b/>
          <w:color w:val="auto"/>
          <w:sz w:val="24"/>
          <w:szCs w:val="24"/>
          <w:highlight w:val="none"/>
        </w:rPr>
      </w:pPr>
      <w:r>
        <w:rPr>
          <w:rFonts w:hint="eastAsia" w:ascii="宋体" w:hAnsi="宋体"/>
          <w:color w:val="auto"/>
          <w:kern w:val="0"/>
          <w:sz w:val="24"/>
          <w:szCs w:val="24"/>
          <w:highlight w:val="none"/>
          <w:lang w:bidi="ar"/>
        </w:rPr>
        <w:t>报价人应根据询价文件的要求编制</w:t>
      </w:r>
      <w:r>
        <w:rPr>
          <w:rFonts w:hint="eastAsia" w:ascii="宋体" w:hAnsi="宋体"/>
          <w:color w:val="auto"/>
          <w:kern w:val="0"/>
          <w:sz w:val="24"/>
          <w:szCs w:val="24"/>
          <w:highlight w:val="none"/>
          <w:lang w:eastAsia="zh-CN" w:bidi="ar"/>
        </w:rPr>
        <w:t>响应文件</w:t>
      </w:r>
      <w:r>
        <w:rPr>
          <w:rFonts w:hint="eastAsia" w:ascii="宋体" w:hAnsi="宋体"/>
          <w:color w:val="auto"/>
          <w:kern w:val="0"/>
          <w:sz w:val="24"/>
          <w:szCs w:val="24"/>
          <w:highlight w:val="none"/>
          <w:lang w:bidi="ar"/>
        </w:rPr>
        <w:t>，同时将纸质</w:t>
      </w:r>
      <w:r>
        <w:rPr>
          <w:rFonts w:hint="eastAsia" w:ascii="宋体" w:hAnsi="宋体"/>
          <w:color w:val="auto"/>
          <w:kern w:val="0"/>
          <w:sz w:val="24"/>
          <w:szCs w:val="24"/>
          <w:highlight w:val="none"/>
          <w:lang w:eastAsia="zh-CN" w:bidi="ar"/>
        </w:rPr>
        <w:t>响应文件</w:t>
      </w:r>
      <w:r>
        <w:rPr>
          <w:rFonts w:hint="eastAsia" w:ascii="宋体" w:hAnsi="宋体"/>
          <w:b/>
          <w:color w:val="auto"/>
          <w:sz w:val="24"/>
          <w:szCs w:val="24"/>
          <w:highlight w:val="none"/>
        </w:rPr>
        <w:t>逐页加盖单位公章并装订成册（一式叁份）、不得活页，并标明正副本一正二副（正本与副本内容不一致的，以正本为准）。</w:t>
      </w:r>
    </w:p>
    <w:p w14:paraId="1989F67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包括：</w:t>
      </w:r>
    </w:p>
    <w:p w14:paraId="353558F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一</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第一信封（商务及技术文件）</w:t>
      </w:r>
    </w:p>
    <w:p w14:paraId="2F97B96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rPr>
      </w:pPr>
      <w:bookmarkStart w:id="15" w:name="_Toc23412"/>
      <w:bookmarkEnd w:id="15"/>
      <w:r>
        <w:rPr>
          <w:rFonts w:hint="eastAsia" w:ascii="宋体" w:hAnsi="宋体" w:eastAsia="宋体" w:cs="宋体"/>
          <w:i w:val="0"/>
          <w:iCs w:val="0"/>
          <w:caps w:val="0"/>
          <w:color w:val="auto"/>
          <w:spacing w:val="0"/>
          <w:sz w:val="24"/>
          <w:szCs w:val="24"/>
          <w:highlight w:val="none"/>
        </w:rPr>
        <w:t>1、法人代表相关证明或其委授权委托书（含授权人和被授权人身份证复印件）；</w:t>
      </w:r>
    </w:p>
    <w:p w14:paraId="47B65B2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、信誉承诺表；</w:t>
      </w:r>
    </w:p>
    <w:p w14:paraId="05BE8C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报价人营业执照或事业单位法人证书</w:t>
      </w:r>
      <w:r>
        <w:rPr>
          <w:rFonts w:hint="eastAsia" w:ascii="宋体" w:hAnsi="宋体" w:eastAsia="宋体" w:cs="宋体"/>
          <w:i w:val="0"/>
          <w:iCs w:val="0"/>
          <w:caps w:val="0"/>
          <w:color w:val="auto"/>
          <w:spacing w:val="0"/>
          <w:sz w:val="24"/>
          <w:szCs w:val="24"/>
          <w:highlight w:val="none"/>
        </w:rPr>
        <w:t>、业绩证明材料；</w:t>
      </w:r>
    </w:p>
    <w:p w14:paraId="13E04BC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、拟投入</w:t>
      </w:r>
      <w:r>
        <w:rPr>
          <w:rFonts w:hint="eastAsia" w:ascii="宋体" w:hAnsi="宋体" w:eastAsia="宋体" w:cs="宋体"/>
          <w:i w:val="0"/>
          <w:iCs w:val="0"/>
          <w:caps w:val="0"/>
          <w:color w:val="auto"/>
          <w:spacing w:val="0"/>
          <w:sz w:val="24"/>
          <w:szCs w:val="24"/>
          <w:highlight w:val="none"/>
          <w:lang w:val="en-US" w:eastAsia="zh-CN"/>
        </w:rPr>
        <w:t>项目负责人</w:t>
      </w:r>
      <w:r>
        <w:rPr>
          <w:rFonts w:hint="eastAsia" w:ascii="宋体" w:hAnsi="宋体" w:eastAsia="宋体" w:cs="宋体"/>
          <w:i w:val="0"/>
          <w:iCs w:val="0"/>
          <w:caps w:val="0"/>
          <w:color w:val="auto"/>
          <w:spacing w:val="0"/>
          <w:sz w:val="24"/>
          <w:szCs w:val="24"/>
          <w:highlight w:val="none"/>
        </w:rPr>
        <w:t>资历表及相关证明材料；</w:t>
      </w:r>
    </w:p>
    <w:p w14:paraId="270C8A7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拟投入驻地团队成员承诺函（拟投入驻地团队成员最低要求详见附表1）</w:t>
      </w:r>
      <w:r>
        <w:rPr>
          <w:rFonts w:hint="eastAsia" w:ascii="宋体" w:hAnsi="宋体" w:eastAsia="宋体" w:cs="宋体"/>
          <w:i w:val="0"/>
          <w:iCs w:val="0"/>
          <w:caps w:val="0"/>
          <w:color w:val="auto"/>
          <w:spacing w:val="0"/>
          <w:sz w:val="24"/>
          <w:szCs w:val="24"/>
          <w:highlight w:val="none"/>
        </w:rPr>
        <w:t>；</w:t>
      </w:r>
    </w:p>
    <w:p w14:paraId="5F808F5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6、技术文件</w:t>
      </w:r>
    </w:p>
    <w:p w14:paraId="7953271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询价文件要求的其它文件。</w:t>
      </w:r>
    </w:p>
    <w:p w14:paraId="57EE353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二</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第二信封（报价文件）</w:t>
      </w:r>
    </w:p>
    <w:p w14:paraId="10DDDB0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、报价函</w:t>
      </w:r>
    </w:p>
    <w:p w14:paraId="49C748D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default" w:ascii="宋体" w:hAnsi="宋体" w:eastAsia="宋体" w:cs="宋体"/>
          <w:i w:val="0"/>
          <w:iCs w:val="0"/>
          <w:caps w:val="0"/>
          <w:color w:val="auto"/>
          <w:spacing w:val="0"/>
          <w:sz w:val="24"/>
          <w:szCs w:val="24"/>
          <w:highlight w:val="none"/>
          <w:lang w:val="en-US" w:eastAsia="zh-CN"/>
        </w:rPr>
      </w:pPr>
    </w:p>
    <w:p w14:paraId="221CE63D">
      <w:pPr>
        <w:numPr>
          <w:ilvl w:val="0"/>
          <w:numId w:val="4"/>
        </w:numPr>
        <w:wordWrap w:val="0"/>
        <w:spacing w:line="500" w:lineRule="exact"/>
        <w:ind w:firstLine="482" w:firstLineChars="200"/>
        <w:outlineLvl w:val="1"/>
        <w:rPr>
          <w:rStyle w:val="19"/>
          <w:rFonts w:hint="eastAsia" w:ascii="宋体" w:hAnsi="宋体" w:eastAsia="宋体" w:cs="宋体"/>
          <w:i w:val="0"/>
          <w:iCs w:val="0"/>
          <w:caps w:val="0"/>
          <w:color w:val="auto"/>
          <w:spacing w:val="0"/>
          <w:sz w:val="24"/>
          <w:szCs w:val="24"/>
          <w:highlight w:val="none"/>
          <w:lang w:val="en-US" w:eastAsia="zh-CN"/>
        </w:rPr>
      </w:pPr>
      <w:bookmarkStart w:id="16" w:name="_Toc31563"/>
      <w:r>
        <w:rPr>
          <w:rStyle w:val="19"/>
          <w:rFonts w:hint="eastAsia" w:ascii="宋体" w:hAnsi="宋体" w:eastAsia="宋体" w:cs="宋体"/>
          <w:i w:val="0"/>
          <w:iCs w:val="0"/>
          <w:caps w:val="0"/>
          <w:color w:val="auto"/>
          <w:spacing w:val="0"/>
          <w:sz w:val="24"/>
          <w:szCs w:val="24"/>
          <w:highlight w:val="none"/>
          <w:lang w:val="en-US" w:eastAsia="zh-CN"/>
        </w:rPr>
        <w:t>公告媒介、询价文件获取时间及方式及补遗：</w:t>
      </w:r>
      <w:bookmarkEnd w:id="16"/>
      <w:bookmarkStart w:id="17" w:name="_Toc27773"/>
      <w:bookmarkEnd w:id="17"/>
    </w:p>
    <w:p w14:paraId="29394A83">
      <w:pPr>
        <w:numPr>
          <w:ilvl w:val="0"/>
          <w:numId w:val="0"/>
        </w:numPr>
        <w:wordWrap w:val="0"/>
        <w:spacing w:line="500" w:lineRule="exact"/>
        <w:ind w:firstLine="480" w:firstLineChars="200"/>
        <w:outlineLvl w:val="9"/>
        <w:rPr>
          <w:rFonts w:hint="eastAsia" w:ascii="宋体" w:hAnsi="宋体" w:cs="宋体"/>
          <w:bCs/>
          <w:color w:val="auto"/>
          <w:sz w:val="24"/>
          <w:szCs w:val="24"/>
          <w:highlight w:val="none"/>
        </w:rPr>
      </w:pPr>
      <w:r>
        <w:rPr>
          <w:rFonts w:hint="eastAsia" w:ascii="宋体" w:hAnsi="宋体" w:cs="宋体"/>
          <w:bCs/>
          <w:color w:val="auto"/>
          <w:sz w:val="24"/>
          <w:szCs w:val="24"/>
          <w:highlight w:val="none"/>
        </w:rPr>
        <w:t>有意向的报价方请于</w:t>
      </w:r>
      <w:r>
        <w:rPr>
          <w:rFonts w:hint="eastAsia" w:ascii="宋体" w:hAnsi="宋体" w:cs="宋体"/>
          <w:bCs/>
          <w:color w:val="auto"/>
          <w:sz w:val="24"/>
          <w:szCs w:val="24"/>
          <w:highlight w:val="none"/>
          <w:lang w:eastAsia="zh-CN"/>
        </w:rPr>
        <w:t>响应文件</w:t>
      </w:r>
      <w:r>
        <w:rPr>
          <w:rFonts w:hint="eastAsia" w:ascii="宋体" w:hAnsi="宋体" w:cs="宋体"/>
          <w:bCs/>
          <w:color w:val="auto"/>
          <w:sz w:val="24"/>
          <w:szCs w:val="24"/>
          <w:highlight w:val="none"/>
        </w:rPr>
        <w:t>的递交截止时间前，自行在江西省招标投标网（http://www.jxtb.org.cn/）或赣州交通控股集团有限公司官方网站（http://www.gzjtkgjt.com/）查阅询价公告，在赣州交通控股集团有限公司官方网站（http://www.gzjtkgjt.com/）下载询价文件，本项目询价如有补遗，将于</w:t>
      </w:r>
      <w:r>
        <w:rPr>
          <w:rFonts w:hint="eastAsia" w:ascii="宋体" w:hAnsi="宋体" w:cs="宋体"/>
          <w:bCs/>
          <w:color w:val="auto"/>
          <w:sz w:val="24"/>
          <w:szCs w:val="24"/>
          <w:highlight w:val="none"/>
          <w:lang w:eastAsia="zh-CN"/>
        </w:rPr>
        <w:t>响应文件</w:t>
      </w:r>
      <w:r>
        <w:rPr>
          <w:rFonts w:hint="eastAsia" w:ascii="宋体" w:hAnsi="宋体" w:cs="宋体"/>
          <w:bCs/>
          <w:color w:val="auto"/>
          <w:sz w:val="24"/>
          <w:szCs w:val="24"/>
          <w:highlight w:val="none"/>
        </w:rPr>
        <w:t>递交截止时间前2天在赣州交通控股集团有限公司官方网站（http://www.gzjtkgjt.com/）发布，报价人应随时关注该网站，及时下载，询价人不再另行通知。</w:t>
      </w:r>
    </w:p>
    <w:p w14:paraId="292FC1A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bookmarkStart w:id="18" w:name="_Toc3764"/>
    </w:p>
    <w:p w14:paraId="134E32A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1"/>
        <w:rPr>
          <w:rStyle w:val="19"/>
          <w:rFonts w:hint="eastAsia" w:ascii="宋体" w:hAnsi="宋体" w:eastAsia="宋体" w:cs="宋体"/>
          <w:i w:val="0"/>
          <w:iCs w:val="0"/>
          <w:caps w:val="0"/>
          <w:color w:val="auto"/>
          <w:spacing w:val="0"/>
          <w:sz w:val="24"/>
          <w:szCs w:val="24"/>
          <w:highlight w:val="none"/>
          <w:lang w:val="en-US" w:eastAsia="zh-CN"/>
        </w:rPr>
      </w:pPr>
      <w:r>
        <w:rPr>
          <w:rStyle w:val="19"/>
          <w:rFonts w:hint="eastAsia" w:ascii="宋体" w:hAnsi="宋体" w:eastAsia="宋体" w:cs="宋体"/>
          <w:i w:val="0"/>
          <w:iCs w:val="0"/>
          <w:caps w:val="0"/>
          <w:color w:val="auto"/>
          <w:spacing w:val="0"/>
          <w:sz w:val="24"/>
          <w:szCs w:val="24"/>
          <w:highlight w:val="none"/>
          <w:lang w:val="en-US" w:eastAsia="zh-CN"/>
        </w:rPr>
        <w:t>十二、响应文件的密封和标识</w:t>
      </w:r>
      <w:bookmarkEnd w:id="18"/>
    </w:p>
    <w:p w14:paraId="6A22799E">
      <w:pPr>
        <w:spacing w:line="520" w:lineRule="exact"/>
        <w:ind w:firstLine="480" w:firstLineChars="200"/>
        <w:rPr>
          <w:rFonts w:hint="eastAsia" w:ascii="宋体" w:hAnsi="宋体"/>
          <w:color w:val="auto"/>
          <w:sz w:val="24"/>
          <w:szCs w:val="24"/>
          <w:highlight w:val="none"/>
        </w:rPr>
      </w:pPr>
      <w:bookmarkStart w:id="19" w:name="_Toc8882"/>
      <w:r>
        <w:rPr>
          <w:rFonts w:hint="eastAsia" w:ascii="宋体" w:hAnsi="宋体"/>
          <w:color w:val="auto"/>
          <w:sz w:val="24"/>
          <w:szCs w:val="24"/>
          <w:highlight w:val="none"/>
        </w:rPr>
        <w:t>报价人应根据询价文件的要求编制</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文件，响应文件应采用双信封形式密封。第一个信封（商务及技术文件） 以及第二个信封（报价文件）应单独密封包装。商务及技术文件的正本与副本（一正二副）应统一密封在一个封套中。报价文件的正本与副本（一正二副）应统一密封在另一个封套中。在</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文件递交截止时间前，</w:t>
      </w:r>
      <w:r>
        <w:rPr>
          <w:rFonts w:hint="eastAsia" w:ascii="宋体" w:hAnsi="宋体"/>
          <w:b/>
          <w:bCs/>
          <w:color w:val="auto"/>
          <w:sz w:val="24"/>
          <w:szCs w:val="24"/>
          <w:highlight w:val="none"/>
        </w:rPr>
        <w:t>将纸质响应文件装订成册，密封提交至</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rPr>
        <w:t>文件递交地点。</w:t>
      </w:r>
      <w:r>
        <w:rPr>
          <w:rFonts w:hint="eastAsia" w:ascii="宋体" w:hAnsi="宋体"/>
          <w:color w:val="auto"/>
          <w:sz w:val="24"/>
          <w:szCs w:val="24"/>
          <w:highlight w:val="none"/>
        </w:rPr>
        <w:t>密封封面应注明项目名称、报价单位名称、响应日期，封套的封口处加盖报价人单位章或由报价人的法定代表人或其委托代理人签字。</w:t>
      </w:r>
    </w:p>
    <w:p w14:paraId="7358A1BF">
      <w:pPr>
        <w:keepNext w:val="0"/>
        <w:keepLines w:val="0"/>
        <w:pageBreakBefore w:val="0"/>
        <w:widowControl w:val="0"/>
        <w:kinsoku/>
        <w:wordWrap/>
        <w:overflowPunct/>
        <w:topLinePunct w:val="0"/>
        <w:autoSpaceDE/>
        <w:autoSpaceDN/>
        <w:bidi w:val="0"/>
        <w:adjustRightInd/>
        <w:snapToGrid/>
        <w:spacing w:after="157" w:afterLines="50" w:line="480" w:lineRule="exact"/>
        <w:ind w:firstLine="482"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封套格式如下：</w:t>
      </w:r>
    </w:p>
    <w:p w14:paraId="4C7DC1F2">
      <w:pPr>
        <w:keepNext w:val="0"/>
        <w:keepLines w:val="0"/>
        <w:pageBreakBefore w:val="0"/>
        <w:widowControl w:val="0"/>
        <w:kinsoku/>
        <w:wordWrap/>
        <w:overflowPunct/>
        <w:topLinePunct w:val="0"/>
        <w:autoSpaceDE/>
        <w:autoSpaceDN/>
        <w:bidi w:val="0"/>
        <w:adjustRightInd/>
        <w:snapToGrid/>
        <w:spacing w:after="157" w:afterLines="50" w:line="480" w:lineRule="exact"/>
        <w:ind w:firstLine="480" w:firstLineChars="200"/>
        <w:textAlignment w:val="auto"/>
        <w:rPr>
          <w:rFonts w:hint="eastAsia" w:asciiTheme="minorEastAsia" w:hAnsiTheme="minorEastAsia" w:eastAsiaTheme="minorEastAsia" w:cstheme="minorEastAsia"/>
          <w:bCs/>
          <w:sz w:val="24"/>
          <w:szCs w:val="24"/>
          <w:highlight w:val="none"/>
          <w:u w:val="single"/>
          <w:lang w:val="en-US" w:eastAsia="zh-CN"/>
        </w:rPr>
      </w:pPr>
      <w:r>
        <w:rPr>
          <w:rFonts w:hint="eastAsia" w:asciiTheme="minorEastAsia" w:hAnsiTheme="minorEastAsia" w:eastAsiaTheme="minorEastAsia" w:cstheme="minorEastAsia"/>
          <w:bCs/>
          <w:sz w:val="24"/>
          <w:szCs w:val="24"/>
          <w:highlight w:val="none"/>
          <w:lang w:val="en-US" w:eastAsia="zh-CN"/>
        </w:rPr>
        <w:t>报价人名称：</w:t>
      </w:r>
      <w:r>
        <w:rPr>
          <w:rFonts w:hint="eastAsia" w:asciiTheme="minorEastAsia" w:hAnsiTheme="minorEastAsia" w:eastAsiaTheme="minorEastAsia" w:cstheme="minorEastAsia"/>
          <w:bCs/>
          <w:sz w:val="24"/>
          <w:szCs w:val="24"/>
          <w:highlight w:val="none"/>
          <w:u w:val="single"/>
          <w:lang w:val="en-US" w:eastAsia="zh-CN"/>
        </w:rPr>
        <w:t xml:space="preserve">                         </w:t>
      </w:r>
    </w:p>
    <w:p w14:paraId="77AB1C4E">
      <w:pPr>
        <w:keepNext w:val="0"/>
        <w:keepLines w:val="0"/>
        <w:pageBreakBefore w:val="0"/>
        <w:widowControl w:val="0"/>
        <w:kinsoku/>
        <w:wordWrap/>
        <w:overflowPunct/>
        <w:topLinePunct w:val="0"/>
        <w:autoSpaceDE/>
        <w:autoSpaceDN/>
        <w:bidi w:val="0"/>
        <w:adjustRightInd/>
        <w:snapToGrid/>
        <w:spacing w:after="157" w:afterLines="50" w:line="480" w:lineRule="exact"/>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报价人地址：</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lang w:val="en-US" w:eastAsia="zh-CN"/>
        </w:rPr>
        <w:t>        </w:t>
      </w:r>
    </w:p>
    <w:p w14:paraId="3AB0538F">
      <w:pPr>
        <w:keepNext w:val="0"/>
        <w:keepLines w:val="0"/>
        <w:pageBreakBefore w:val="0"/>
        <w:widowControl w:val="0"/>
        <w:kinsoku/>
        <w:wordWrap/>
        <w:overflowPunct/>
        <w:topLinePunct w:val="0"/>
        <w:autoSpaceDE/>
        <w:autoSpaceDN/>
        <w:bidi w:val="0"/>
        <w:adjustRightInd/>
        <w:snapToGrid/>
        <w:spacing w:after="157" w:afterLines="50" w:line="480" w:lineRule="exact"/>
        <w:ind w:firstLine="482"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
          <w:bCs w:val="0"/>
          <w:sz w:val="24"/>
          <w:szCs w:val="24"/>
          <w:highlight w:val="none"/>
          <w:u w:val="single"/>
          <w:lang w:val="en-US" w:eastAsia="zh-CN"/>
        </w:rPr>
        <w:t>赣州交控“十五五”规划编制服务</w:t>
      </w:r>
      <w:r>
        <w:rPr>
          <w:rFonts w:hint="eastAsia" w:asciiTheme="minorEastAsia" w:hAnsiTheme="minorEastAsia" w:eastAsiaTheme="minorEastAsia" w:cstheme="minorEastAsia"/>
          <w:bCs/>
          <w:sz w:val="24"/>
          <w:szCs w:val="24"/>
          <w:highlight w:val="none"/>
          <w:lang w:val="en-US" w:eastAsia="zh-CN"/>
        </w:rPr>
        <w:t>商务及技术/报价文件</w:t>
      </w:r>
    </w:p>
    <w:p w14:paraId="494A5844">
      <w:pPr>
        <w:spacing w:line="520" w:lineRule="exact"/>
        <w:ind w:firstLine="480" w:firstLineChars="20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 xml:space="preserve">在 </w:t>
      </w:r>
      <w:r>
        <w:rPr>
          <w:rFonts w:hint="eastAsia" w:asciiTheme="minorEastAsia" w:hAnsiTheme="minorEastAsia" w:eastAsiaTheme="minorEastAsia" w:cstheme="minorEastAsia"/>
          <w:bCs/>
          <w:sz w:val="24"/>
          <w:szCs w:val="24"/>
          <w:highlight w:val="none"/>
          <w:u w:val="single"/>
          <w:lang w:val="en-US" w:eastAsia="zh-CN"/>
        </w:rPr>
        <w:t>2025</w:t>
      </w:r>
      <w:r>
        <w:rPr>
          <w:rFonts w:hint="eastAsia" w:asciiTheme="minorEastAsia" w:hAnsiTheme="minorEastAsia" w:eastAsiaTheme="minorEastAsia" w:cstheme="minorEastAsia"/>
          <w:bCs/>
          <w:sz w:val="24"/>
          <w:szCs w:val="24"/>
          <w:highlight w:val="none"/>
          <w:lang w:val="en-US" w:eastAsia="zh-CN"/>
        </w:rPr>
        <w:t>年</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cstheme="minorEastAsia"/>
          <w:bCs/>
          <w:sz w:val="24"/>
          <w:szCs w:val="24"/>
          <w:highlight w:val="none"/>
          <w:u w:val="single"/>
          <w:lang w:val="en-US" w:eastAsia="zh-CN"/>
        </w:rPr>
        <w:t>9</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lang w:val="en-US" w:eastAsia="zh-CN"/>
        </w:rPr>
        <w:t>月</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cstheme="minorEastAsia"/>
          <w:bCs/>
          <w:sz w:val="24"/>
          <w:szCs w:val="24"/>
          <w:highlight w:val="none"/>
          <w:u w:val="single"/>
          <w:lang w:val="en-US" w:eastAsia="zh-CN"/>
        </w:rPr>
        <w:t>12</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lang w:val="en-US" w:eastAsia="zh-CN"/>
        </w:rPr>
        <w:t>日</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cstheme="minorEastAsia"/>
          <w:bCs/>
          <w:sz w:val="24"/>
          <w:szCs w:val="24"/>
          <w:highlight w:val="none"/>
          <w:u w:val="single"/>
          <w:lang w:val="en-US" w:eastAsia="zh-CN"/>
        </w:rPr>
        <w:t>9</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lang w:val="en-US" w:eastAsia="zh-CN"/>
        </w:rPr>
        <w:t>时</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cstheme="minorEastAsia"/>
          <w:bCs/>
          <w:sz w:val="24"/>
          <w:szCs w:val="24"/>
          <w:highlight w:val="none"/>
          <w:u w:val="single"/>
          <w:lang w:val="en-US" w:eastAsia="zh-CN"/>
        </w:rPr>
        <w:t>30</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lang w:val="en-US" w:eastAsia="zh-CN"/>
        </w:rPr>
        <w:t>分（递交截止时间）前不得开启</w:t>
      </w:r>
    </w:p>
    <w:p w14:paraId="41504F19">
      <w:pPr>
        <w:spacing w:line="520" w:lineRule="exact"/>
        <w:ind w:firstLine="480" w:firstLineChars="200"/>
        <w:rPr>
          <w:rFonts w:hint="eastAsia" w:asciiTheme="minorEastAsia" w:hAnsiTheme="minorEastAsia" w:eastAsiaTheme="minorEastAsia" w:cstheme="minorEastAsia"/>
          <w:bCs/>
          <w:sz w:val="24"/>
          <w:szCs w:val="24"/>
          <w:highlight w:val="none"/>
          <w:lang w:val="en-US" w:eastAsia="zh-CN"/>
        </w:rPr>
      </w:pPr>
    </w:p>
    <w:p w14:paraId="0965874C">
      <w:pPr>
        <w:spacing w:line="560" w:lineRule="exact"/>
        <w:ind w:firstLine="482" w:firstLineChars="200"/>
        <w:outlineLvl w:val="1"/>
        <w:rPr>
          <w:rFonts w:ascii="宋体" w:hAnsi="宋体" w:cs="宋体"/>
          <w:b/>
          <w:color w:val="auto"/>
          <w:sz w:val="24"/>
          <w:szCs w:val="24"/>
          <w:highlight w:val="none"/>
        </w:rPr>
      </w:pPr>
      <w:bookmarkStart w:id="20" w:name="_Toc26664"/>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的递交及相关事宜</w:t>
      </w:r>
      <w:bookmarkEnd w:id="19"/>
      <w:bookmarkEnd w:id="20"/>
    </w:p>
    <w:p w14:paraId="39BBD109">
      <w:pPr>
        <w:spacing w:line="560" w:lineRule="exact"/>
        <w:ind w:firstLine="480" w:firstLineChars="200"/>
        <w:outlineLvl w:val="9"/>
        <w:rPr>
          <w:rFonts w:ascii="宋体" w:hAnsi="宋体" w:cs="宋体"/>
          <w:color w:val="auto"/>
          <w:sz w:val="24"/>
          <w:szCs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的递交截止时间：202</w:t>
      </w:r>
      <w:r>
        <w:rPr>
          <w:rFonts w:ascii="宋体" w:hAnsi="宋体"/>
          <w:color w:val="auto"/>
          <w:sz w:val="24"/>
          <w:szCs w:val="24"/>
          <w:highlight w:val="none"/>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w:t>
      </w:r>
      <w:r>
        <w:rPr>
          <w:rFonts w:hint="eastAsia" w:ascii="宋体" w:hAnsi="宋体" w:cs="宋体"/>
          <w:color w:val="auto"/>
          <w:sz w:val="24"/>
          <w:szCs w:val="24"/>
          <w:highlight w:val="none"/>
        </w:rPr>
        <w:t>（北京时间）。</w:t>
      </w:r>
    </w:p>
    <w:p w14:paraId="3342ED64">
      <w:pPr>
        <w:spacing w:line="520" w:lineRule="exact"/>
        <w:ind w:firstLine="480" w:firstLineChars="200"/>
        <w:outlineLvl w:val="9"/>
        <w:rPr>
          <w:rFonts w:ascii="宋体" w:hAnsi="宋体"/>
          <w:color w:val="auto"/>
          <w:sz w:val="24"/>
          <w:szCs w:val="24"/>
          <w:highlight w:val="none"/>
        </w:rPr>
      </w:pPr>
      <w:bookmarkStart w:id="21" w:name="_Toc13778"/>
      <w:r>
        <w:rPr>
          <w:rFonts w:hint="eastAsia" w:ascii="宋体" w:hAnsi="宋体"/>
          <w:color w:val="auto"/>
          <w:sz w:val="24"/>
          <w:szCs w:val="24"/>
          <w:highlight w:val="none"/>
        </w:rPr>
        <w:t>递交地址：赣州市章贡区沙河镇赣州东收费站出口旁赣州交通控股集团有限公司2楼开标室。询价人将拒绝接受在递交截止时间后送达的报价函。</w:t>
      </w:r>
    </w:p>
    <w:p w14:paraId="1F4C6085">
      <w:pPr>
        <w:spacing w:line="560" w:lineRule="exact"/>
        <w:ind w:firstLine="482" w:firstLineChars="200"/>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请各报价人委派授权代理人携带身份证原件及授权书原件，递交</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及参加本次询价活动，询价人将对各报价人委派的授权代理人进行现场身份核查，如报价人递交</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时未能提供上述资料，</w:t>
      </w:r>
      <w:r>
        <w:rPr>
          <w:rFonts w:hint="eastAsia"/>
          <w:b/>
          <w:bCs/>
          <w:color w:val="auto"/>
          <w:sz w:val="24"/>
          <w:szCs w:val="24"/>
          <w:highlight w:val="none"/>
        </w:rPr>
        <w:t>询价</w:t>
      </w:r>
      <w:r>
        <w:rPr>
          <w:rFonts w:hint="eastAsia" w:ascii="宋体" w:hAnsi="宋体"/>
          <w:b/>
          <w:bCs/>
          <w:color w:val="auto"/>
          <w:sz w:val="24"/>
          <w:szCs w:val="24"/>
          <w:highlight w:val="none"/>
        </w:rPr>
        <w:t>人将对其</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予以拒收。</w:t>
      </w:r>
    </w:p>
    <w:p w14:paraId="53896391">
      <w:pPr>
        <w:spacing w:line="560" w:lineRule="exact"/>
        <w:ind w:firstLine="482" w:firstLineChars="200"/>
        <w:outlineLvl w:val="1"/>
        <w:rPr>
          <w:rFonts w:hint="eastAsia" w:ascii="宋体" w:hAnsi="宋体"/>
          <w:b/>
          <w:bCs/>
          <w:color w:val="auto"/>
          <w:sz w:val="24"/>
          <w:szCs w:val="24"/>
          <w:highlight w:val="none"/>
        </w:rPr>
      </w:pPr>
    </w:p>
    <w:p w14:paraId="6CC24C2A">
      <w:pPr>
        <w:numPr>
          <w:ilvl w:val="0"/>
          <w:numId w:val="5"/>
        </w:numPr>
        <w:spacing w:line="420" w:lineRule="exact"/>
        <w:ind w:firstLine="482" w:firstLineChars="200"/>
        <w:outlineLvl w:val="1"/>
        <w:rPr>
          <w:rFonts w:hint="eastAsia" w:ascii="宋体" w:hAnsi="宋体"/>
          <w:b/>
          <w:color w:val="auto"/>
          <w:sz w:val="24"/>
          <w:szCs w:val="24"/>
          <w:highlight w:val="none"/>
        </w:rPr>
      </w:pPr>
      <w:bookmarkStart w:id="22" w:name="_Toc12019"/>
      <w:r>
        <w:rPr>
          <w:rFonts w:hint="eastAsia" w:ascii="宋体" w:hAnsi="宋体"/>
          <w:b/>
          <w:color w:val="auto"/>
          <w:sz w:val="24"/>
          <w:szCs w:val="24"/>
          <w:highlight w:val="none"/>
          <w:lang w:eastAsia="zh-CN"/>
        </w:rPr>
        <w:t>响应文件</w:t>
      </w:r>
      <w:r>
        <w:rPr>
          <w:rFonts w:hint="eastAsia" w:ascii="宋体" w:hAnsi="宋体"/>
          <w:b/>
          <w:color w:val="auto"/>
          <w:sz w:val="24"/>
          <w:szCs w:val="24"/>
          <w:highlight w:val="none"/>
        </w:rPr>
        <w:t>的开启程序</w:t>
      </w:r>
      <w:bookmarkEnd w:id="22"/>
    </w:p>
    <w:p w14:paraId="6809C57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一</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第一信封（商务及技术文件）开标：</w:t>
      </w:r>
    </w:p>
    <w:p w14:paraId="34415C51">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1、公布在截止时间前递交</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的报价人数量（如报价人不足三家，则本次询价失败，</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原封退回）；</w:t>
      </w:r>
    </w:p>
    <w:p w14:paraId="75001188">
      <w:pPr>
        <w:spacing w:line="42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2、</w:t>
      </w:r>
      <w:r>
        <w:rPr>
          <w:rFonts w:hint="eastAsia" w:ascii="宋体" w:hAnsi="宋体" w:cs="宋体"/>
          <w:color w:val="auto"/>
          <w:sz w:val="24"/>
          <w:szCs w:val="24"/>
          <w:highlight w:val="none"/>
        </w:rPr>
        <w:t>报价人代表现场检查</w:t>
      </w:r>
      <w:r>
        <w:rPr>
          <w:rFonts w:hint="eastAsia" w:ascii="宋体" w:hAnsi="宋体" w:cs="宋体"/>
          <w:color w:val="auto"/>
          <w:sz w:val="24"/>
          <w:szCs w:val="24"/>
          <w:highlight w:val="none"/>
          <w:lang w:val="en-US" w:eastAsia="zh-CN"/>
        </w:rPr>
        <w:t>商务及技术</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密封情况，未按要求密封的</w:t>
      </w:r>
      <w:r>
        <w:rPr>
          <w:rFonts w:hint="eastAsia" w:ascii="宋体" w:hAnsi="宋体" w:cs="宋体"/>
          <w:color w:val="auto"/>
          <w:sz w:val="24"/>
          <w:szCs w:val="24"/>
          <w:highlight w:val="none"/>
          <w:lang w:val="en-US" w:eastAsia="zh-CN"/>
        </w:rPr>
        <w:t>商务及技术</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，询价人将予以</w:t>
      </w:r>
      <w:r>
        <w:rPr>
          <w:rFonts w:hint="eastAsia" w:ascii="宋体" w:hAnsi="宋体" w:cs="宋体"/>
          <w:color w:val="auto"/>
          <w:sz w:val="24"/>
          <w:szCs w:val="24"/>
          <w:highlight w:val="none"/>
          <w:lang w:val="en-US" w:eastAsia="zh-CN"/>
        </w:rPr>
        <w:t>退回</w:t>
      </w:r>
      <w:r>
        <w:rPr>
          <w:rFonts w:hint="eastAsia" w:ascii="宋体" w:hAnsi="宋体" w:cs="宋体"/>
          <w:color w:val="auto"/>
          <w:sz w:val="24"/>
          <w:szCs w:val="24"/>
          <w:highlight w:val="none"/>
        </w:rPr>
        <w:t>；</w:t>
      </w:r>
    </w:p>
    <w:p w14:paraId="7972DBE3">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3、开启</w:t>
      </w:r>
      <w:r>
        <w:rPr>
          <w:rFonts w:hint="eastAsia" w:ascii="宋体" w:hAnsi="宋体" w:cs="宋体"/>
          <w:color w:val="auto"/>
          <w:sz w:val="24"/>
          <w:szCs w:val="24"/>
          <w:highlight w:val="none"/>
          <w:lang w:val="en-US" w:eastAsia="zh-CN"/>
        </w:rPr>
        <w:t>商务及技术</w:t>
      </w:r>
      <w:r>
        <w:rPr>
          <w:rFonts w:hint="eastAsia" w:ascii="宋体" w:hAnsi="宋体" w:cs="宋体"/>
          <w:color w:val="auto"/>
          <w:sz w:val="24"/>
          <w:szCs w:val="24"/>
          <w:highlight w:val="none"/>
          <w:lang w:eastAsia="zh-CN"/>
        </w:rPr>
        <w:t>文件</w:t>
      </w:r>
      <w:r>
        <w:rPr>
          <w:rFonts w:hint="eastAsia" w:ascii="宋体" w:hAnsi="宋体"/>
          <w:color w:val="auto"/>
          <w:sz w:val="24"/>
          <w:szCs w:val="24"/>
          <w:highlight w:val="none"/>
        </w:rPr>
        <w:t>，公布报价人名称、</w:t>
      </w:r>
      <w:r>
        <w:rPr>
          <w:rFonts w:hint="eastAsia" w:ascii="宋体" w:hAnsi="宋体"/>
          <w:color w:val="auto"/>
          <w:sz w:val="24"/>
          <w:szCs w:val="24"/>
          <w:highlight w:val="none"/>
          <w:lang w:val="en-US" w:eastAsia="zh-CN"/>
        </w:rPr>
        <w:t>投标保证金的递交情况及其他内容</w:t>
      </w:r>
      <w:r>
        <w:rPr>
          <w:rFonts w:hint="eastAsia" w:ascii="宋体" w:hAnsi="宋体"/>
          <w:color w:val="auto"/>
          <w:sz w:val="24"/>
          <w:szCs w:val="24"/>
          <w:highlight w:val="none"/>
        </w:rPr>
        <w:t>，结束后报价人及询价人签字确认。</w:t>
      </w:r>
    </w:p>
    <w:p w14:paraId="082CE5A5">
      <w:pPr>
        <w:spacing w:line="42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4、开标结束。</w:t>
      </w:r>
    </w:p>
    <w:p w14:paraId="6194CADB">
      <w:pPr>
        <w:spacing w:line="420" w:lineRule="exact"/>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二</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第二信封（报价文件）开标：</w:t>
      </w:r>
    </w:p>
    <w:p w14:paraId="1A74B0FB">
      <w:pPr>
        <w:spacing w:line="420" w:lineRule="exact"/>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1、宣布第一信封（商务及技术文件）评审结果同时公布商务及技术文件得分由高到低排序前3名的报价人名单，未通过第一信封（商务及技术文件）评审的第二信封（报价文件）不予开标；</w:t>
      </w:r>
    </w:p>
    <w:p w14:paraId="5562902F">
      <w:pPr>
        <w:spacing w:line="420" w:lineRule="exact"/>
        <w:ind w:firstLine="480" w:firstLineChars="200"/>
        <w:rPr>
          <w:rFonts w:hint="eastAsia" w:ascii="宋体" w:hAnsi="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cs="宋体"/>
          <w:color w:val="auto"/>
          <w:sz w:val="24"/>
          <w:szCs w:val="24"/>
          <w:highlight w:val="none"/>
        </w:rPr>
        <w:t>报价人代表现场检查</w:t>
      </w:r>
      <w:r>
        <w:rPr>
          <w:rFonts w:hint="eastAsia" w:ascii="宋体" w:hAnsi="宋体" w:eastAsia="宋体" w:cs="宋体"/>
          <w:i w:val="0"/>
          <w:iCs w:val="0"/>
          <w:caps w:val="0"/>
          <w:color w:val="auto"/>
          <w:spacing w:val="0"/>
          <w:sz w:val="24"/>
          <w:szCs w:val="24"/>
          <w:highlight w:val="none"/>
          <w:lang w:val="en-US" w:eastAsia="zh-CN"/>
        </w:rPr>
        <w:t>报价文件</w:t>
      </w:r>
      <w:r>
        <w:rPr>
          <w:rFonts w:hint="eastAsia" w:ascii="宋体" w:hAnsi="宋体" w:cs="宋体"/>
          <w:color w:val="auto"/>
          <w:sz w:val="24"/>
          <w:szCs w:val="24"/>
          <w:highlight w:val="none"/>
        </w:rPr>
        <w:t>密封情况，未按要求密封的</w:t>
      </w:r>
      <w:r>
        <w:rPr>
          <w:rFonts w:hint="eastAsia" w:ascii="宋体" w:hAnsi="宋体" w:eastAsia="宋体" w:cs="宋体"/>
          <w:i w:val="0"/>
          <w:iCs w:val="0"/>
          <w:caps w:val="0"/>
          <w:color w:val="auto"/>
          <w:spacing w:val="0"/>
          <w:sz w:val="24"/>
          <w:szCs w:val="24"/>
          <w:highlight w:val="none"/>
          <w:lang w:val="en-US" w:eastAsia="zh-CN"/>
        </w:rPr>
        <w:t>报价文件</w:t>
      </w:r>
      <w:r>
        <w:rPr>
          <w:rFonts w:hint="eastAsia" w:ascii="宋体" w:hAnsi="宋体" w:cs="宋体"/>
          <w:color w:val="auto"/>
          <w:sz w:val="24"/>
          <w:szCs w:val="24"/>
          <w:highlight w:val="none"/>
        </w:rPr>
        <w:t>，询价人将予以</w:t>
      </w:r>
      <w:r>
        <w:rPr>
          <w:rFonts w:hint="eastAsia" w:ascii="宋体" w:hAnsi="宋体" w:cs="宋体"/>
          <w:color w:val="auto"/>
          <w:sz w:val="24"/>
          <w:szCs w:val="24"/>
          <w:highlight w:val="none"/>
          <w:lang w:val="en-US" w:eastAsia="zh-CN"/>
        </w:rPr>
        <w:t>退回</w:t>
      </w:r>
      <w:r>
        <w:rPr>
          <w:rFonts w:hint="eastAsia" w:ascii="宋体" w:hAnsi="宋体" w:cs="宋体"/>
          <w:color w:val="auto"/>
          <w:sz w:val="24"/>
          <w:szCs w:val="24"/>
          <w:highlight w:val="none"/>
        </w:rPr>
        <w:t>；</w:t>
      </w:r>
    </w:p>
    <w:p w14:paraId="42F5C86F">
      <w:pPr>
        <w:spacing w:line="420" w:lineRule="exact"/>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olor w:val="auto"/>
          <w:sz w:val="24"/>
          <w:szCs w:val="24"/>
          <w:highlight w:val="none"/>
        </w:rPr>
        <w:t>开启</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lang w:eastAsia="zh-CN"/>
        </w:rPr>
        <w:t>文件</w:t>
      </w:r>
      <w:r>
        <w:rPr>
          <w:rFonts w:hint="eastAsia" w:ascii="宋体" w:hAnsi="宋体"/>
          <w:color w:val="auto"/>
          <w:sz w:val="24"/>
          <w:szCs w:val="24"/>
          <w:highlight w:val="none"/>
        </w:rPr>
        <w:t>，公布报价人名称、</w:t>
      </w:r>
      <w:r>
        <w:rPr>
          <w:rFonts w:hint="eastAsia" w:ascii="宋体" w:hAnsi="宋体"/>
          <w:color w:val="auto"/>
          <w:sz w:val="24"/>
          <w:szCs w:val="24"/>
          <w:highlight w:val="none"/>
          <w:lang w:val="en-US" w:eastAsia="zh-CN"/>
        </w:rPr>
        <w:t>报价及其他内容，同时按询价文件规定的原则计算并公布评标基准价</w:t>
      </w:r>
      <w:r>
        <w:rPr>
          <w:rFonts w:hint="eastAsia" w:ascii="宋体" w:hAnsi="宋体"/>
          <w:color w:val="auto"/>
          <w:sz w:val="24"/>
          <w:szCs w:val="24"/>
          <w:highlight w:val="none"/>
        </w:rPr>
        <w:t>，结束后报价人及询价人签字确认。</w:t>
      </w:r>
    </w:p>
    <w:p w14:paraId="16402C0C">
      <w:pPr>
        <w:spacing w:line="42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4、开标结束。</w:t>
      </w:r>
    </w:p>
    <w:p w14:paraId="1821CA44">
      <w:pPr>
        <w:spacing w:line="420" w:lineRule="exact"/>
        <w:ind w:firstLine="480" w:firstLineChars="200"/>
        <w:rPr>
          <w:rFonts w:hint="eastAsia" w:ascii="宋体" w:hAnsi="宋体"/>
          <w:color w:val="auto"/>
          <w:sz w:val="24"/>
          <w:szCs w:val="24"/>
          <w:highlight w:val="none"/>
          <w:lang w:val="en-US" w:eastAsia="zh-CN"/>
        </w:rPr>
      </w:pPr>
    </w:p>
    <w:p w14:paraId="079E4E70">
      <w:pPr>
        <w:spacing w:line="560" w:lineRule="exact"/>
        <w:ind w:firstLine="482" w:firstLineChars="200"/>
        <w:outlineLvl w:val="1"/>
        <w:rPr>
          <w:rFonts w:ascii="宋体" w:hAnsi="宋体" w:cs="宋体"/>
          <w:b/>
          <w:color w:val="auto"/>
          <w:sz w:val="24"/>
          <w:szCs w:val="24"/>
          <w:highlight w:val="none"/>
        </w:rPr>
      </w:pPr>
      <w:bookmarkStart w:id="23" w:name="_Toc30351"/>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、公示</w:t>
      </w:r>
      <w:bookmarkEnd w:id="21"/>
      <w:bookmarkEnd w:id="23"/>
    </w:p>
    <w:p w14:paraId="099426D9">
      <w:pPr>
        <w:spacing w:line="460" w:lineRule="exact"/>
        <w:ind w:firstLine="480" w:firstLineChars="200"/>
        <w:rPr>
          <w:rFonts w:hint="eastAsia" w:ascii="宋体" w:hAnsi="宋体"/>
          <w:color w:val="auto"/>
          <w:sz w:val="24"/>
          <w:szCs w:val="24"/>
          <w:highlight w:val="none"/>
        </w:rPr>
      </w:pPr>
      <w:bookmarkStart w:id="24" w:name="_Toc7208"/>
      <w:r>
        <w:rPr>
          <w:rFonts w:hint="eastAsia" w:ascii="宋体" w:hAnsi="宋体"/>
          <w:color w:val="auto"/>
          <w:sz w:val="24"/>
          <w:szCs w:val="24"/>
          <w:highlight w:val="none"/>
        </w:rPr>
        <w:t>询价结束后3日内，在江西省招标投标网（http://www.jxtb.org.cn）、赣州交通控股集团有限公司网站（http://www.gzjtkgjt.com）上对候选人进行公示。</w:t>
      </w:r>
    </w:p>
    <w:p w14:paraId="6A0B24D2">
      <w:pPr>
        <w:spacing w:line="460" w:lineRule="exact"/>
        <w:ind w:firstLine="480" w:firstLineChars="200"/>
        <w:rPr>
          <w:rFonts w:hint="eastAsia" w:ascii="宋体" w:hAnsi="宋体"/>
          <w:color w:val="auto"/>
          <w:sz w:val="24"/>
          <w:szCs w:val="24"/>
          <w:highlight w:val="none"/>
        </w:rPr>
      </w:pPr>
    </w:p>
    <w:bookmarkEnd w:id="24"/>
    <w:p w14:paraId="4FE267A7">
      <w:pPr>
        <w:spacing w:line="560" w:lineRule="exact"/>
        <w:ind w:firstLine="482" w:firstLineChars="200"/>
        <w:outlineLvl w:val="1"/>
        <w:rPr>
          <w:rFonts w:hint="eastAsia" w:ascii="宋体" w:hAnsi="宋体" w:cs="宋体"/>
          <w:b/>
          <w:color w:val="auto"/>
          <w:sz w:val="24"/>
          <w:szCs w:val="24"/>
          <w:highlight w:val="none"/>
          <w:lang w:val="en-US" w:eastAsia="zh-CN"/>
        </w:rPr>
      </w:pPr>
      <w:bookmarkStart w:id="25" w:name="_Toc19317"/>
      <w:r>
        <w:rPr>
          <w:rFonts w:hint="eastAsia" w:ascii="宋体" w:hAnsi="宋体" w:cs="宋体"/>
          <w:b/>
          <w:color w:val="auto"/>
          <w:sz w:val="24"/>
          <w:szCs w:val="24"/>
          <w:highlight w:val="none"/>
          <w:lang w:val="en-US" w:eastAsia="zh-CN"/>
        </w:rPr>
        <w:t>十六、其他</w:t>
      </w:r>
      <w:bookmarkEnd w:id="25"/>
    </w:p>
    <w:p w14:paraId="3171E885">
      <w:pPr>
        <w:numPr>
          <w:ilvl w:val="0"/>
          <w:numId w:val="0"/>
        </w:numPr>
        <w:spacing w:line="460" w:lineRule="exact"/>
        <w:ind w:leftChars="200"/>
        <w:outlineLvl w:val="9"/>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本项目询价文件视为合同协议书重要组整部分。</w:t>
      </w:r>
    </w:p>
    <w:p w14:paraId="205116CF">
      <w:pPr>
        <w:numPr>
          <w:ilvl w:val="0"/>
          <w:numId w:val="0"/>
        </w:numPr>
        <w:spacing w:line="460" w:lineRule="exact"/>
        <w:ind w:leftChars="200"/>
        <w:outlineLvl w:val="1"/>
        <w:rPr>
          <w:rFonts w:hint="eastAsia" w:ascii="宋体" w:hAnsi="宋体"/>
          <w:b/>
          <w:color w:val="auto"/>
          <w:sz w:val="24"/>
          <w:szCs w:val="24"/>
          <w:highlight w:val="none"/>
          <w:lang w:val="en-US" w:eastAsia="zh-CN"/>
        </w:rPr>
      </w:pPr>
    </w:p>
    <w:p w14:paraId="167D5D4C">
      <w:pPr>
        <w:spacing w:line="560" w:lineRule="exact"/>
        <w:ind w:firstLine="482" w:firstLineChars="200"/>
        <w:outlineLvl w:val="1"/>
        <w:rPr>
          <w:rFonts w:hint="eastAsia" w:ascii="宋体" w:hAnsi="宋体" w:cs="宋体"/>
          <w:b/>
          <w:color w:val="auto"/>
          <w:sz w:val="24"/>
          <w:szCs w:val="24"/>
          <w:highlight w:val="none"/>
          <w:lang w:val="en-US" w:eastAsia="zh-CN"/>
        </w:rPr>
      </w:pPr>
      <w:bookmarkStart w:id="26" w:name="_Toc2688"/>
      <w:r>
        <w:rPr>
          <w:rFonts w:hint="eastAsia" w:ascii="宋体" w:hAnsi="宋体" w:cs="宋体"/>
          <w:b/>
          <w:color w:val="auto"/>
          <w:sz w:val="24"/>
          <w:szCs w:val="24"/>
          <w:highlight w:val="none"/>
          <w:lang w:val="en-US" w:eastAsia="zh-CN"/>
        </w:rPr>
        <w:t>十七、联系方式</w:t>
      </w:r>
      <w:bookmarkEnd w:id="26"/>
    </w:p>
    <w:p w14:paraId="6D2754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询价人名称：赣州交通控股集团有限公司</w:t>
      </w:r>
    </w:p>
    <w:p w14:paraId="414F6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询价人地址：江西省赣州市章贡区沙河镇赣州东收费站出口右侧</w:t>
      </w:r>
    </w:p>
    <w:p w14:paraId="1D87E3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联系人：温女士</w:t>
      </w:r>
    </w:p>
    <w:p w14:paraId="4417D1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电  话：</w:t>
      </w:r>
      <w:r>
        <w:rPr>
          <w:rFonts w:hint="eastAsia" w:asciiTheme="minorEastAsia" w:hAnsiTheme="minorEastAsia" w:eastAsiaTheme="minorEastAsia" w:cstheme="minorEastAsia"/>
          <w:color w:val="auto"/>
          <w:sz w:val="24"/>
          <w:szCs w:val="24"/>
          <w:highlight w:val="none"/>
        </w:rPr>
        <w:t>0797-8289692</w:t>
      </w:r>
    </w:p>
    <w:p w14:paraId="5C84C7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5CBEE6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 理 机 构：江西省赣南公路勘察设计院有限公司</w:t>
      </w:r>
    </w:p>
    <w:p w14:paraId="7A6F60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址：江西省赣州市章贡区赞贤路36号金桥花园</w:t>
      </w:r>
    </w:p>
    <w:p w14:paraId="458042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人：刘工</w:t>
      </w:r>
    </w:p>
    <w:p w14:paraId="3F6F6F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话：0797-8088235</w:t>
      </w:r>
    </w:p>
    <w:p w14:paraId="548003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2257DD7C">
      <w:pPr>
        <w:spacing w:line="560" w:lineRule="exact"/>
        <w:ind w:firstLine="482" w:firstLineChars="200"/>
        <w:outlineLvl w:val="1"/>
        <w:rPr>
          <w:rFonts w:hint="eastAsia" w:ascii="宋体" w:hAnsi="宋体" w:cs="宋体"/>
          <w:b/>
          <w:color w:val="auto"/>
          <w:sz w:val="24"/>
          <w:szCs w:val="24"/>
          <w:highlight w:val="none"/>
          <w:lang w:val="en-US" w:eastAsia="zh-CN"/>
        </w:rPr>
      </w:pPr>
      <w:bookmarkStart w:id="27" w:name="_Toc4440"/>
      <w:r>
        <w:rPr>
          <w:rFonts w:hint="eastAsia" w:ascii="宋体" w:hAnsi="宋体" w:cs="宋体"/>
          <w:b/>
          <w:color w:val="auto"/>
          <w:sz w:val="24"/>
          <w:szCs w:val="24"/>
          <w:highlight w:val="none"/>
          <w:lang w:val="en-US" w:eastAsia="zh-CN"/>
        </w:rPr>
        <w:t>十八、监督部门及联系方式</w:t>
      </w:r>
      <w:bookmarkEnd w:id="27"/>
    </w:p>
    <w:p w14:paraId="03E57E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监督部门：赣州交通控股集团有限公司风控审计部</w:t>
      </w:r>
    </w:p>
    <w:p w14:paraId="0DDCDE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址：江西省赣州市章贡区沙河镇赣州东收费站出口右侧（赣州交通控股集团有限公司）</w:t>
      </w:r>
    </w:p>
    <w:p w14:paraId="78D0F5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话：0797-8289879</w:t>
      </w:r>
    </w:p>
    <w:p w14:paraId="384248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邮政编码：341000</w:t>
      </w:r>
    </w:p>
    <w:p w14:paraId="1F1B026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rPr>
          <w:rFonts w:hint="eastAsia" w:ascii="微软雅黑" w:hAnsi="微软雅黑" w:eastAsia="微软雅黑" w:cs="微软雅黑"/>
          <w:i w:val="0"/>
          <w:iCs w:val="0"/>
          <w:caps w:val="0"/>
          <w:color w:val="auto"/>
          <w:spacing w:val="0"/>
          <w:sz w:val="24"/>
          <w:szCs w:val="24"/>
          <w:highlight w:val="none"/>
          <w:lang w:val="en-US" w:eastAsia="zh-CN"/>
        </w:rPr>
      </w:pPr>
    </w:p>
    <w:p w14:paraId="57BD7F3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5D37402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000"/>
        <w:jc w:val="right"/>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赣州交通控股集团有限公司</w:t>
      </w:r>
    </w:p>
    <w:p w14:paraId="2BA1799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2025年</w:t>
      </w:r>
      <w:r>
        <w:rPr>
          <w:rFonts w:hint="eastAsia" w:ascii="宋体" w:hAnsi="宋体" w:eastAsia="宋体" w:cs="宋体"/>
          <w:i w:val="0"/>
          <w:iCs w:val="0"/>
          <w:caps w:val="0"/>
          <w:color w:val="auto"/>
          <w:spacing w:val="0"/>
          <w:sz w:val="24"/>
          <w:szCs w:val="24"/>
          <w:highlight w:val="none"/>
          <w:lang w:val="en-US" w:eastAsia="zh-CN"/>
        </w:rPr>
        <w:t>9</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日</w:t>
      </w:r>
    </w:p>
    <w:p w14:paraId="754EC03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7A41377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628E104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4C70A11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2FCE114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1F30F5C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6C30F50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7955698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69B127B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746CDC5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755380C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0AB5EB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39FC085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3531788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0D1AE53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2F5835B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1D03484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07FA231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038020F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567AD71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7BCCFF7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243F627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52E98E5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auto"/>
          <w:spacing w:val="0"/>
          <w:sz w:val="24"/>
          <w:szCs w:val="24"/>
          <w:highlight w:val="none"/>
        </w:rPr>
      </w:pPr>
    </w:p>
    <w:p w14:paraId="498974A0">
      <w:pPr>
        <w:outlineLvl w:val="1"/>
        <w:rPr>
          <w:rFonts w:hint="eastAsia" w:asciiTheme="majorEastAsia" w:hAnsiTheme="majorEastAsia" w:eastAsiaTheme="majorEastAsia" w:cstheme="majorEastAsia"/>
          <w:b/>
          <w:bCs/>
          <w:sz w:val="28"/>
          <w:szCs w:val="28"/>
          <w:highlight w:val="none"/>
          <w:lang w:eastAsia="zh-CN"/>
        </w:rPr>
      </w:pPr>
      <w:bookmarkStart w:id="28" w:name="_Toc31066"/>
      <w:r>
        <w:rPr>
          <w:rFonts w:hint="eastAsia" w:asciiTheme="majorEastAsia" w:hAnsiTheme="majorEastAsia" w:eastAsiaTheme="majorEastAsia" w:cstheme="majorEastAsia"/>
          <w:b/>
          <w:bCs/>
          <w:sz w:val="28"/>
          <w:szCs w:val="28"/>
          <w:highlight w:val="none"/>
        </w:rPr>
        <w:t>附</w:t>
      </w:r>
      <w:r>
        <w:rPr>
          <w:rFonts w:hint="eastAsia" w:asciiTheme="majorEastAsia" w:hAnsiTheme="majorEastAsia" w:eastAsiaTheme="majorEastAsia" w:cstheme="majorEastAsia"/>
          <w:b/>
          <w:bCs/>
          <w:sz w:val="28"/>
          <w:szCs w:val="28"/>
          <w:highlight w:val="none"/>
          <w:lang w:val="en-US" w:eastAsia="zh-CN"/>
        </w:rPr>
        <w:t>表</w:t>
      </w:r>
      <w:r>
        <w:rPr>
          <w:rFonts w:hint="eastAsia" w:asciiTheme="majorEastAsia" w:hAnsiTheme="majorEastAsia" w:eastAsiaTheme="majorEastAsia" w:cstheme="majorEastAsia"/>
          <w:b/>
          <w:bCs/>
          <w:sz w:val="28"/>
          <w:szCs w:val="28"/>
          <w:highlight w:val="none"/>
        </w:rPr>
        <w:t>1 拟投入驻地团队</w:t>
      </w:r>
      <w:r>
        <w:rPr>
          <w:rFonts w:hint="eastAsia" w:asciiTheme="majorEastAsia" w:hAnsiTheme="majorEastAsia" w:eastAsiaTheme="majorEastAsia" w:cstheme="majorEastAsia"/>
          <w:b/>
          <w:bCs/>
          <w:sz w:val="28"/>
          <w:szCs w:val="28"/>
          <w:highlight w:val="none"/>
          <w:lang w:val="en-US" w:eastAsia="zh-CN"/>
        </w:rPr>
        <w:t>成</w:t>
      </w:r>
      <w:r>
        <w:rPr>
          <w:rFonts w:hint="eastAsia" w:asciiTheme="majorEastAsia" w:hAnsiTheme="majorEastAsia" w:eastAsiaTheme="majorEastAsia" w:cstheme="majorEastAsia"/>
          <w:b/>
          <w:bCs/>
          <w:sz w:val="28"/>
          <w:szCs w:val="28"/>
          <w:highlight w:val="none"/>
        </w:rPr>
        <w:t>员</w:t>
      </w:r>
      <w:bookmarkEnd w:id="28"/>
      <w:r>
        <w:rPr>
          <w:rFonts w:hint="eastAsia" w:asciiTheme="majorEastAsia" w:hAnsiTheme="majorEastAsia" w:eastAsiaTheme="majorEastAsia" w:cstheme="majorEastAsia"/>
          <w:b/>
          <w:bCs/>
          <w:sz w:val="28"/>
          <w:szCs w:val="28"/>
          <w:highlight w:val="none"/>
          <w:lang w:val="en-US" w:eastAsia="zh-CN"/>
        </w:rPr>
        <w:t>最低要求</w:t>
      </w:r>
    </w:p>
    <w:p w14:paraId="2BA31863">
      <w:pPr>
        <w:rPr>
          <w:rFonts w:hint="eastAsia"/>
          <w:b/>
          <w:bCs/>
          <w:highlight w:val="none"/>
        </w:rPr>
      </w:pPr>
    </w:p>
    <w:tbl>
      <w:tblPr>
        <w:tblStyle w:val="16"/>
        <w:tblW w:w="9044" w:type="dxa"/>
        <w:tblInd w:w="8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76"/>
        <w:gridCol w:w="1035"/>
        <w:gridCol w:w="4733"/>
      </w:tblGrid>
      <w:tr w14:paraId="41890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276" w:type="dxa"/>
            <w:tcBorders>
              <w:top w:val="single" w:color="auto" w:sz="12" w:space="0"/>
              <w:left w:val="single" w:color="auto" w:sz="12" w:space="0"/>
              <w:bottom w:val="single" w:color="auto" w:sz="4" w:space="0"/>
              <w:right w:val="single" w:color="auto" w:sz="4" w:space="0"/>
            </w:tcBorders>
            <w:shd w:val="clear" w:color="auto" w:fill="auto"/>
            <w:vAlign w:val="center"/>
          </w:tcPr>
          <w:p w14:paraId="3D03653A">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8"/>
                <w:szCs w:val="28"/>
                <w:highlight w:val="none"/>
                <w:lang w:val="en-US"/>
              </w:rPr>
            </w:pPr>
            <w:r>
              <w:rPr>
                <w:rFonts w:hint="default"/>
                <w:highlight w:val="none"/>
              </w:rPr>
              <w:br w:type="page"/>
            </w:r>
            <w:r>
              <w:rPr>
                <w:rFonts w:hint="eastAsia" w:ascii="仿宋_GB2312" w:hAnsi="仿宋_GB2312" w:eastAsia="仿宋_GB2312" w:cs="仿宋_GB2312"/>
                <w:b/>
                <w:bCs/>
                <w:kern w:val="2"/>
                <w:sz w:val="28"/>
                <w:szCs w:val="28"/>
                <w:highlight w:val="none"/>
                <w:lang w:val="en-US" w:eastAsia="zh-CN" w:bidi="ar"/>
              </w:rPr>
              <w:t>人员</w:t>
            </w:r>
          </w:p>
        </w:tc>
        <w:tc>
          <w:tcPr>
            <w:tcW w:w="1035" w:type="dxa"/>
            <w:tcBorders>
              <w:top w:val="single" w:color="auto" w:sz="12" w:space="0"/>
              <w:left w:val="single" w:color="auto" w:sz="4" w:space="0"/>
              <w:bottom w:val="single" w:color="auto" w:sz="4" w:space="0"/>
              <w:right w:val="single" w:color="auto" w:sz="4" w:space="0"/>
            </w:tcBorders>
            <w:shd w:val="clear" w:color="auto" w:fill="auto"/>
            <w:vAlign w:val="center"/>
          </w:tcPr>
          <w:p w14:paraId="5FE7E31E">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ascii="仿宋_GB2312" w:hAnsi="仿宋_GB2312" w:eastAsia="仿宋_GB2312" w:cs="仿宋_GB2312"/>
                <w:b/>
                <w:bCs/>
                <w:sz w:val="28"/>
                <w:szCs w:val="28"/>
                <w:highlight w:val="none"/>
                <w:lang w:val="en-US"/>
              </w:rPr>
            </w:pPr>
            <w:r>
              <w:rPr>
                <w:rFonts w:hint="eastAsia" w:ascii="仿宋_GB2312" w:hAnsi="仿宋_GB2312" w:eastAsia="仿宋_GB2312" w:cs="仿宋_GB2312"/>
                <w:b/>
                <w:bCs/>
                <w:kern w:val="2"/>
                <w:sz w:val="28"/>
                <w:szCs w:val="28"/>
                <w:highlight w:val="none"/>
                <w:lang w:val="en-US" w:eastAsia="zh-CN" w:bidi="ar"/>
              </w:rPr>
              <w:t>数 量</w:t>
            </w:r>
          </w:p>
        </w:tc>
        <w:tc>
          <w:tcPr>
            <w:tcW w:w="4733" w:type="dxa"/>
            <w:tcBorders>
              <w:top w:val="single" w:color="auto" w:sz="12" w:space="0"/>
              <w:left w:val="single" w:color="auto" w:sz="4" w:space="0"/>
              <w:bottom w:val="single" w:color="auto" w:sz="4" w:space="0"/>
              <w:right w:val="single" w:color="auto" w:sz="12" w:space="0"/>
            </w:tcBorders>
            <w:shd w:val="clear" w:color="auto" w:fill="auto"/>
            <w:vAlign w:val="center"/>
          </w:tcPr>
          <w:p w14:paraId="1D35E3AE">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ascii="仿宋_GB2312" w:hAnsi="仿宋_GB2312" w:eastAsia="仿宋_GB2312" w:cs="仿宋_GB2312"/>
                <w:b/>
                <w:bCs/>
                <w:sz w:val="28"/>
                <w:szCs w:val="28"/>
                <w:highlight w:val="none"/>
                <w:lang w:val="en-US"/>
              </w:rPr>
            </w:pPr>
            <w:r>
              <w:rPr>
                <w:rFonts w:hint="eastAsia" w:ascii="仿宋_GB2312" w:hAnsi="仿宋_GB2312" w:eastAsia="仿宋_GB2312" w:cs="仿宋_GB2312"/>
                <w:b/>
                <w:bCs/>
                <w:kern w:val="2"/>
                <w:sz w:val="28"/>
                <w:szCs w:val="28"/>
                <w:highlight w:val="none"/>
                <w:lang w:val="en-US" w:eastAsia="zh-CN" w:bidi="ar"/>
              </w:rPr>
              <w:t>资 格 要 求</w:t>
            </w:r>
          </w:p>
        </w:tc>
      </w:tr>
      <w:tr w14:paraId="7924D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276" w:type="dxa"/>
            <w:tcBorders>
              <w:top w:val="single" w:color="auto" w:sz="4" w:space="0"/>
              <w:left w:val="single" w:color="auto" w:sz="12" w:space="0"/>
              <w:bottom w:val="single" w:color="auto" w:sz="12" w:space="0"/>
              <w:right w:val="single" w:color="auto" w:sz="4" w:space="0"/>
            </w:tcBorders>
            <w:shd w:val="clear" w:color="auto" w:fill="auto"/>
            <w:vAlign w:val="center"/>
          </w:tcPr>
          <w:p w14:paraId="1734CA81">
            <w:pPr>
              <w:keepNext w:val="0"/>
              <w:keepLines w:val="0"/>
              <w:widowControl/>
              <w:suppressLineNumbers w:val="0"/>
              <w:spacing w:before="0" w:beforeAutospacing="0" w:after="0" w:afterAutospacing="0" w:line="420" w:lineRule="exact"/>
              <w:ind w:left="0" w:right="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kern w:val="0"/>
                <w:sz w:val="28"/>
                <w:szCs w:val="28"/>
                <w:highlight w:val="none"/>
                <w:lang w:val="en-US" w:eastAsia="zh-CN" w:bidi="ar"/>
              </w:rPr>
              <w:t>驻地团队成员          （不含项目负责人）</w:t>
            </w:r>
          </w:p>
        </w:tc>
        <w:tc>
          <w:tcPr>
            <w:tcW w:w="1035" w:type="dxa"/>
            <w:tcBorders>
              <w:top w:val="single" w:color="auto" w:sz="4" w:space="0"/>
              <w:left w:val="single" w:color="auto" w:sz="4" w:space="0"/>
              <w:bottom w:val="single" w:color="auto" w:sz="12" w:space="0"/>
              <w:right w:val="single" w:color="auto" w:sz="4" w:space="0"/>
            </w:tcBorders>
            <w:shd w:val="clear" w:color="auto" w:fill="auto"/>
            <w:vAlign w:val="center"/>
          </w:tcPr>
          <w:p w14:paraId="34656DF7">
            <w:pPr>
              <w:keepNext w:val="0"/>
              <w:keepLines w:val="0"/>
              <w:widowControl w:val="0"/>
              <w:suppressLineNumbers w:val="0"/>
              <w:autoSpaceDE w:val="0"/>
              <w:autoSpaceDN w:val="0"/>
              <w:adjustRightInd w:val="0"/>
              <w:snapToGrid w:val="0"/>
              <w:spacing w:before="0" w:beforeAutospacing="0" w:after="0" w:afterAutospacing="0" w:line="420" w:lineRule="exact"/>
              <w:ind w:left="0" w:right="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kern w:val="2"/>
                <w:sz w:val="28"/>
                <w:szCs w:val="28"/>
                <w:highlight w:val="none"/>
                <w:lang w:val="en-US" w:eastAsia="zh-CN" w:bidi="ar"/>
              </w:rPr>
              <w:t>4</w:t>
            </w:r>
          </w:p>
        </w:tc>
        <w:tc>
          <w:tcPr>
            <w:tcW w:w="4733" w:type="dxa"/>
            <w:tcBorders>
              <w:top w:val="single" w:color="auto" w:sz="4" w:space="0"/>
              <w:left w:val="single" w:color="auto" w:sz="4" w:space="0"/>
              <w:bottom w:val="single" w:color="auto" w:sz="12" w:space="0"/>
              <w:right w:val="single" w:color="auto" w:sz="12" w:space="0"/>
            </w:tcBorders>
            <w:shd w:val="clear" w:color="auto" w:fill="auto"/>
            <w:vAlign w:val="center"/>
          </w:tcPr>
          <w:p w14:paraId="26C917C5">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kern w:val="2"/>
                <w:sz w:val="28"/>
                <w:szCs w:val="28"/>
                <w:highlight w:val="none"/>
                <w:lang w:val="en-US" w:eastAsia="zh-CN" w:bidi="ar"/>
              </w:rPr>
              <w:t>具备2年以上咨询工作经历且为大学本科及以上学历。</w:t>
            </w:r>
          </w:p>
        </w:tc>
      </w:tr>
    </w:tbl>
    <w:p w14:paraId="3FE15D4B">
      <w:pPr>
        <w:keepNext w:val="0"/>
        <w:keepLines w:val="0"/>
        <w:widowControl w:val="0"/>
        <w:suppressLineNumbers w:val="0"/>
        <w:autoSpaceDE w:val="0"/>
        <w:autoSpaceDN w:val="0"/>
        <w:adjustRightInd w:val="0"/>
        <w:spacing w:before="0" w:beforeAutospacing="0" w:after="120" w:afterLines="50" w:afterAutospacing="0" w:line="420" w:lineRule="exact"/>
        <w:ind w:left="0" w:right="0"/>
        <w:jc w:val="both"/>
        <w:rPr>
          <w:rFonts w:hint="eastAsia" w:ascii="仿宋_GB2312" w:hAnsi="仿宋_GB2312" w:eastAsia="仿宋_GB2312" w:cs="仿宋_GB2312"/>
          <w:spacing w:val="-47"/>
          <w:sz w:val="28"/>
          <w:szCs w:val="28"/>
          <w:highlight w:val="none"/>
          <w:lang w:val="en-US"/>
        </w:rPr>
      </w:pPr>
      <w:r>
        <w:rPr>
          <w:rFonts w:hint="eastAsia" w:ascii="仿宋_GB2312" w:hAnsi="仿宋_GB2312" w:eastAsia="仿宋_GB2312" w:cs="仿宋_GB2312"/>
          <w:spacing w:val="-6"/>
          <w:kern w:val="2"/>
          <w:sz w:val="28"/>
          <w:szCs w:val="28"/>
          <w:highlight w:val="none"/>
          <w:lang w:val="en-US" w:eastAsia="zh-CN" w:bidi="ar"/>
        </w:rPr>
        <w:t>注：</w:t>
      </w:r>
      <w:r>
        <w:rPr>
          <w:rFonts w:hint="eastAsia" w:ascii="仿宋_GB2312" w:hAnsi="仿宋_GB2312" w:eastAsia="仿宋_GB2312" w:cs="仿宋_GB2312"/>
          <w:spacing w:val="-47"/>
          <w:kern w:val="2"/>
          <w:sz w:val="28"/>
          <w:szCs w:val="28"/>
          <w:highlight w:val="none"/>
          <w:lang w:val="en-US" w:eastAsia="zh-CN" w:bidi="ar"/>
        </w:rPr>
        <w:t xml:space="preserve"> </w:t>
      </w:r>
    </w:p>
    <w:p w14:paraId="3075D0B0">
      <w:pPr>
        <w:keepNext w:val="0"/>
        <w:keepLines w:val="0"/>
        <w:widowControl w:val="0"/>
        <w:suppressLineNumbers w:val="0"/>
        <w:autoSpaceDE w:val="0"/>
        <w:autoSpaceDN w:val="0"/>
        <w:adjustRightInd w:val="0"/>
        <w:spacing w:before="0" w:beforeAutospacing="0" w:after="120" w:afterLines="50" w:afterAutospacing="0" w:line="420" w:lineRule="exact"/>
        <w:ind w:left="0" w:right="0"/>
        <w:jc w:val="both"/>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pacing w:val="-6"/>
          <w:kern w:val="2"/>
          <w:sz w:val="28"/>
          <w:szCs w:val="28"/>
          <w:highlight w:val="none"/>
          <w:lang w:val="en-US" w:eastAsia="zh-CN" w:bidi="ar"/>
        </w:rPr>
        <w:t>a.由报价人在响应文件中承诺</w:t>
      </w:r>
      <w:r>
        <w:rPr>
          <w:rFonts w:hint="eastAsia" w:ascii="仿宋_GB2312" w:hAnsi="仿宋_GB2312" w:eastAsia="仿宋_GB2312" w:cs="仿宋_GB2312"/>
          <w:spacing w:val="-1"/>
          <w:kern w:val="2"/>
          <w:sz w:val="28"/>
          <w:szCs w:val="28"/>
          <w:highlight w:val="none"/>
          <w:lang w:val="en-US" w:eastAsia="zh-CN" w:bidi="ar"/>
        </w:rPr>
        <w:t>。</w:t>
      </w:r>
    </w:p>
    <w:p w14:paraId="4FD785CA">
      <w:pPr>
        <w:pStyle w:val="14"/>
        <w:keepNext w:val="0"/>
        <w:keepLines w:val="0"/>
        <w:widowControl w:val="0"/>
        <w:suppressLineNumbers w:val="0"/>
        <w:autoSpaceDE w:val="0"/>
        <w:autoSpaceDN w:val="0"/>
        <w:adjustRightInd w:val="0"/>
        <w:spacing w:before="0" w:beforeAutospacing="0" w:after="0" w:afterAutospacing="0"/>
        <w:ind w:left="0" w:right="0"/>
        <w:jc w:val="left"/>
        <w:rPr>
          <w:rFonts w:hAnsi="仿宋_GB2312"/>
          <w:bCs/>
          <w:sz w:val="28"/>
          <w:szCs w:val="28"/>
          <w:highlight w:val="none"/>
          <w:lang w:val="en-US"/>
        </w:rPr>
      </w:pPr>
      <w:r>
        <w:rPr>
          <w:rFonts w:hint="eastAsia" w:ascii="仿宋_GB2312" w:hAnsi="仿宋_GB2312" w:eastAsia="仿宋_GB2312" w:cs="仿宋_GB2312"/>
          <w:color w:val="auto"/>
          <w:spacing w:val="-2"/>
          <w:kern w:val="0"/>
          <w:sz w:val="28"/>
          <w:szCs w:val="28"/>
          <w:highlight w:val="none"/>
          <w:lang w:val="en-US" w:eastAsia="zh-CN" w:bidi="ar"/>
        </w:rPr>
        <w:t>b.此表所列驻地团队成员数量为最低要求，中选后承包人应根据实际需</w:t>
      </w:r>
      <w:r>
        <w:rPr>
          <w:rFonts w:hint="eastAsia" w:ascii="仿宋_GB2312" w:hAnsi="仿宋_GB2312" w:eastAsia="仿宋_GB2312" w:cs="仿宋_GB2312"/>
          <w:color w:val="auto"/>
          <w:spacing w:val="-3"/>
          <w:kern w:val="0"/>
          <w:sz w:val="28"/>
          <w:szCs w:val="28"/>
          <w:highlight w:val="none"/>
          <w:lang w:val="en-US" w:eastAsia="zh-CN" w:bidi="ar"/>
        </w:rPr>
        <w:t>要、发包人要求增设相关</w:t>
      </w:r>
      <w:r>
        <w:rPr>
          <w:rFonts w:hint="eastAsia" w:ascii="仿宋_GB2312" w:hAnsi="仿宋_GB2312" w:eastAsia="仿宋_GB2312" w:cs="仿宋_GB2312"/>
          <w:color w:val="auto"/>
          <w:spacing w:val="-7"/>
          <w:kern w:val="0"/>
          <w:sz w:val="28"/>
          <w:szCs w:val="28"/>
          <w:highlight w:val="none"/>
          <w:lang w:val="en-US" w:eastAsia="zh-CN" w:bidi="ar"/>
        </w:rPr>
        <w:t>人员，并不得因此要求增加相关费用。</w:t>
      </w:r>
    </w:p>
    <w:p w14:paraId="4427FF7A">
      <w:pPr>
        <w:rPr>
          <w:highlight w:val="none"/>
        </w:rPr>
      </w:pPr>
    </w:p>
    <w:p w14:paraId="3186444E">
      <w:pPr>
        <w:rPr>
          <w:highlight w:val="none"/>
        </w:rPr>
      </w:pPr>
    </w:p>
    <w:p w14:paraId="02A23B2E">
      <w:pPr>
        <w:rPr>
          <w:highlight w:val="none"/>
        </w:rPr>
      </w:pPr>
    </w:p>
    <w:p w14:paraId="4FE948EA">
      <w:pPr>
        <w:rPr>
          <w:highlight w:val="none"/>
        </w:rPr>
      </w:pPr>
    </w:p>
    <w:p w14:paraId="39D0A1B4">
      <w:pPr>
        <w:rPr>
          <w:highlight w:val="none"/>
        </w:rPr>
      </w:pPr>
    </w:p>
    <w:p w14:paraId="74131DB8">
      <w:pPr>
        <w:rPr>
          <w:highlight w:val="none"/>
        </w:rPr>
      </w:pPr>
    </w:p>
    <w:p w14:paraId="3EE32F50">
      <w:pPr>
        <w:rPr>
          <w:highlight w:val="none"/>
        </w:rPr>
      </w:pPr>
    </w:p>
    <w:p w14:paraId="581C4D35">
      <w:pPr>
        <w:rPr>
          <w:highlight w:val="none"/>
        </w:rPr>
      </w:pPr>
    </w:p>
    <w:p w14:paraId="505EC312">
      <w:pPr>
        <w:rPr>
          <w:highlight w:val="none"/>
        </w:rPr>
      </w:pPr>
    </w:p>
    <w:p w14:paraId="485955CE">
      <w:pPr>
        <w:rPr>
          <w:highlight w:val="none"/>
        </w:rPr>
      </w:pPr>
    </w:p>
    <w:p w14:paraId="4356B645">
      <w:pPr>
        <w:rPr>
          <w:highlight w:val="none"/>
        </w:rPr>
      </w:pPr>
    </w:p>
    <w:p w14:paraId="247C9557">
      <w:pPr>
        <w:rPr>
          <w:highlight w:val="none"/>
        </w:rPr>
      </w:pPr>
    </w:p>
    <w:p w14:paraId="079E41D6">
      <w:pPr>
        <w:rPr>
          <w:highlight w:val="none"/>
        </w:rPr>
      </w:pPr>
    </w:p>
    <w:p w14:paraId="3DAB14BA">
      <w:pPr>
        <w:rPr>
          <w:highlight w:val="none"/>
        </w:rPr>
      </w:pPr>
    </w:p>
    <w:p w14:paraId="6A85EC3A">
      <w:pPr>
        <w:rPr>
          <w:highlight w:val="none"/>
        </w:rPr>
      </w:pPr>
    </w:p>
    <w:p w14:paraId="644CB543">
      <w:pPr>
        <w:rPr>
          <w:highlight w:val="none"/>
        </w:rPr>
      </w:pPr>
    </w:p>
    <w:p w14:paraId="5D8C3070">
      <w:pPr>
        <w:rPr>
          <w:highlight w:val="none"/>
        </w:rPr>
      </w:pPr>
    </w:p>
    <w:p w14:paraId="3858734A">
      <w:pPr>
        <w:rPr>
          <w:highlight w:val="none"/>
        </w:rPr>
      </w:pPr>
    </w:p>
    <w:p w14:paraId="60B07348">
      <w:pPr>
        <w:rPr>
          <w:highlight w:val="none"/>
        </w:rPr>
      </w:pPr>
    </w:p>
    <w:p w14:paraId="679762EE">
      <w:pPr>
        <w:rPr>
          <w:highlight w:val="none"/>
        </w:rPr>
      </w:pPr>
    </w:p>
    <w:p w14:paraId="7A84C7A9">
      <w:pPr>
        <w:rPr>
          <w:highlight w:val="none"/>
        </w:rPr>
      </w:pPr>
    </w:p>
    <w:p w14:paraId="2B3E8C6A">
      <w:pPr>
        <w:rPr>
          <w:highlight w:val="none"/>
        </w:rPr>
      </w:pPr>
    </w:p>
    <w:p w14:paraId="014EFECC">
      <w:pPr>
        <w:rPr>
          <w:highlight w:val="none"/>
        </w:rPr>
      </w:pPr>
    </w:p>
    <w:p w14:paraId="36AF345C">
      <w:pPr>
        <w:rPr>
          <w:highlight w:val="none"/>
        </w:rPr>
      </w:pPr>
    </w:p>
    <w:p w14:paraId="6755E033">
      <w:pPr>
        <w:rPr>
          <w:highlight w:val="none"/>
        </w:rPr>
      </w:pPr>
    </w:p>
    <w:p w14:paraId="1C5F4100">
      <w:pPr>
        <w:rPr>
          <w:highlight w:val="none"/>
        </w:rPr>
      </w:pPr>
    </w:p>
    <w:p w14:paraId="4CC83017">
      <w:pPr>
        <w:spacing w:line="500" w:lineRule="exact"/>
        <w:jc w:val="center"/>
        <w:outlineLvl w:val="0"/>
        <w:rPr>
          <w:b/>
          <w:sz w:val="36"/>
          <w:szCs w:val="36"/>
          <w:highlight w:val="none"/>
        </w:rPr>
      </w:pPr>
      <w:bookmarkStart w:id="29" w:name="_Toc12901"/>
      <w:r>
        <w:rPr>
          <w:rFonts w:hint="eastAsia"/>
          <w:b/>
          <w:sz w:val="36"/>
          <w:szCs w:val="36"/>
          <w:highlight w:val="none"/>
          <w:lang w:val="en-US" w:eastAsia="zh-CN"/>
        </w:rPr>
        <w:t xml:space="preserve">第二章 </w:t>
      </w:r>
      <w:r>
        <w:rPr>
          <w:rFonts w:hint="eastAsia"/>
          <w:b/>
          <w:sz w:val="36"/>
          <w:szCs w:val="36"/>
          <w:highlight w:val="none"/>
        </w:rPr>
        <w:t>评审办法</w:t>
      </w:r>
      <w:bookmarkEnd w:id="29"/>
    </w:p>
    <w:p w14:paraId="2C6D9D7E">
      <w:pPr>
        <w:spacing w:line="360" w:lineRule="auto"/>
        <w:ind w:firstLine="482" w:firstLineChars="200"/>
        <w:outlineLvl w:val="1"/>
        <w:rPr>
          <w:rFonts w:ascii="宋体" w:hAnsi="宋体"/>
          <w:b/>
          <w:sz w:val="24"/>
          <w:highlight w:val="none"/>
        </w:rPr>
      </w:pPr>
      <w:bookmarkStart w:id="30" w:name="_Toc28941"/>
      <w:bookmarkStart w:id="31" w:name="_Toc22888"/>
      <w:bookmarkStart w:id="32" w:name="_Toc16381"/>
      <w:bookmarkStart w:id="33" w:name="_Toc28294"/>
      <w:bookmarkStart w:id="34" w:name="_Toc14447"/>
      <w:r>
        <w:rPr>
          <w:rFonts w:hint="eastAsia" w:ascii="宋体" w:hAnsi="宋体"/>
          <w:b/>
          <w:sz w:val="24"/>
          <w:highlight w:val="none"/>
        </w:rPr>
        <w:t>一、评审方法</w:t>
      </w:r>
      <w:bookmarkEnd w:id="30"/>
      <w:bookmarkEnd w:id="31"/>
      <w:bookmarkEnd w:id="32"/>
      <w:bookmarkEnd w:id="33"/>
      <w:bookmarkEnd w:id="34"/>
    </w:p>
    <w:p w14:paraId="39F8E102">
      <w:pPr>
        <w:spacing w:line="360" w:lineRule="auto"/>
        <w:ind w:firstLine="480" w:firstLineChars="200"/>
        <w:rPr>
          <w:rFonts w:ascii="宋体" w:hAnsi="宋体"/>
          <w:sz w:val="24"/>
          <w:highlight w:val="none"/>
        </w:rPr>
      </w:pPr>
      <w:r>
        <w:rPr>
          <w:rFonts w:ascii="宋体" w:hAnsi="宋体"/>
          <w:sz w:val="24"/>
          <w:highlight w:val="none"/>
        </w:rPr>
        <w:t>本次询价采用</w:t>
      </w:r>
      <w:r>
        <w:rPr>
          <w:rFonts w:hint="eastAsia" w:ascii="宋体" w:hAnsi="宋体"/>
          <w:sz w:val="24"/>
          <w:highlight w:val="none"/>
        </w:rPr>
        <w:t>综合评估法。</w:t>
      </w:r>
    </w:p>
    <w:p w14:paraId="3BC9A05C">
      <w:pPr>
        <w:numPr>
          <w:ilvl w:val="0"/>
          <w:numId w:val="6"/>
        </w:numPr>
        <w:spacing w:line="360" w:lineRule="auto"/>
        <w:ind w:firstLine="482" w:firstLineChars="200"/>
        <w:outlineLvl w:val="1"/>
        <w:rPr>
          <w:rFonts w:hint="eastAsia" w:ascii="宋体" w:hAnsi="宋体"/>
          <w:b/>
          <w:sz w:val="24"/>
          <w:highlight w:val="none"/>
        </w:rPr>
      </w:pPr>
      <w:bookmarkStart w:id="35" w:name="_Toc2363"/>
      <w:bookmarkStart w:id="36" w:name="_Toc13481"/>
      <w:bookmarkStart w:id="37" w:name="_Toc18774"/>
      <w:bookmarkStart w:id="38" w:name="_Toc17281"/>
      <w:bookmarkStart w:id="39" w:name="_Toc715"/>
      <w:r>
        <w:rPr>
          <w:rFonts w:hint="eastAsia" w:ascii="宋体" w:hAnsi="宋体"/>
          <w:b/>
          <w:sz w:val="24"/>
          <w:highlight w:val="none"/>
          <w:lang w:val="en-US" w:eastAsia="zh-CN"/>
        </w:rPr>
        <w:t>询价</w:t>
      </w:r>
      <w:r>
        <w:rPr>
          <w:rFonts w:hint="eastAsia" w:ascii="宋体" w:hAnsi="宋体"/>
          <w:b/>
          <w:sz w:val="24"/>
          <w:highlight w:val="none"/>
        </w:rPr>
        <w:t>评审小组</w:t>
      </w:r>
      <w:bookmarkEnd w:id="35"/>
    </w:p>
    <w:p w14:paraId="75FF1437">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询价</w:t>
      </w:r>
      <w:r>
        <w:rPr>
          <w:rFonts w:hint="eastAsia" w:ascii="宋体" w:hAnsi="宋体"/>
          <w:sz w:val="24"/>
          <w:highlight w:val="none"/>
        </w:rPr>
        <w:t>评审小组由</w:t>
      </w:r>
      <w:r>
        <w:rPr>
          <w:rFonts w:hint="eastAsia" w:ascii="宋体" w:hAnsi="宋体"/>
          <w:sz w:val="24"/>
          <w:highlight w:val="none"/>
          <w:lang w:val="en-US" w:eastAsia="zh-CN"/>
        </w:rPr>
        <w:t>4</w:t>
      </w:r>
      <w:r>
        <w:rPr>
          <w:rFonts w:hint="eastAsia" w:ascii="宋体" w:hAnsi="宋体"/>
          <w:sz w:val="24"/>
          <w:highlight w:val="none"/>
        </w:rPr>
        <w:t>名赣州市政府投资项目评估咨询专家</w:t>
      </w:r>
      <w:r>
        <w:rPr>
          <w:rFonts w:hint="eastAsia" w:ascii="宋体" w:hAnsi="宋体"/>
          <w:sz w:val="24"/>
          <w:highlight w:val="none"/>
          <w:lang w:eastAsia="zh-CN"/>
        </w:rPr>
        <w:t>（</w:t>
      </w:r>
      <w:r>
        <w:rPr>
          <w:rFonts w:hint="eastAsia" w:ascii="宋体" w:hAnsi="宋体"/>
          <w:sz w:val="24"/>
          <w:highlight w:val="none"/>
          <w:lang w:val="en-US" w:eastAsia="zh-CN"/>
        </w:rPr>
        <w:t>工程咨询专业</w:t>
      </w:r>
      <w:r>
        <w:rPr>
          <w:rFonts w:hint="eastAsia" w:ascii="宋体" w:hAnsi="宋体"/>
          <w:sz w:val="24"/>
          <w:highlight w:val="none"/>
          <w:lang w:eastAsia="zh-CN"/>
        </w:rPr>
        <w:t>）</w:t>
      </w:r>
      <w:r>
        <w:rPr>
          <w:rFonts w:hint="eastAsia" w:ascii="宋体" w:hAnsi="宋体"/>
          <w:sz w:val="24"/>
          <w:highlight w:val="none"/>
          <w:lang w:val="en-US" w:eastAsia="zh-CN"/>
        </w:rPr>
        <w:t>及1名业主代表</w:t>
      </w:r>
      <w:r>
        <w:rPr>
          <w:rFonts w:hint="eastAsia" w:ascii="宋体" w:hAnsi="宋体"/>
          <w:sz w:val="24"/>
          <w:highlight w:val="none"/>
        </w:rPr>
        <w:t>组成。</w:t>
      </w:r>
    </w:p>
    <w:bookmarkEnd w:id="36"/>
    <w:bookmarkEnd w:id="37"/>
    <w:bookmarkEnd w:id="38"/>
    <w:bookmarkEnd w:id="39"/>
    <w:p w14:paraId="34FE9CF1">
      <w:pPr>
        <w:numPr>
          <w:ilvl w:val="0"/>
          <w:numId w:val="6"/>
        </w:numPr>
        <w:spacing w:line="360" w:lineRule="auto"/>
        <w:ind w:left="0" w:leftChars="0" w:firstLine="482" w:firstLineChars="200"/>
        <w:outlineLvl w:val="1"/>
        <w:rPr>
          <w:rFonts w:hint="eastAsia" w:ascii="宋体" w:hAnsi="宋体"/>
          <w:b/>
          <w:sz w:val="24"/>
          <w:highlight w:val="none"/>
          <w:lang w:val="en-US" w:eastAsia="zh-CN"/>
        </w:rPr>
      </w:pPr>
      <w:bookmarkStart w:id="40" w:name="_Toc17123"/>
      <w:r>
        <w:rPr>
          <w:rFonts w:hint="eastAsia" w:ascii="宋体" w:hAnsi="宋体"/>
          <w:b/>
          <w:sz w:val="24"/>
          <w:highlight w:val="none"/>
          <w:lang w:val="en-US" w:eastAsia="zh-CN"/>
        </w:rPr>
        <w:t>评审程序</w:t>
      </w:r>
      <w:bookmarkEnd w:id="40"/>
    </w:p>
    <w:p w14:paraId="10F097DF">
      <w:pPr>
        <w:numPr>
          <w:ilvl w:val="0"/>
          <w:numId w:val="7"/>
        </w:numPr>
        <w:spacing w:line="360" w:lineRule="auto"/>
        <w:ind w:leftChars="200"/>
        <w:outlineLvl w:val="9"/>
        <w:rPr>
          <w:rFonts w:hint="eastAsia" w:ascii="宋体" w:hAnsi="宋体"/>
          <w:b w:val="0"/>
          <w:bCs/>
          <w:sz w:val="24"/>
          <w:highlight w:val="none"/>
          <w:lang w:val="en-US" w:eastAsia="zh-CN"/>
        </w:rPr>
      </w:pPr>
      <w:r>
        <w:rPr>
          <w:rFonts w:hint="eastAsia" w:ascii="宋体" w:hAnsi="宋体"/>
          <w:b w:val="0"/>
          <w:bCs/>
          <w:sz w:val="24"/>
          <w:highlight w:val="none"/>
          <w:lang w:val="en-US" w:eastAsia="zh-CN"/>
        </w:rPr>
        <w:t>第一信封初步评审</w:t>
      </w:r>
    </w:p>
    <w:p w14:paraId="438F061A">
      <w:pPr>
        <w:numPr>
          <w:ilvl w:val="0"/>
          <w:numId w:val="0"/>
        </w:numPr>
        <w:spacing w:line="360" w:lineRule="auto"/>
        <w:ind w:firstLine="480"/>
        <w:outlineLvl w:val="9"/>
        <w:rPr>
          <w:rFonts w:hint="eastAsia" w:ascii="宋体" w:hAnsi="宋体" w:cs="宋体"/>
          <w:kern w:val="0"/>
          <w:sz w:val="24"/>
          <w:highlight w:val="none"/>
          <w:lang w:val="en-US" w:eastAsia="zh-CN"/>
        </w:rPr>
      </w:pPr>
      <w:r>
        <w:rPr>
          <w:rFonts w:hint="eastAsia" w:ascii="宋体" w:hAnsi="宋体"/>
          <w:b w:val="0"/>
          <w:bCs/>
          <w:sz w:val="24"/>
          <w:highlight w:val="none"/>
          <w:lang w:val="en-US" w:eastAsia="zh-CN"/>
        </w:rPr>
        <w:t>参照评审表格中</w:t>
      </w:r>
      <w:r>
        <w:rPr>
          <w:rFonts w:hint="eastAsia" w:ascii="宋体" w:hAnsi="宋体" w:cs="宋体"/>
          <w:kern w:val="0"/>
          <w:sz w:val="24"/>
          <w:highlight w:val="none"/>
          <w:lang w:val="en-US" w:eastAsia="zh-CN"/>
        </w:rPr>
        <w:t>形式、响应及资格评审标准对报价人第一信封（商务及技术文件）进行初步评审，有一项不符合评审标准，</w:t>
      </w:r>
      <w:r>
        <w:rPr>
          <w:rFonts w:hint="eastAsia" w:ascii="宋体" w:hAnsi="宋体"/>
          <w:sz w:val="24"/>
          <w:highlight w:val="none"/>
          <w:lang w:val="en-US" w:eastAsia="zh-CN"/>
        </w:rPr>
        <w:t>询价</w:t>
      </w:r>
      <w:r>
        <w:rPr>
          <w:rFonts w:hint="eastAsia" w:ascii="宋体" w:hAnsi="宋体"/>
          <w:sz w:val="24"/>
          <w:highlight w:val="none"/>
        </w:rPr>
        <w:t>评审小组</w:t>
      </w:r>
      <w:r>
        <w:rPr>
          <w:rFonts w:hint="eastAsia" w:ascii="宋体" w:hAnsi="宋体"/>
          <w:sz w:val="24"/>
          <w:highlight w:val="none"/>
          <w:lang w:val="en-US" w:eastAsia="zh-CN"/>
        </w:rPr>
        <w:t>应否决其</w:t>
      </w:r>
      <w:r>
        <w:rPr>
          <w:rFonts w:hint="eastAsia" w:ascii="宋体" w:hAnsi="宋体" w:cs="宋体"/>
          <w:kern w:val="0"/>
          <w:sz w:val="24"/>
          <w:highlight w:val="none"/>
          <w:lang w:val="en-US" w:eastAsia="zh-CN"/>
        </w:rPr>
        <w:t>商务及技术文件。</w:t>
      </w:r>
    </w:p>
    <w:p w14:paraId="6697B067">
      <w:pPr>
        <w:numPr>
          <w:ilvl w:val="0"/>
          <w:numId w:val="7"/>
        </w:numPr>
        <w:spacing w:line="360" w:lineRule="auto"/>
        <w:ind w:left="420" w:leftChars="200" w:firstLine="0" w:firstLineChars="0"/>
        <w:outlineLvl w:val="9"/>
        <w:rPr>
          <w:rFonts w:hint="eastAsia" w:ascii="宋体" w:hAnsi="宋体"/>
          <w:b w:val="0"/>
          <w:bCs/>
          <w:sz w:val="24"/>
          <w:highlight w:val="none"/>
          <w:lang w:val="en-US" w:eastAsia="zh-CN"/>
        </w:rPr>
      </w:pPr>
      <w:r>
        <w:rPr>
          <w:rFonts w:hint="eastAsia" w:ascii="宋体" w:hAnsi="宋体"/>
          <w:b w:val="0"/>
          <w:bCs/>
          <w:sz w:val="24"/>
          <w:highlight w:val="none"/>
          <w:lang w:val="en-US" w:eastAsia="zh-CN"/>
        </w:rPr>
        <w:t>第一信封详细评审</w:t>
      </w:r>
    </w:p>
    <w:p w14:paraId="66561765">
      <w:pPr>
        <w:numPr>
          <w:ilvl w:val="0"/>
          <w:numId w:val="0"/>
        </w:numPr>
        <w:spacing w:line="360" w:lineRule="auto"/>
        <w:ind w:firstLine="480" w:firstLineChars="200"/>
        <w:outlineLvl w:val="9"/>
        <w:rPr>
          <w:rFonts w:hint="eastAsia" w:ascii="宋体" w:hAnsi="宋体"/>
          <w:b w:val="0"/>
          <w:bCs/>
          <w:sz w:val="24"/>
          <w:highlight w:val="none"/>
          <w:lang w:val="en-US" w:eastAsia="zh-CN"/>
        </w:rPr>
      </w:pPr>
      <w:r>
        <w:rPr>
          <w:rFonts w:hint="eastAsia" w:ascii="宋体" w:hAnsi="宋体"/>
          <w:sz w:val="24"/>
          <w:highlight w:val="none"/>
          <w:lang w:val="en-US" w:eastAsia="zh-CN"/>
        </w:rPr>
        <w:t>询价</w:t>
      </w:r>
      <w:r>
        <w:rPr>
          <w:rFonts w:hint="eastAsia" w:ascii="宋体" w:hAnsi="宋体"/>
          <w:sz w:val="24"/>
          <w:highlight w:val="none"/>
        </w:rPr>
        <w:t>评审小组</w:t>
      </w:r>
      <w:r>
        <w:rPr>
          <w:rFonts w:hint="eastAsia" w:ascii="宋体" w:hAnsi="宋体"/>
          <w:sz w:val="24"/>
          <w:highlight w:val="none"/>
          <w:lang w:val="en-US" w:eastAsia="zh-CN"/>
        </w:rPr>
        <w:t>按</w:t>
      </w:r>
      <w:r>
        <w:rPr>
          <w:rFonts w:hint="eastAsia" w:ascii="宋体" w:hAnsi="宋体"/>
          <w:b w:val="0"/>
          <w:bCs/>
          <w:sz w:val="24"/>
          <w:highlight w:val="none"/>
          <w:lang w:val="en-US" w:eastAsia="zh-CN"/>
        </w:rPr>
        <w:t>评审表格中规定的量化因素和分值对</w:t>
      </w:r>
      <w:r>
        <w:rPr>
          <w:rFonts w:hint="eastAsia" w:ascii="宋体" w:hAnsi="宋体" w:cs="宋体"/>
          <w:kern w:val="0"/>
          <w:sz w:val="24"/>
          <w:highlight w:val="none"/>
          <w:lang w:val="en-US" w:eastAsia="zh-CN"/>
        </w:rPr>
        <w:t>第一信封（商务及技术文件）</w:t>
      </w:r>
      <w:r>
        <w:rPr>
          <w:rFonts w:hint="eastAsia" w:ascii="宋体" w:hAnsi="宋体"/>
          <w:b w:val="0"/>
          <w:bCs/>
          <w:sz w:val="24"/>
          <w:highlight w:val="none"/>
          <w:lang w:val="en-US" w:eastAsia="zh-CN"/>
        </w:rPr>
        <w:t>进行打分，并计算出各报价人商务和技术得分。</w:t>
      </w:r>
    </w:p>
    <w:p w14:paraId="250A462E">
      <w:pPr>
        <w:numPr>
          <w:ilvl w:val="0"/>
          <w:numId w:val="7"/>
        </w:numPr>
        <w:spacing w:line="360" w:lineRule="auto"/>
        <w:ind w:left="420" w:leftChars="200" w:firstLine="0" w:firstLineChars="0"/>
        <w:outlineLvl w:val="9"/>
        <w:rPr>
          <w:rFonts w:hint="eastAsia" w:ascii="宋体" w:hAnsi="宋体"/>
          <w:b w:val="0"/>
          <w:bCs/>
          <w:sz w:val="24"/>
          <w:highlight w:val="none"/>
          <w:lang w:val="en-US" w:eastAsia="zh-CN"/>
        </w:rPr>
      </w:pPr>
      <w:r>
        <w:rPr>
          <w:rFonts w:hint="eastAsia" w:ascii="宋体" w:hAnsi="宋体"/>
          <w:b w:val="0"/>
          <w:bCs/>
          <w:sz w:val="24"/>
          <w:highlight w:val="none"/>
          <w:lang w:val="en-US" w:eastAsia="zh-CN"/>
        </w:rPr>
        <w:t>第二信封初步评审</w:t>
      </w:r>
    </w:p>
    <w:p w14:paraId="186C0D2D">
      <w:pPr>
        <w:numPr>
          <w:ilvl w:val="0"/>
          <w:numId w:val="0"/>
        </w:numPr>
        <w:spacing w:line="360" w:lineRule="auto"/>
        <w:ind w:firstLine="480"/>
        <w:outlineLvl w:val="9"/>
        <w:rPr>
          <w:rFonts w:hint="eastAsia" w:ascii="宋体" w:hAnsi="宋体" w:cs="宋体"/>
          <w:kern w:val="0"/>
          <w:sz w:val="24"/>
          <w:highlight w:val="none"/>
          <w:lang w:val="en-US" w:eastAsia="zh-CN"/>
        </w:rPr>
      </w:pPr>
      <w:r>
        <w:rPr>
          <w:rFonts w:hint="eastAsia" w:ascii="宋体" w:hAnsi="宋体"/>
          <w:b w:val="0"/>
          <w:bCs/>
          <w:sz w:val="24"/>
          <w:highlight w:val="none"/>
          <w:lang w:val="en-US" w:eastAsia="zh-CN"/>
        </w:rPr>
        <w:t>参照评审表格中</w:t>
      </w:r>
      <w:r>
        <w:rPr>
          <w:rFonts w:hint="eastAsia" w:ascii="宋体" w:hAnsi="宋体" w:cs="宋体"/>
          <w:kern w:val="0"/>
          <w:sz w:val="24"/>
          <w:highlight w:val="none"/>
          <w:lang w:val="en-US" w:eastAsia="zh-CN"/>
        </w:rPr>
        <w:t>形式、响应及资格评审标准对报价人第二信封（报价文件）进行初步评审，有一项不符合评审标准，</w:t>
      </w:r>
      <w:r>
        <w:rPr>
          <w:rFonts w:hint="eastAsia" w:ascii="宋体" w:hAnsi="宋体"/>
          <w:sz w:val="24"/>
          <w:highlight w:val="none"/>
          <w:lang w:val="en-US" w:eastAsia="zh-CN"/>
        </w:rPr>
        <w:t>询价</w:t>
      </w:r>
      <w:r>
        <w:rPr>
          <w:rFonts w:hint="eastAsia" w:ascii="宋体" w:hAnsi="宋体"/>
          <w:sz w:val="24"/>
          <w:highlight w:val="none"/>
        </w:rPr>
        <w:t>评审小组</w:t>
      </w:r>
      <w:r>
        <w:rPr>
          <w:rFonts w:hint="eastAsia" w:ascii="宋体" w:hAnsi="宋体"/>
          <w:sz w:val="24"/>
          <w:highlight w:val="none"/>
          <w:lang w:val="en-US" w:eastAsia="zh-CN"/>
        </w:rPr>
        <w:t>应否决其</w:t>
      </w:r>
      <w:r>
        <w:rPr>
          <w:rFonts w:hint="eastAsia" w:ascii="宋体" w:hAnsi="宋体" w:cs="宋体"/>
          <w:kern w:val="0"/>
          <w:sz w:val="24"/>
          <w:highlight w:val="none"/>
          <w:lang w:val="en-US" w:eastAsia="zh-CN"/>
        </w:rPr>
        <w:t>报价文件。</w:t>
      </w:r>
    </w:p>
    <w:p w14:paraId="45002318">
      <w:pPr>
        <w:numPr>
          <w:ilvl w:val="0"/>
          <w:numId w:val="7"/>
        </w:numPr>
        <w:spacing w:line="360" w:lineRule="auto"/>
        <w:ind w:left="420" w:leftChars="200" w:firstLine="0" w:firstLineChars="0"/>
        <w:outlineLvl w:val="9"/>
        <w:rPr>
          <w:rFonts w:hint="eastAsia" w:ascii="宋体" w:hAnsi="宋体"/>
          <w:b w:val="0"/>
          <w:bCs/>
          <w:sz w:val="24"/>
          <w:highlight w:val="none"/>
          <w:lang w:val="en-US" w:eastAsia="zh-CN"/>
        </w:rPr>
      </w:pPr>
      <w:r>
        <w:rPr>
          <w:rFonts w:hint="eastAsia" w:ascii="宋体" w:hAnsi="宋体"/>
          <w:b w:val="0"/>
          <w:bCs/>
          <w:sz w:val="24"/>
          <w:highlight w:val="none"/>
          <w:lang w:val="en-US" w:eastAsia="zh-CN"/>
        </w:rPr>
        <w:t>第二信封详细评审</w:t>
      </w:r>
    </w:p>
    <w:p w14:paraId="682220D7">
      <w:pPr>
        <w:numPr>
          <w:ilvl w:val="0"/>
          <w:numId w:val="0"/>
        </w:numPr>
        <w:spacing w:line="360" w:lineRule="auto"/>
        <w:ind w:firstLine="480" w:firstLineChars="200"/>
        <w:outlineLvl w:val="9"/>
        <w:rPr>
          <w:rFonts w:hint="eastAsia" w:ascii="宋体" w:hAnsi="宋体"/>
          <w:b w:val="0"/>
          <w:bCs/>
          <w:sz w:val="24"/>
          <w:highlight w:val="none"/>
          <w:lang w:val="en-US" w:eastAsia="zh-CN"/>
        </w:rPr>
      </w:pPr>
      <w:r>
        <w:rPr>
          <w:rFonts w:hint="eastAsia" w:ascii="宋体" w:hAnsi="宋体"/>
          <w:sz w:val="24"/>
          <w:highlight w:val="none"/>
          <w:lang w:val="en-US" w:eastAsia="zh-CN"/>
        </w:rPr>
        <w:t>询价</w:t>
      </w:r>
      <w:r>
        <w:rPr>
          <w:rFonts w:hint="eastAsia" w:ascii="宋体" w:hAnsi="宋体"/>
          <w:sz w:val="24"/>
          <w:highlight w:val="none"/>
        </w:rPr>
        <w:t>评审小组</w:t>
      </w:r>
      <w:r>
        <w:rPr>
          <w:rFonts w:hint="eastAsia" w:ascii="宋体" w:hAnsi="宋体"/>
          <w:sz w:val="24"/>
          <w:highlight w:val="none"/>
          <w:lang w:val="en-US" w:eastAsia="zh-CN"/>
        </w:rPr>
        <w:t>按</w:t>
      </w:r>
      <w:r>
        <w:rPr>
          <w:rFonts w:hint="eastAsia" w:ascii="宋体" w:hAnsi="宋体"/>
          <w:b w:val="0"/>
          <w:bCs/>
          <w:sz w:val="24"/>
          <w:highlight w:val="none"/>
          <w:lang w:val="en-US" w:eastAsia="zh-CN"/>
        </w:rPr>
        <w:t>评审表格中规定的量化因素和分值进行打分，并计算出价格分。</w:t>
      </w:r>
    </w:p>
    <w:p w14:paraId="726DEDBE">
      <w:pPr>
        <w:numPr>
          <w:ilvl w:val="0"/>
          <w:numId w:val="7"/>
        </w:numPr>
        <w:spacing w:line="360" w:lineRule="auto"/>
        <w:ind w:left="420" w:leftChars="200" w:firstLine="0" w:firstLineChars="0"/>
        <w:outlineLvl w:val="9"/>
        <w:rPr>
          <w:rFonts w:hint="eastAsia" w:ascii="宋体" w:hAnsi="宋体"/>
          <w:b w:val="0"/>
          <w:bCs/>
          <w:sz w:val="24"/>
          <w:highlight w:val="none"/>
          <w:lang w:val="en-US" w:eastAsia="zh-CN"/>
        </w:rPr>
      </w:pPr>
      <w:r>
        <w:rPr>
          <w:rFonts w:hint="eastAsia" w:ascii="宋体" w:hAnsi="宋体"/>
          <w:b w:val="0"/>
          <w:bCs/>
          <w:sz w:val="24"/>
          <w:highlight w:val="none"/>
          <w:lang w:val="en-US" w:eastAsia="zh-CN"/>
        </w:rPr>
        <w:t>汇总</w:t>
      </w:r>
    </w:p>
    <w:p w14:paraId="170A0998">
      <w:pPr>
        <w:numPr>
          <w:ilvl w:val="0"/>
          <w:numId w:val="0"/>
        </w:numPr>
        <w:spacing w:line="360" w:lineRule="auto"/>
        <w:ind w:firstLine="480" w:firstLineChars="200"/>
        <w:outlineLvl w:val="9"/>
        <w:rPr>
          <w:rFonts w:hint="default" w:ascii="宋体" w:hAnsi="宋体"/>
          <w:b w:val="0"/>
          <w:bCs/>
          <w:sz w:val="24"/>
          <w:highlight w:val="none"/>
          <w:lang w:val="en-US" w:eastAsia="zh-CN"/>
        </w:rPr>
      </w:pPr>
      <w:r>
        <w:rPr>
          <w:rFonts w:hint="eastAsia" w:ascii="宋体" w:hAnsi="宋体"/>
          <w:sz w:val="24"/>
          <w:highlight w:val="none"/>
          <w:lang w:val="en-US" w:eastAsia="zh-CN"/>
        </w:rPr>
        <w:t>询价</w:t>
      </w:r>
      <w:r>
        <w:rPr>
          <w:rFonts w:hint="eastAsia" w:ascii="宋体" w:hAnsi="宋体"/>
          <w:sz w:val="24"/>
          <w:highlight w:val="none"/>
        </w:rPr>
        <w:t>评审小组</w:t>
      </w:r>
      <w:r>
        <w:rPr>
          <w:rFonts w:hint="eastAsia" w:ascii="宋体" w:hAnsi="宋体"/>
          <w:sz w:val="24"/>
          <w:highlight w:val="none"/>
          <w:lang w:val="en-US" w:eastAsia="zh-CN"/>
        </w:rPr>
        <w:t>根据第一信封和第二信封详细评审得分情况汇总各报价人综合评分，即各报价人综合评分=第一信封</w:t>
      </w:r>
      <w:r>
        <w:rPr>
          <w:rFonts w:hint="eastAsia" w:ascii="宋体" w:hAnsi="宋体"/>
          <w:b w:val="0"/>
          <w:bCs/>
          <w:sz w:val="24"/>
          <w:highlight w:val="none"/>
          <w:lang w:val="en-US" w:eastAsia="zh-CN"/>
        </w:rPr>
        <w:t>商务和技术得分+第二信封价格分。</w:t>
      </w:r>
    </w:p>
    <w:p w14:paraId="128A0F85">
      <w:pPr>
        <w:spacing w:line="360" w:lineRule="auto"/>
        <w:ind w:firstLine="482" w:firstLineChars="200"/>
        <w:outlineLvl w:val="1"/>
        <w:rPr>
          <w:rFonts w:hint="eastAsia" w:ascii="宋体" w:hAnsi="宋体" w:eastAsiaTheme="minorEastAsia"/>
          <w:b/>
          <w:sz w:val="24"/>
          <w:highlight w:val="none"/>
          <w:lang w:val="en-US" w:eastAsia="zh-CN"/>
        </w:rPr>
      </w:pPr>
      <w:bookmarkStart w:id="41" w:name="_Toc3210"/>
      <w:bookmarkStart w:id="42" w:name="_Toc7019"/>
      <w:bookmarkStart w:id="43" w:name="_Toc31197"/>
      <w:bookmarkStart w:id="44" w:name="_Toc19590"/>
      <w:bookmarkStart w:id="45" w:name="_Toc23854"/>
      <w:bookmarkStart w:id="46" w:name="_Toc21362"/>
      <w:r>
        <w:rPr>
          <w:rFonts w:hint="eastAsia" w:ascii="宋体" w:hAnsi="宋体"/>
          <w:b/>
          <w:sz w:val="24"/>
          <w:highlight w:val="none"/>
          <w:lang w:val="en-US" w:eastAsia="zh-CN"/>
        </w:rPr>
        <w:t>四</w:t>
      </w:r>
      <w:r>
        <w:rPr>
          <w:rFonts w:hint="eastAsia" w:ascii="宋体" w:hAnsi="宋体"/>
          <w:b/>
          <w:sz w:val="24"/>
          <w:highlight w:val="none"/>
        </w:rPr>
        <w:t>、</w:t>
      </w:r>
      <w:bookmarkEnd w:id="41"/>
      <w:bookmarkEnd w:id="42"/>
      <w:bookmarkEnd w:id="43"/>
      <w:bookmarkEnd w:id="44"/>
      <w:bookmarkEnd w:id="45"/>
      <w:r>
        <w:rPr>
          <w:rFonts w:hint="eastAsia" w:ascii="宋体" w:hAnsi="宋体"/>
          <w:b/>
          <w:sz w:val="24"/>
          <w:highlight w:val="none"/>
          <w:lang w:val="en-US" w:eastAsia="zh-CN"/>
        </w:rPr>
        <w:t>评审结果</w:t>
      </w:r>
      <w:bookmarkEnd w:id="46"/>
    </w:p>
    <w:p w14:paraId="17CD89A6">
      <w:pPr>
        <w:spacing w:line="360" w:lineRule="auto"/>
        <w:ind w:firstLine="480" w:firstLineChars="200"/>
        <w:rPr>
          <w:rFonts w:ascii="宋体" w:hAnsi="宋体"/>
          <w:sz w:val="24"/>
          <w:highlight w:val="none"/>
        </w:rPr>
      </w:pPr>
      <w:r>
        <w:rPr>
          <w:rFonts w:hint="eastAsia" w:ascii="宋体" w:hAnsi="宋体"/>
          <w:sz w:val="24"/>
          <w:highlight w:val="none"/>
          <w:lang w:val="en-US" w:eastAsia="zh-CN"/>
        </w:rPr>
        <w:t>询价</w:t>
      </w:r>
      <w:r>
        <w:rPr>
          <w:rFonts w:hint="eastAsia" w:ascii="宋体" w:hAnsi="宋体"/>
          <w:sz w:val="24"/>
          <w:highlight w:val="none"/>
        </w:rPr>
        <w:t>评审</w:t>
      </w:r>
      <w:r>
        <w:rPr>
          <w:rFonts w:ascii="宋体" w:hAnsi="宋体"/>
          <w:sz w:val="24"/>
          <w:highlight w:val="none"/>
        </w:rPr>
        <w:t>小组依据</w:t>
      </w:r>
      <w:r>
        <w:rPr>
          <w:rFonts w:hint="eastAsia" w:ascii="宋体" w:hAnsi="宋体"/>
          <w:sz w:val="24"/>
          <w:highlight w:val="none"/>
          <w:lang w:val="en-US" w:eastAsia="zh-CN"/>
        </w:rPr>
        <w:t>得分</w:t>
      </w:r>
      <w:r>
        <w:rPr>
          <w:rFonts w:hint="eastAsia" w:ascii="宋体" w:hAnsi="宋体"/>
          <w:sz w:val="24"/>
          <w:highlight w:val="none"/>
        </w:rPr>
        <w:t>由高到低的顺序推荐</w:t>
      </w:r>
      <w:r>
        <w:rPr>
          <w:rFonts w:hint="eastAsia" w:ascii="宋体" w:hAnsi="宋体"/>
          <w:sz w:val="24"/>
          <w:highlight w:val="none"/>
          <w:lang w:val="en-US" w:eastAsia="zh-CN"/>
        </w:rPr>
        <w:t>3名</w:t>
      </w:r>
      <w:r>
        <w:rPr>
          <w:rFonts w:hint="eastAsia" w:ascii="宋体" w:hAnsi="宋体"/>
          <w:sz w:val="24"/>
          <w:highlight w:val="none"/>
        </w:rPr>
        <w:t>候选人</w:t>
      </w:r>
      <w:r>
        <w:rPr>
          <w:rFonts w:hint="eastAsia" w:ascii="宋体" w:hAnsi="宋体"/>
          <w:sz w:val="24"/>
          <w:highlight w:val="none"/>
          <w:lang w:eastAsia="zh-CN"/>
        </w:rPr>
        <w:t>，</w:t>
      </w:r>
      <w:r>
        <w:rPr>
          <w:rFonts w:hint="eastAsia" w:ascii="宋体" w:hAnsi="宋体"/>
          <w:sz w:val="24"/>
          <w:highlight w:val="none"/>
          <w:lang w:val="en-US" w:eastAsia="zh-CN"/>
        </w:rPr>
        <w:t>并标明排序，同时向询价人提交书面评标报告</w:t>
      </w:r>
      <w:r>
        <w:rPr>
          <w:rFonts w:hint="eastAsia" w:ascii="宋体" w:hAnsi="宋体"/>
          <w:sz w:val="24"/>
          <w:highlight w:val="none"/>
        </w:rPr>
        <w:t>。</w:t>
      </w:r>
    </w:p>
    <w:p w14:paraId="54991653">
      <w:pPr>
        <w:spacing w:line="360" w:lineRule="auto"/>
        <w:ind w:firstLine="480" w:firstLineChars="200"/>
        <w:rPr>
          <w:rFonts w:hint="eastAsia" w:ascii="宋体" w:hAnsi="宋体"/>
          <w:sz w:val="24"/>
          <w:highlight w:val="none"/>
        </w:rPr>
      </w:pPr>
    </w:p>
    <w:p w14:paraId="20F3EB14">
      <w:pPr>
        <w:spacing w:line="360" w:lineRule="auto"/>
        <w:ind w:firstLine="480" w:firstLineChars="200"/>
        <w:rPr>
          <w:rFonts w:hint="eastAsia" w:ascii="宋体" w:hAnsi="宋体"/>
          <w:sz w:val="24"/>
          <w:highlight w:val="none"/>
        </w:rPr>
      </w:pPr>
    </w:p>
    <w:p w14:paraId="7A3C5A9A">
      <w:pPr>
        <w:spacing w:line="360" w:lineRule="auto"/>
        <w:ind w:firstLine="480" w:firstLineChars="200"/>
        <w:rPr>
          <w:rFonts w:hint="eastAsia" w:ascii="宋体" w:hAnsi="宋体"/>
          <w:sz w:val="24"/>
          <w:highlight w:val="none"/>
        </w:rPr>
      </w:pPr>
    </w:p>
    <w:p w14:paraId="10D12256">
      <w:pPr>
        <w:spacing w:line="360" w:lineRule="auto"/>
        <w:ind w:firstLine="480" w:firstLineChars="200"/>
        <w:rPr>
          <w:rFonts w:hint="eastAsia" w:ascii="宋体" w:hAnsi="宋体"/>
          <w:sz w:val="24"/>
          <w:highlight w:val="none"/>
        </w:rPr>
      </w:pPr>
    </w:p>
    <w:p w14:paraId="197DDEFF">
      <w:pPr>
        <w:spacing w:line="360" w:lineRule="auto"/>
        <w:ind w:firstLine="482" w:firstLineChars="200"/>
        <w:outlineLvl w:val="1"/>
        <w:rPr>
          <w:rFonts w:hint="default" w:ascii="宋体" w:hAnsi="宋体"/>
          <w:b/>
          <w:sz w:val="24"/>
          <w:highlight w:val="none"/>
          <w:lang w:val="en-US" w:eastAsia="zh-CN"/>
        </w:rPr>
      </w:pPr>
      <w:bookmarkStart w:id="47" w:name="_Toc12325"/>
      <w:r>
        <w:rPr>
          <w:rFonts w:hint="eastAsia" w:ascii="宋体" w:hAnsi="宋体"/>
          <w:b/>
          <w:sz w:val="24"/>
          <w:highlight w:val="none"/>
          <w:lang w:val="en-US" w:eastAsia="zh-CN"/>
        </w:rPr>
        <w:t>评审附表</w:t>
      </w:r>
      <w:bookmarkEnd w:id="47"/>
    </w:p>
    <w:tbl>
      <w:tblPr>
        <w:tblStyle w:val="16"/>
        <w:tblpPr w:leftFromText="180" w:rightFromText="180" w:vertAnchor="text" w:horzAnchor="page" w:tblpX="1254" w:tblpY="454"/>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20"/>
        <w:gridCol w:w="7167"/>
      </w:tblGrid>
      <w:tr w14:paraId="3A55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trPr>
        <w:tc>
          <w:tcPr>
            <w:tcW w:w="2399" w:type="dxa"/>
            <w:gridSpan w:val="2"/>
            <w:noWrap w:val="0"/>
            <w:vAlign w:val="center"/>
          </w:tcPr>
          <w:p w14:paraId="1B448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b/>
                <w:bCs/>
                <w:kern w:val="0"/>
                <w:sz w:val="28"/>
                <w:szCs w:val="28"/>
                <w:highlight w:val="none"/>
                <w:lang w:val="en-US" w:eastAsia="zh-CN"/>
              </w:rPr>
            </w:pPr>
            <w:r>
              <w:rPr>
                <w:rFonts w:hint="eastAsia" w:ascii="宋体" w:hAnsi="宋体" w:cs="宋体"/>
                <w:b/>
                <w:bCs/>
                <w:kern w:val="0"/>
                <w:sz w:val="28"/>
                <w:szCs w:val="28"/>
                <w:highlight w:val="none"/>
                <w:lang w:val="en-US" w:eastAsia="zh-CN"/>
              </w:rPr>
              <w:t>条款号</w:t>
            </w:r>
          </w:p>
        </w:tc>
        <w:tc>
          <w:tcPr>
            <w:tcW w:w="7167" w:type="dxa"/>
            <w:noWrap w:val="0"/>
            <w:vAlign w:val="center"/>
          </w:tcPr>
          <w:p w14:paraId="47621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Theme="minorEastAsia"/>
                <w:b/>
                <w:bCs/>
                <w:sz w:val="28"/>
                <w:szCs w:val="28"/>
                <w:highlight w:val="none"/>
                <w:lang w:val="en-US" w:eastAsia="zh-CN"/>
              </w:rPr>
            </w:pPr>
            <w:r>
              <w:rPr>
                <w:rFonts w:hint="eastAsia" w:ascii="宋体" w:hAnsi="宋体"/>
                <w:b/>
                <w:bCs/>
                <w:sz w:val="28"/>
                <w:szCs w:val="28"/>
                <w:highlight w:val="none"/>
                <w:lang w:val="en-US" w:eastAsia="zh-CN"/>
              </w:rPr>
              <w:t>评审标准</w:t>
            </w:r>
          </w:p>
        </w:tc>
      </w:tr>
      <w:tr w14:paraId="05F8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2399" w:type="dxa"/>
            <w:gridSpan w:val="2"/>
            <w:noWrap w:val="0"/>
            <w:vAlign w:val="center"/>
          </w:tcPr>
          <w:p w14:paraId="50D0B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评审方法</w:t>
            </w:r>
          </w:p>
        </w:tc>
        <w:tc>
          <w:tcPr>
            <w:tcW w:w="7167" w:type="dxa"/>
            <w:noWrap w:val="0"/>
            <w:vAlign w:val="center"/>
          </w:tcPr>
          <w:p w14:paraId="24687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综合评分相等时，询价评审小组依次按照以下优先顺序推荐候选人：</w:t>
            </w:r>
          </w:p>
          <w:p w14:paraId="1F624E98">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商务和技术得分较高的报价人优先；</w:t>
            </w:r>
          </w:p>
          <w:p w14:paraId="211D5923">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评标价低的报价人优先；</w:t>
            </w:r>
          </w:p>
          <w:p w14:paraId="7C081788">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现场抽签。（由综合评分相同的单位按现场递交响应文件的先后顺序依次抽签确定第一候选人）</w:t>
            </w:r>
          </w:p>
        </w:tc>
      </w:tr>
      <w:tr w14:paraId="6EF3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0" w:hRule="atLeast"/>
        </w:trPr>
        <w:tc>
          <w:tcPr>
            <w:tcW w:w="1579" w:type="dxa"/>
            <w:vMerge w:val="restart"/>
            <w:noWrap w:val="0"/>
            <w:vAlign w:val="center"/>
          </w:tcPr>
          <w:p w14:paraId="02519C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eastAsiaTheme="minorEastAsia"/>
                <w:kern w:val="0"/>
                <w:sz w:val="24"/>
                <w:highlight w:val="none"/>
                <w:lang w:val="en-US" w:eastAsia="zh-CN"/>
              </w:rPr>
            </w:pPr>
            <w:r>
              <w:rPr>
                <w:rFonts w:hint="eastAsia" w:ascii="宋体" w:hAnsi="宋体" w:cs="宋体"/>
                <w:kern w:val="0"/>
                <w:sz w:val="24"/>
                <w:highlight w:val="none"/>
                <w:lang w:val="en-US" w:eastAsia="zh-CN"/>
              </w:rPr>
              <w:t>形式、响应及资格评审标准</w:t>
            </w:r>
          </w:p>
        </w:tc>
        <w:tc>
          <w:tcPr>
            <w:tcW w:w="820" w:type="dxa"/>
            <w:noWrap w:val="0"/>
            <w:vAlign w:val="center"/>
          </w:tcPr>
          <w:p w14:paraId="3E824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cs="宋体"/>
                <w:kern w:val="0"/>
                <w:sz w:val="24"/>
                <w:highlight w:val="none"/>
                <w:lang w:val="en-US" w:eastAsia="zh-CN"/>
              </w:rPr>
              <w:t>第一个信封（商务及技术文件）</w:t>
            </w:r>
          </w:p>
        </w:tc>
        <w:tc>
          <w:tcPr>
            <w:tcW w:w="7167" w:type="dxa"/>
            <w:noWrap w:val="0"/>
            <w:vAlign w:val="center"/>
          </w:tcPr>
          <w:p w14:paraId="3788E1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sz w:val="24"/>
                <w:highlight w:val="none"/>
              </w:rPr>
            </w:pPr>
            <w:r>
              <w:rPr>
                <w:rFonts w:hint="eastAsia" w:ascii="宋体" w:hAnsi="宋体"/>
                <w:sz w:val="24"/>
                <w:highlight w:val="none"/>
              </w:rPr>
              <w:t>1、按询价文件规定的格式、内容填写，字迹清晰可辨；</w:t>
            </w:r>
          </w:p>
          <w:p w14:paraId="04686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sz w:val="24"/>
                <w:highlight w:val="none"/>
              </w:rPr>
            </w:pPr>
            <w:r>
              <w:rPr>
                <w:rFonts w:hint="eastAsia" w:ascii="宋体" w:hAnsi="宋体"/>
                <w:sz w:val="24"/>
                <w:highlight w:val="none"/>
              </w:rPr>
              <w:t>2、</w:t>
            </w:r>
            <w:r>
              <w:rPr>
                <w:rFonts w:hint="eastAsia" w:ascii="宋体" w:hAnsi="宋体" w:cs="宋体"/>
                <w:kern w:val="0"/>
                <w:sz w:val="24"/>
                <w:highlight w:val="none"/>
                <w:lang w:val="en-US" w:eastAsia="zh-CN"/>
              </w:rPr>
              <w:t>商务及技术文件</w:t>
            </w:r>
            <w:r>
              <w:rPr>
                <w:rFonts w:hint="eastAsia" w:ascii="宋体" w:hAnsi="宋体"/>
                <w:sz w:val="24"/>
                <w:highlight w:val="none"/>
              </w:rPr>
              <w:t>上法定代表人、单位负责人或其委托代理人的签字、单位章盖章齐全，符合询价文件规定；</w:t>
            </w:r>
          </w:p>
          <w:p w14:paraId="47F8D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sz w:val="24"/>
                <w:highlight w:val="none"/>
              </w:rPr>
            </w:pPr>
            <w:r>
              <w:rPr>
                <w:rFonts w:hint="eastAsia" w:ascii="宋体" w:hAnsi="宋体"/>
                <w:sz w:val="24"/>
                <w:highlight w:val="none"/>
              </w:rPr>
              <w:t>3、</w:t>
            </w:r>
            <w:r>
              <w:rPr>
                <w:rFonts w:hint="eastAsia" w:ascii="宋体" w:hAnsi="宋体" w:cs="宋体"/>
                <w:kern w:val="0"/>
                <w:sz w:val="24"/>
                <w:highlight w:val="none"/>
                <w:lang w:val="en-US" w:eastAsia="zh-CN"/>
              </w:rPr>
              <w:t>商务及技术文件</w:t>
            </w:r>
            <w:r>
              <w:rPr>
                <w:rFonts w:hint="eastAsia" w:ascii="宋体" w:hAnsi="宋体"/>
                <w:sz w:val="24"/>
                <w:highlight w:val="none"/>
              </w:rPr>
              <w:t>对询价文件的实质性要求和条件作出响应；</w:t>
            </w:r>
          </w:p>
          <w:p w14:paraId="545F0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sz w:val="24"/>
                <w:highlight w:val="none"/>
              </w:rPr>
            </w:pPr>
            <w:r>
              <w:rPr>
                <w:rFonts w:hint="eastAsia" w:ascii="宋体" w:hAnsi="宋体"/>
                <w:sz w:val="24"/>
                <w:highlight w:val="none"/>
              </w:rPr>
              <w:t>4、权利义务符合询价文件规定；</w:t>
            </w:r>
          </w:p>
          <w:p w14:paraId="5F427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sz w:val="24"/>
                <w:highlight w:val="none"/>
              </w:rPr>
            </w:pPr>
            <w:r>
              <w:rPr>
                <w:rFonts w:hint="eastAsia" w:ascii="宋体" w:hAnsi="宋体"/>
                <w:sz w:val="24"/>
                <w:highlight w:val="none"/>
              </w:rPr>
              <w:t>5、</w:t>
            </w:r>
            <w:r>
              <w:rPr>
                <w:rFonts w:hint="default" w:ascii="宋体" w:hAnsi="宋体"/>
                <w:sz w:val="24"/>
                <w:highlight w:val="none"/>
              </w:rPr>
              <w:t>营业执照或事业单位法人证书、</w:t>
            </w:r>
            <w:r>
              <w:rPr>
                <w:rFonts w:hint="eastAsia"/>
                <w:sz w:val="24"/>
                <w:highlight w:val="none"/>
              </w:rPr>
              <w:t>人员、业绩</w:t>
            </w:r>
            <w:r>
              <w:rPr>
                <w:rFonts w:hint="default"/>
                <w:sz w:val="24"/>
                <w:highlight w:val="none"/>
              </w:rPr>
              <w:t>等资格条件符合</w:t>
            </w:r>
            <w:r>
              <w:rPr>
                <w:rFonts w:hint="eastAsia"/>
                <w:sz w:val="24"/>
                <w:highlight w:val="none"/>
              </w:rPr>
              <w:t>询价</w:t>
            </w:r>
            <w:r>
              <w:rPr>
                <w:rFonts w:hint="default"/>
                <w:sz w:val="24"/>
                <w:highlight w:val="none"/>
              </w:rPr>
              <w:t>文件规定；</w:t>
            </w:r>
          </w:p>
          <w:p w14:paraId="5281B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Theme="minorEastAsia"/>
                <w:sz w:val="24"/>
                <w:highlight w:val="none"/>
                <w:lang w:eastAsia="zh-CN"/>
              </w:rPr>
            </w:pPr>
            <w:r>
              <w:rPr>
                <w:rFonts w:hint="eastAsia" w:ascii="宋体" w:hAnsi="宋体"/>
                <w:sz w:val="24"/>
                <w:highlight w:val="none"/>
              </w:rPr>
              <w:t>6、</w:t>
            </w:r>
            <w:r>
              <w:rPr>
                <w:rFonts w:hint="eastAsia"/>
                <w:sz w:val="24"/>
                <w:highlight w:val="none"/>
              </w:rPr>
              <w:t>信誉符合</w:t>
            </w:r>
            <w:r>
              <w:rPr>
                <w:rFonts w:hint="eastAsia"/>
                <w:sz w:val="24"/>
                <w:highlight w:val="none"/>
                <w:lang w:eastAsia="zh-CN"/>
              </w:rPr>
              <w:t>响应文件</w:t>
            </w:r>
            <w:r>
              <w:rPr>
                <w:rFonts w:hint="eastAsia"/>
                <w:sz w:val="24"/>
                <w:highlight w:val="none"/>
              </w:rPr>
              <w:t>规定</w:t>
            </w:r>
            <w:r>
              <w:rPr>
                <w:rFonts w:hint="eastAsia"/>
                <w:sz w:val="24"/>
                <w:highlight w:val="none"/>
                <w:lang w:eastAsia="zh-CN"/>
              </w:rPr>
              <w:t>；</w:t>
            </w:r>
          </w:p>
          <w:p w14:paraId="41949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sz w:val="24"/>
                <w:highlight w:val="none"/>
              </w:rPr>
            </w:pPr>
            <w:r>
              <w:rPr>
                <w:rFonts w:hint="eastAsia"/>
                <w:sz w:val="24"/>
                <w:highlight w:val="none"/>
                <w:lang w:val="en-US" w:eastAsia="zh-CN"/>
              </w:rPr>
              <w:t>7、</w:t>
            </w:r>
            <w:r>
              <w:rPr>
                <w:rFonts w:hint="eastAsia"/>
                <w:sz w:val="24"/>
                <w:highlight w:val="none"/>
              </w:rPr>
              <w:t>其他资料符合询价文件规定；</w:t>
            </w:r>
          </w:p>
          <w:p w14:paraId="775DD9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sz w:val="24"/>
                <w:highlight w:val="none"/>
                <w:lang w:val="en-US" w:eastAsia="zh-CN"/>
              </w:rPr>
            </w:pPr>
            <w:r>
              <w:rPr>
                <w:rFonts w:hint="eastAsia" w:ascii="宋体" w:hAnsi="宋体"/>
                <w:sz w:val="24"/>
                <w:highlight w:val="none"/>
                <w:lang w:val="en-US" w:eastAsia="zh-CN"/>
              </w:rPr>
              <w:t>8</w:t>
            </w:r>
            <w:r>
              <w:rPr>
                <w:rFonts w:hint="eastAsia" w:ascii="宋体" w:hAnsi="宋体"/>
                <w:sz w:val="24"/>
                <w:highlight w:val="none"/>
              </w:rPr>
              <w:t>、</w:t>
            </w:r>
            <w:r>
              <w:rPr>
                <w:rFonts w:hint="eastAsia"/>
                <w:sz w:val="24"/>
                <w:highlight w:val="none"/>
                <w:lang w:val="en-US" w:eastAsia="zh-CN"/>
              </w:rPr>
              <w:t>未出现有关报价的内容。</w:t>
            </w:r>
          </w:p>
          <w:p w14:paraId="25175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sz w:val="24"/>
                <w:highlight w:val="none"/>
                <w:lang w:val="en-US" w:eastAsia="zh-CN"/>
              </w:rPr>
            </w:pPr>
            <w:r>
              <w:rPr>
                <w:rFonts w:hint="eastAsia"/>
                <w:sz w:val="24"/>
                <w:highlight w:val="none"/>
                <w:lang w:val="en-US" w:eastAsia="zh-CN"/>
              </w:rPr>
              <w:t>9、有效</w:t>
            </w:r>
            <w:r>
              <w:rPr>
                <w:rFonts w:hint="eastAsia" w:ascii="宋体" w:hAnsi="宋体" w:cs="宋体"/>
                <w:kern w:val="0"/>
                <w:sz w:val="24"/>
                <w:highlight w:val="none"/>
                <w:lang w:val="en-US" w:eastAsia="zh-CN"/>
              </w:rPr>
              <w:t>商务及技术文件</w:t>
            </w:r>
            <w:r>
              <w:rPr>
                <w:rFonts w:hint="eastAsia"/>
                <w:sz w:val="24"/>
                <w:highlight w:val="none"/>
                <w:lang w:val="en-US" w:eastAsia="zh-CN"/>
              </w:rPr>
              <w:t>数量不足3家的，</w:t>
            </w:r>
            <w:r>
              <w:rPr>
                <w:rFonts w:hint="eastAsia" w:ascii="宋体" w:hAnsi="宋体"/>
                <w:sz w:val="24"/>
                <w:highlight w:val="none"/>
                <w:lang w:val="en-US" w:eastAsia="zh-CN"/>
              </w:rPr>
              <w:t>询价评审小组经评审认定仍具有竞争性。（询价评审小组对</w:t>
            </w:r>
            <w:r>
              <w:rPr>
                <w:rFonts w:hint="eastAsia" w:ascii="宋体" w:hAnsi="宋体" w:cs="宋体"/>
                <w:kern w:val="0"/>
                <w:sz w:val="24"/>
                <w:highlight w:val="none"/>
                <w:lang w:val="en-US" w:eastAsia="zh-CN"/>
              </w:rPr>
              <w:t>商务及技术文件进行评审后，因有效报价人不足3家使得报价明显缺乏竞争的，可以否决全部商务及技术文件。未否决全部商务及技术文件的，询价</w:t>
            </w:r>
            <w:r>
              <w:rPr>
                <w:rFonts w:hint="eastAsia" w:ascii="宋体" w:hAnsi="宋体"/>
                <w:sz w:val="24"/>
                <w:highlight w:val="none"/>
                <w:lang w:val="en-US" w:eastAsia="zh-CN"/>
              </w:rPr>
              <w:t>评审小组应当在评审报告中阐明理由并推荐候选人。）</w:t>
            </w:r>
          </w:p>
        </w:tc>
      </w:tr>
      <w:tr w14:paraId="66F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7" w:hRule="atLeast"/>
        </w:trPr>
        <w:tc>
          <w:tcPr>
            <w:tcW w:w="1579" w:type="dxa"/>
            <w:vMerge w:val="continue"/>
            <w:noWrap w:val="0"/>
            <w:vAlign w:val="center"/>
          </w:tcPr>
          <w:p w14:paraId="6471B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val="en-US" w:eastAsia="zh-CN"/>
              </w:rPr>
            </w:pPr>
          </w:p>
        </w:tc>
        <w:tc>
          <w:tcPr>
            <w:tcW w:w="820" w:type="dxa"/>
            <w:noWrap w:val="0"/>
            <w:vAlign w:val="center"/>
          </w:tcPr>
          <w:p w14:paraId="1CE6B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cs="宋体"/>
                <w:kern w:val="0"/>
                <w:sz w:val="24"/>
                <w:highlight w:val="none"/>
                <w:lang w:val="en-US" w:eastAsia="zh-CN"/>
              </w:rPr>
              <w:t>第二个信封（报价文件）</w:t>
            </w:r>
          </w:p>
        </w:tc>
        <w:tc>
          <w:tcPr>
            <w:tcW w:w="7167" w:type="dxa"/>
            <w:noWrap w:val="0"/>
            <w:vAlign w:val="center"/>
          </w:tcPr>
          <w:p w14:paraId="63922806">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sz w:val="24"/>
                <w:highlight w:val="none"/>
              </w:rPr>
            </w:pPr>
            <w:r>
              <w:rPr>
                <w:rFonts w:hint="eastAsia" w:ascii="宋体" w:hAnsi="宋体"/>
                <w:sz w:val="24"/>
                <w:highlight w:val="none"/>
              </w:rPr>
              <w:t>按询价文件规定的格式、内容填写，字迹清晰可辨；</w:t>
            </w:r>
          </w:p>
          <w:p w14:paraId="7E63D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sz w:val="24"/>
                <w:highlight w:val="none"/>
              </w:rPr>
            </w:pPr>
            <w:r>
              <w:rPr>
                <w:rFonts w:hint="eastAsia" w:ascii="宋体" w:hAnsi="宋体"/>
                <w:sz w:val="24"/>
                <w:highlight w:val="none"/>
              </w:rPr>
              <w:t>2、</w:t>
            </w:r>
            <w:r>
              <w:rPr>
                <w:rFonts w:hint="eastAsia" w:ascii="宋体" w:hAnsi="宋体" w:cs="宋体"/>
                <w:kern w:val="0"/>
                <w:sz w:val="24"/>
                <w:highlight w:val="none"/>
                <w:lang w:val="en-US" w:eastAsia="zh-CN"/>
              </w:rPr>
              <w:t>报价文件</w:t>
            </w:r>
            <w:r>
              <w:rPr>
                <w:rFonts w:hint="eastAsia" w:ascii="宋体" w:hAnsi="宋体"/>
                <w:sz w:val="24"/>
                <w:highlight w:val="none"/>
              </w:rPr>
              <w:t>上法定代表人、单位负责人或其委托代理人的签字、单位章盖章齐全，符合询价文件规定；</w:t>
            </w:r>
          </w:p>
          <w:p w14:paraId="7DAD99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sz w:val="24"/>
                <w:highlight w:val="none"/>
                <w:lang w:eastAsia="zh-CN"/>
              </w:rPr>
            </w:pPr>
            <w:r>
              <w:rPr>
                <w:rFonts w:hint="eastAsia" w:ascii="宋体" w:hAnsi="宋体"/>
                <w:sz w:val="24"/>
                <w:highlight w:val="none"/>
              </w:rPr>
              <w:t>3、</w:t>
            </w:r>
            <w:r>
              <w:rPr>
                <w:rFonts w:hint="eastAsia" w:ascii="宋体" w:hAnsi="宋体" w:cs="宋体"/>
                <w:kern w:val="0"/>
                <w:sz w:val="24"/>
                <w:highlight w:val="none"/>
                <w:lang w:val="en-US" w:eastAsia="zh-CN"/>
              </w:rPr>
              <w:t>商务及技术文件</w:t>
            </w:r>
            <w:r>
              <w:rPr>
                <w:rFonts w:hint="eastAsia" w:ascii="宋体" w:hAnsi="宋体"/>
                <w:sz w:val="24"/>
                <w:highlight w:val="none"/>
              </w:rPr>
              <w:t>对询价文件的实质性要求和条件作出响应</w:t>
            </w:r>
            <w:r>
              <w:rPr>
                <w:rFonts w:hint="eastAsia" w:ascii="宋体" w:hAnsi="宋体"/>
                <w:sz w:val="24"/>
                <w:highlight w:val="none"/>
                <w:lang w:eastAsia="zh-CN"/>
              </w:rPr>
              <w:t>；</w:t>
            </w:r>
          </w:p>
          <w:p w14:paraId="173695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sz w:val="24"/>
                <w:highlight w:val="none"/>
                <w:lang w:val="en-US" w:eastAsia="zh-CN"/>
              </w:rPr>
            </w:pPr>
            <w:r>
              <w:rPr>
                <w:rFonts w:hint="eastAsia" w:ascii="宋体" w:hAnsi="宋体"/>
                <w:sz w:val="24"/>
                <w:highlight w:val="none"/>
                <w:lang w:val="en-US" w:eastAsia="zh-CN"/>
              </w:rPr>
              <w:t>4、未超过询价人公布的控制价上限；</w:t>
            </w:r>
          </w:p>
          <w:p w14:paraId="736CE5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sz w:val="24"/>
                <w:highlight w:val="none"/>
                <w:lang w:val="en-US" w:eastAsia="zh-CN"/>
              </w:rPr>
            </w:pPr>
            <w:r>
              <w:rPr>
                <w:rFonts w:hint="eastAsia" w:ascii="宋体" w:hAnsi="宋体"/>
                <w:sz w:val="24"/>
                <w:highlight w:val="none"/>
                <w:lang w:val="en-US" w:eastAsia="zh-CN"/>
              </w:rPr>
              <w:t>5、同一报价人未提交两个以上不同报价；</w:t>
            </w:r>
          </w:p>
          <w:p w14:paraId="66CB29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ascii="宋体" w:hAnsi="宋体"/>
                <w:sz w:val="24"/>
                <w:highlight w:val="none"/>
                <w:lang w:val="en-US" w:eastAsia="zh-CN"/>
              </w:rPr>
            </w:pPr>
            <w:r>
              <w:rPr>
                <w:rFonts w:hint="eastAsia" w:ascii="宋体" w:hAnsi="宋体"/>
                <w:sz w:val="24"/>
                <w:highlight w:val="none"/>
                <w:lang w:val="en-US" w:eastAsia="zh-CN"/>
              </w:rPr>
              <w:t>6、</w:t>
            </w:r>
            <w:r>
              <w:rPr>
                <w:rFonts w:hint="eastAsia"/>
                <w:sz w:val="24"/>
                <w:highlight w:val="none"/>
                <w:lang w:val="en-US" w:eastAsia="zh-CN"/>
              </w:rPr>
              <w:t>有效</w:t>
            </w:r>
            <w:r>
              <w:rPr>
                <w:rFonts w:hint="eastAsia" w:ascii="宋体" w:hAnsi="宋体" w:cs="宋体"/>
                <w:kern w:val="0"/>
                <w:sz w:val="24"/>
                <w:highlight w:val="none"/>
                <w:lang w:val="en-US" w:eastAsia="zh-CN"/>
              </w:rPr>
              <w:t>报价文件</w:t>
            </w:r>
            <w:r>
              <w:rPr>
                <w:rFonts w:hint="eastAsia"/>
                <w:sz w:val="24"/>
                <w:highlight w:val="none"/>
                <w:lang w:val="en-US" w:eastAsia="zh-CN"/>
              </w:rPr>
              <w:t>数量不足3家的，</w:t>
            </w:r>
            <w:r>
              <w:rPr>
                <w:rFonts w:hint="eastAsia" w:ascii="宋体" w:hAnsi="宋体"/>
                <w:sz w:val="24"/>
                <w:highlight w:val="none"/>
                <w:lang w:val="en-US" w:eastAsia="zh-CN"/>
              </w:rPr>
              <w:t>询价评审小组经评审认定仍具有竞争性。（询价评审小组对</w:t>
            </w:r>
            <w:r>
              <w:rPr>
                <w:rFonts w:hint="eastAsia" w:ascii="宋体" w:hAnsi="宋体" w:cs="宋体"/>
                <w:kern w:val="0"/>
                <w:sz w:val="24"/>
                <w:highlight w:val="none"/>
                <w:lang w:val="en-US" w:eastAsia="zh-CN"/>
              </w:rPr>
              <w:t>报价文件进行评审后，因有效报价人不足3家使得报价明显缺乏竞争的，可以否决全部报价文件。未否决全部报价文件的，询价</w:t>
            </w:r>
            <w:r>
              <w:rPr>
                <w:rFonts w:hint="eastAsia" w:ascii="宋体" w:hAnsi="宋体"/>
                <w:sz w:val="24"/>
                <w:highlight w:val="none"/>
                <w:lang w:val="en-US" w:eastAsia="zh-CN"/>
              </w:rPr>
              <w:t>评审小组应当在评审报告中阐明理由并推荐候选人。）</w:t>
            </w:r>
          </w:p>
        </w:tc>
      </w:tr>
      <w:tr w14:paraId="78D5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79" w:type="dxa"/>
            <w:noWrap w:val="0"/>
            <w:vAlign w:val="center"/>
          </w:tcPr>
          <w:p w14:paraId="36B81F30">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评分因素</w:t>
            </w:r>
          </w:p>
        </w:tc>
        <w:tc>
          <w:tcPr>
            <w:tcW w:w="7987" w:type="dxa"/>
            <w:gridSpan w:val="2"/>
            <w:noWrap w:val="0"/>
            <w:vAlign w:val="center"/>
          </w:tcPr>
          <w:p w14:paraId="108D210A">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eastAsia" w:ascii="宋体" w:hAnsi="宋体" w:eastAsia="宋体" w:cs="宋体"/>
                <w:b/>
                <w:bCs/>
                <w:color w:val="0D0D0D" w:themeColor="text1" w:themeTint="F2"/>
                <w:sz w:val="28"/>
                <w:szCs w:val="28"/>
                <w:highlight w:val="none"/>
                <w:lang w:val="en-US"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8"/>
                <w:szCs w:val="28"/>
                <w:highlight w:val="none"/>
                <w:lang w:val="en-US" w:eastAsia="zh-CN"/>
                <w14:textFill>
                  <w14:solidFill>
                    <w14:schemeClr w14:val="tx1">
                      <w14:lumMod w14:val="95000"/>
                      <w14:lumOff w14:val="5000"/>
                    </w14:schemeClr>
                  </w14:solidFill>
                </w14:textFill>
              </w:rPr>
              <w:t>评分标准</w:t>
            </w:r>
          </w:p>
        </w:tc>
      </w:tr>
      <w:tr w14:paraId="56CE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5" w:hRule="atLeast"/>
        </w:trPr>
        <w:tc>
          <w:tcPr>
            <w:tcW w:w="1579" w:type="dxa"/>
            <w:noWrap w:val="0"/>
            <w:vAlign w:val="center"/>
          </w:tcPr>
          <w:p w14:paraId="72EC0D0E">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价格分</w:t>
            </w:r>
          </w:p>
          <w:p w14:paraId="5AC01F06">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20</w:t>
            </w:r>
            <w:r>
              <w:rPr>
                <w:rFonts w:hint="eastAsia" w:ascii="宋体" w:hAnsi="宋体" w:cs="宋体"/>
                <w:kern w:val="0"/>
                <w:sz w:val="24"/>
                <w:highlight w:val="none"/>
              </w:rPr>
              <w:t>分）</w:t>
            </w:r>
          </w:p>
        </w:tc>
        <w:tc>
          <w:tcPr>
            <w:tcW w:w="7987" w:type="dxa"/>
            <w:gridSpan w:val="2"/>
            <w:noWrap w:val="0"/>
            <w:vAlign w:val="top"/>
          </w:tcPr>
          <w:p w14:paraId="092DB234">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24"/>
                <w:szCs w:val="24"/>
                <w:highlight w:val="none"/>
                <w:lang w:val="en-US" w:eastAsia="zh-CN"/>
                <w14:textFill>
                  <w14:solidFill>
                    <w14:schemeClr w14:val="tx1">
                      <w14:lumMod w14:val="95000"/>
                      <w14:lumOff w14:val="5000"/>
                    </w14:schemeClr>
                  </w14:solidFill>
                </w14:textFill>
              </w:rPr>
              <w:t>1</w:t>
            </w:r>
            <w:r>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t>）评标价的确定：</w:t>
            </w:r>
          </w:p>
          <w:p w14:paraId="6B6F9D82">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评标价=</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报价</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函文字报价</w:t>
            </w:r>
          </w:p>
          <w:p w14:paraId="4AD34B9B">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24"/>
                <w:szCs w:val="24"/>
                <w:highlight w:val="none"/>
                <w:lang w:val="en-US" w:eastAsia="zh-CN"/>
                <w14:textFill>
                  <w14:solidFill>
                    <w14:schemeClr w14:val="tx1">
                      <w14:lumMod w14:val="95000"/>
                      <w14:lumOff w14:val="5000"/>
                    </w14:schemeClr>
                  </w14:solidFill>
                </w14:textFill>
              </w:rPr>
              <w:t>2</w:t>
            </w:r>
            <w:r>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t>）评标价平均值的计算：</w:t>
            </w:r>
          </w:p>
          <w:p w14:paraId="671EE0BD">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default"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按所有报价人商务及技术得分由高到低的顺序选取前3名（若该数量最后一名存在报价人的得分排名相同时，相同排名的报价人的报价均参与评标基准价的计算），对其评标价作算术平均，将该平均值作为评标价平均值；</w:t>
            </w:r>
          </w:p>
          <w:p w14:paraId="0C0B1F01">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24"/>
                <w:szCs w:val="24"/>
                <w:highlight w:val="none"/>
                <w:lang w:val="en-US" w:eastAsia="zh-CN"/>
                <w14:textFill>
                  <w14:solidFill>
                    <w14:schemeClr w14:val="tx1">
                      <w14:lumMod w14:val="95000"/>
                      <w14:lumOff w14:val="5000"/>
                    </w14:schemeClr>
                  </w14:solidFill>
                </w14:textFill>
              </w:rPr>
              <w:t>3</w:t>
            </w:r>
            <w:r>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t>）评标基准价的确定：</w:t>
            </w:r>
          </w:p>
          <w:p w14:paraId="1EFA0556">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highlight w:val="none"/>
                <w:lang w:eastAsia="zh-CN"/>
                <w14:textFill>
                  <w14:solidFill>
                    <w14:schemeClr w14:val="tx1">
                      <w14:lumMod w14:val="95000"/>
                      <w14:lumOff w14:val="5000"/>
                    </w14:schemeClr>
                  </w14:solidFill>
                </w14:textFill>
              </w:rPr>
              <w:t>将评标价平均值直接作为评标基准价。</w:t>
            </w:r>
          </w:p>
          <w:p w14:paraId="4836B1E5">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在评标过程中，询价评审小组应对</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询价</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人计算的评标基准价进行复核，存在计算错误的应予以修正并在评标报告中作出说明。除此之外，评标基准价在整个评标期间保持不变，不随任何因素发生变化。</w:t>
            </w:r>
          </w:p>
          <w:p w14:paraId="64B27C28">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评标基准价保留小数点后2位，小数</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点</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后第3位“四舍五入”。</w:t>
            </w:r>
          </w:p>
          <w:p w14:paraId="697842CB">
            <w:pPr>
              <w:keepNext w:val="0"/>
              <w:keepLines w:val="0"/>
              <w:pageBreakBefore w:val="0"/>
              <w:numPr>
                <w:ilvl w:val="0"/>
                <w:numId w:val="10"/>
              </w:numPr>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cs="宋体"/>
                <w:b/>
                <w:bCs/>
                <w:sz w:val="24"/>
                <w:highlight w:val="none"/>
                <w:lang w:eastAsia="zh-CN"/>
              </w:rPr>
            </w:pPr>
            <w:r>
              <w:rPr>
                <w:rFonts w:hint="eastAsia" w:ascii="宋体" w:hAnsi="宋体" w:cs="宋体"/>
                <w:b/>
                <w:bCs/>
                <w:sz w:val="24"/>
                <w:highlight w:val="none"/>
                <w:lang w:eastAsia="zh-CN"/>
              </w:rPr>
              <w:t>评标价的偏差率计算公式：</w:t>
            </w:r>
          </w:p>
          <w:p w14:paraId="18ABED39">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偏差率=100%×（</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报价</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人</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评标价</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－评标基准价）/评标基准价。</w:t>
            </w:r>
          </w:p>
          <w:p w14:paraId="149005B7">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偏差率保留4位小数，小数点后第5位“四舍五入”，示例：0.1234%。</w:t>
            </w:r>
          </w:p>
          <w:p w14:paraId="2ED22FFC">
            <w:pPr>
              <w:keepNext w:val="0"/>
              <w:keepLines w:val="0"/>
              <w:pageBreakBefore w:val="0"/>
              <w:numPr>
                <w:ilvl w:val="0"/>
                <w:numId w:val="10"/>
              </w:numPr>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cs="宋体"/>
                <w:b/>
                <w:bCs/>
                <w:sz w:val="24"/>
                <w:highlight w:val="none"/>
                <w:lang w:eastAsia="zh-CN"/>
              </w:rPr>
            </w:pPr>
            <w:r>
              <w:rPr>
                <w:rFonts w:hint="eastAsia" w:ascii="宋体" w:hAnsi="宋体" w:cs="宋体"/>
                <w:b/>
                <w:bCs/>
                <w:sz w:val="24"/>
                <w:highlight w:val="none"/>
                <w:lang w:eastAsia="zh-CN"/>
              </w:rPr>
              <w:t>评标价得分计算公式示例：</w:t>
            </w:r>
          </w:p>
          <w:p w14:paraId="28D088EB">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 w:val="24"/>
                <w:szCs w:val="24"/>
                <w:highlight w:val="none"/>
                <w:lang w:eastAsia="zh-CN"/>
                <w14:textFill>
                  <w14:solidFill>
                    <w14:schemeClr w14:val="tx1">
                      <w14:lumMod w14:val="95000"/>
                      <w14:lumOff w14:val="5000"/>
                    </w14:schemeClr>
                  </w14:solidFill>
                </w14:textFill>
              </w:rPr>
              <w:t>①</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如果</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报价</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人的评标价&gt;评标基准价，则评标价得分=F</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偏差率×100×E1;</w:t>
            </w:r>
          </w:p>
          <w:p w14:paraId="4F635635">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 w:val="24"/>
                <w:szCs w:val="24"/>
                <w:highlight w:val="none"/>
                <w:lang w:eastAsia="zh-CN"/>
                <w14:textFill>
                  <w14:solidFill>
                    <w14:schemeClr w14:val="tx1">
                      <w14:lumMod w14:val="95000"/>
                      <w14:lumOff w14:val="5000"/>
                    </w14:schemeClr>
                  </w14:solidFill>
                </w14:textFill>
              </w:rPr>
              <w:t>②</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如果</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报价</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人的评标价≤评标基准价，则评标价得分=F+偏差率×100×E2。</w:t>
            </w:r>
          </w:p>
          <w:p w14:paraId="56263DF3">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其中：F是评标价所占的权重分值</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即20分</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，E1是评标价每高于评标基准价一个百分点的扣分值</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，E2是评标价每低于评标基准价一个百分点的扣分值</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0.5</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w:t>
            </w:r>
          </w:p>
          <w:p w14:paraId="29A2317F">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kern w:val="0"/>
                <w:sz w:val="24"/>
                <w:highlight w:val="none"/>
                <w:lang w:eastAsia="zh-CN"/>
              </w:rPr>
            </w:pP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报价得分保留小数点后2位，小数点后第3位“四舍五入”，最低得零分。</w:t>
            </w:r>
          </w:p>
        </w:tc>
      </w:tr>
      <w:tr w14:paraId="45F1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1579" w:type="dxa"/>
            <w:noWrap w:val="0"/>
            <w:vAlign w:val="center"/>
          </w:tcPr>
          <w:p w14:paraId="4BDF06CA">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p>
          <w:p w14:paraId="000A258E">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p>
          <w:p w14:paraId="7418C40D">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p>
          <w:p w14:paraId="4161B19F">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p>
          <w:p w14:paraId="7A9B9AD5">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p>
          <w:p w14:paraId="535E828A">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p>
          <w:p w14:paraId="4E4876FE">
            <w:pPr>
              <w:pStyle w:val="15"/>
              <w:keepNext w:val="0"/>
              <w:keepLines w:val="0"/>
              <w:pageBreakBefore w:val="0"/>
              <w:suppressLineNumbers w:val="0"/>
              <w:kinsoku/>
              <w:wordWrap/>
              <w:overflowPunct/>
              <w:topLinePunct w:val="0"/>
              <w:bidi w:val="0"/>
              <w:snapToGrid/>
              <w:spacing w:before="0" w:beforeAutospacing="0" w:afterAutospacing="0" w:line="500" w:lineRule="exact"/>
              <w:ind w:right="0" w:firstLine="480"/>
              <w:textAlignment w:val="auto"/>
              <w:rPr>
                <w:rFonts w:hint="default" w:ascii="宋体" w:hAnsi="宋体" w:cs="宋体"/>
                <w:kern w:val="0"/>
                <w:sz w:val="24"/>
                <w:highlight w:val="none"/>
              </w:rPr>
            </w:pPr>
          </w:p>
          <w:p w14:paraId="4D8CCC0B">
            <w:pPr>
              <w:pStyle w:val="5"/>
              <w:keepNext w:val="0"/>
              <w:keepLines w:val="0"/>
              <w:pageBreakBefore w:val="0"/>
              <w:suppressLineNumbers w:val="0"/>
              <w:kinsoku/>
              <w:wordWrap/>
              <w:overflowPunct/>
              <w:topLinePunct w:val="0"/>
              <w:bidi w:val="0"/>
              <w:snapToGrid/>
              <w:spacing w:before="0" w:beforeAutospacing="0" w:after="0" w:afterAutospacing="0" w:line="500" w:lineRule="exact"/>
              <w:ind w:left="0" w:right="0" w:firstLine="480"/>
              <w:textAlignment w:val="auto"/>
              <w:rPr>
                <w:rFonts w:hint="default" w:ascii="宋体" w:hAnsi="宋体" w:cs="宋体"/>
                <w:kern w:val="0"/>
                <w:sz w:val="24"/>
                <w:highlight w:val="none"/>
              </w:rPr>
            </w:pPr>
          </w:p>
          <w:p w14:paraId="21B32F4E">
            <w:pPr>
              <w:pStyle w:val="4"/>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default" w:ascii="宋体" w:hAnsi="宋体" w:cs="宋体"/>
                <w:kern w:val="0"/>
                <w:sz w:val="24"/>
                <w:highlight w:val="none"/>
              </w:rPr>
            </w:pPr>
          </w:p>
          <w:p w14:paraId="457C433F">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default" w:ascii="宋体" w:hAnsi="宋体" w:cs="宋体"/>
                <w:kern w:val="0"/>
                <w:sz w:val="24"/>
                <w:highlight w:val="none"/>
              </w:rPr>
            </w:pPr>
          </w:p>
          <w:p w14:paraId="4640FC98">
            <w:pPr>
              <w:pStyle w:val="15"/>
              <w:keepNext w:val="0"/>
              <w:keepLines w:val="0"/>
              <w:pageBreakBefore w:val="0"/>
              <w:suppressLineNumbers w:val="0"/>
              <w:kinsoku/>
              <w:wordWrap/>
              <w:overflowPunct/>
              <w:topLinePunct w:val="0"/>
              <w:bidi w:val="0"/>
              <w:snapToGrid/>
              <w:spacing w:before="0" w:beforeAutospacing="0" w:afterAutospacing="0" w:line="500" w:lineRule="exact"/>
              <w:ind w:right="0" w:firstLine="480"/>
              <w:textAlignment w:val="auto"/>
              <w:rPr>
                <w:rFonts w:hint="default" w:ascii="宋体" w:hAnsi="宋体" w:cs="宋体"/>
                <w:kern w:val="0"/>
                <w:sz w:val="24"/>
                <w:highlight w:val="none"/>
              </w:rPr>
            </w:pPr>
          </w:p>
          <w:p w14:paraId="3879DFBC">
            <w:pPr>
              <w:pStyle w:val="5"/>
              <w:keepNext w:val="0"/>
              <w:keepLines w:val="0"/>
              <w:pageBreakBefore w:val="0"/>
              <w:suppressLineNumbers w:val="0"/>
              <w:kinsoku/>
              <w:wordWrap/>
              <w:overflowPunct/>
              <w:topLinePunct w:val="0"/>
              <w:bidi w:val="0"/>
              <w:snapToGrid/>
              <w:spacing w:before="0" w:beforeAutospacing="0" w:after="0" w:afterAutospacing="0" w:line="500" w:lineRule="exact"/>
              <w:ind w:left="0" w:right="0" w:firstLine="480"/>
              <w:textAlignment w:val="auto"/>
              <w:rPr>
                <w:rFonts w:hint="default" w:ascii="宋体" w:hAnsi="宋体" w:cs="宋体"/>
                <w:kern w:val="0"/>
                <w:sz w:val="24"/>
                <w:highlight w:val="none"/>
              </w:rPr>
            </w:pPr>
          </w:p>
          <w:p w14:paraId="5AABCE52">
            <w:pPr>
              <w:pStyle w:val="4"/>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default" w:ascii="宋体" w:hAnsi="宋体" w:cs="宋体"/>
                <w:kern w:val="0"/>
                <w:sz w:val="24"/>
                <w:highlight w:val="none"/>
              </w:rPr>
            </w:pPr>
          </w:p>
          <w:p w14:paraId="018E704D">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default" w:ascii="宋体" w:hAnsi="宋体" w:cs="宋体"/>
                <w:kern w:val="0"/>
                <w:sz w:val="24"/>
                <w:highlight w:val="none"/>
              </w:rPr>
            </w:pPr>
          </w:p>
          <w:p w14:paraId="3140D6B1">
            <w:pPr>
              <w:pStyle w:val="15"/>
              <w:keepNext w:val="0"/>
              <w:keepLines w:val="0"/>
              <w:pageBreakBefore w:val="0"/>
              <w:suppressLineNumbers w:val="0"/>
              <w:kinsoku/>
              <w:wordWrap/>
              <w:overflowPunct/>
              <w:topLinePunct w:val="0"/>
              <w:bidi w:val="0"/>
              <w:snapToGrid/>
              <w:spacing w:before="0" w:beforeAutospacing="0" w:afterAutospacing="0" w:line="500" w:lineRule="exact"/>
              <w:ind w:right="0"/>
              <w:textAlignment w:val="auto"/>
              <w:rPr>
                <w:rFonts w:hint="default"/>
                <w:highlight w:val="none"/>
              </w:rPr>
            </w:pPr>
          </w:p>
          <w:p w14:paraId="01FA5F7D">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技术分</w:t>
            </w:r>
          </w:p>
          <w:p w14:paraId="7906ECE0">
            <w:pPr>
              <w:keepNext w:val="0"/>
              <w:keepLines w:val="0"/>
              <w:pageBreakBefore w:val="0"/>
              <w:suppressLineNumbers w:val="0"/>
              <w:kinsoku/>
              <w:wordWrap/>
              <w:overflowPunct/>
              <w:topLinePunct w:val="0"/>
              <w:bidi w:val="0"/>
              <w:snapToGrid/>
              <w:spacing w:before="0" w:beforeAutospacing="0" w:after="0" w:afterAutospacing="0" w:line="500" w:lineRule="exact"/>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50</w:t>
            </w:r>
            <w:r>
              <w:rPr>
                <w:rFonts w:hint="eastAsia" w:ascii="宋体" w:hAnsi="宋体" w:cs="宋体"/>
                <w:kern w:val="0"/>
                <w:sz w:val="24"/>
                <w:highlight w:val="none"/>
              </w:rPr>
              <w:t>分）</w:t>
            </w:r>
          </w:p>
        </w:tc>
        <w:tc>
          <w:tcPr>
            <w:tcW w:w="7987" w:type="dxa"/>
            <w:gridSpan w:val="2"/>
            <w:noWrap w:val="0"/>
            <w:vAlign w:val="top"/>
          </w:tcPr>
          <w:p w14:paraId="166EAE1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default" w:ascii="宋体" w:hAnsi="宋体" w:cs="宋体"/>
                <w:b/>
                <w:bCs/>
                <w:sz w:val="24"/>
                <w:highlight w:val="none"/>
                <w:lang w:val="zh-CN"/>
              </w:rPr>
            </w:pPr>
            <w:r>
              <w:rPr>
                <w:rFonts w:hint="eastAsia" w:ascii="宋体" w:hAnsi="宋体" w:cs="宋体"/>
                <w:b/>
                <w:bCs/>
                <w:sz w:val="24"/>
                <w:highlight w:val="none"/>
                <w:lang w:val="en-US" w:eastAsia="zh-CN"/>
              </w:rPr>
              <w:t>一</w:t>
            </w:r>
            <w:r>
              <w:rPr>
                <w:rFonts w:hint="eastAsia" w:ascii="宋体" w:hAnsi="宋体" w:cs="宋体"/>
                <w:b/>
                <w:bCs/>
                <w:sz w:val="24"/>
                <w:highlight w:val="none"/>
                <w:lang w:val="zh-CN"/>
              </w:rPr>
              <w:t>、</w:t>
            </w:r>
            <w:r>
              <w:rPr>
                <w:rFonts w:hint="eastAsia" w:ascii="宋体" w:hAnsi="宋体" w:cs="宋体"/>
                <w:b/>
                <w:bCs/>
                <w:sz w:val="24"/>
                <w:highlight w:val="none"/>
              </w:rPr>
              <w:t>项目背景</w:t>
            </w:r>
            <w:r>
              <w:rPr>
                <w:rFonts w:hint="eastAsia" w:ascii="宋体" w:hAnsi="宋体" w:cs="宋体"/>
                <w:b/>
                <w:bCs/>
                <w:sz w:val="24"/>
                <w:highlight w:val="none"/>
                <w:lang w:eastAsia="zh-CN"/>
              </w:rPr>
              <w:t>、</w:t>
            </w:r>
            <w:r>
              <w:rPr>
                <w:rFonts w:hint="eastAsia" w:ascii="宋体" w:hAnsi="宋体" w:cs="宋体"/>
                <w:b/>
                <w:bCs/>
                <w:color w:val="000000"/>
                <w:kern w:val="0"/>
                <w:sz w:val="24"/>
                <w:highlight w:val="none"/>
                <w:lang w:val="en-US" w:eastAsia="zh-CN" w:bidi="ar"/>
              </w:rPr>
              <w:t>形势</w:t>
            </w:r>
            <w:r>
              <w:rPr>
                <w:rFonts w:hint="eastAsia" w:ascii="宋体" w:hAnsi="宋体" w:cs="宋体"/>
                <w:b/>
                <w:bCs/>
                <w:sz w:val="24"/>
                <w:highlight w:val="none"/>
              </w:rPr>
              <w:t>分析</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15</w:t>
            </w:r>
            <w:r>
              <w:rPr>
                <w:rFonts w:hint="eastAsia" w:ascii="宋体" w:hAnsi="宋体" w:cs="宋体"/>
                <w:b/>
                <w:bCs/>
                <w:sz w:val="24"/>
                <w:highlight w:val="none"/>
                <w:lang w:val="zh-CN"/>
              </w:rPr>
              <w:t>分）</w:t>
            </w:r>
          </w:p>
          <w:p w14:paraId="758D0FBC">
            <w:pPr>
              <w:keepNext w:val="0"/>
              <w:keepLines w:val="0"/>
              <w:pageBreakBefore w:val="0"/>
              <w:suppressLineNumbers w:val="0"/>
              <w:kinsoku/>
              <w:wordWrap/>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对本项目规划背景</w:t>
            </w:r>
            <w:r>
              <w:rPr>
                <w:rFonts w:hint="eastAsia" w:ascii="宋体" w:hAnsi="宋体" w:cs="宋体"/>
                <w:color w:val="0D0D0D" w:themeColor="text1" w:themeTint="F2"/>
                <w:sz w:val="24"/>
                <w:szCs w:val="24"/>
                <w:highlight w:val="none"/>
                <w:lang w:eastAsia="zh-CN"/>
                <w14:textFill>
                  <w14:solidFill>
                    <w14:schemeClr w14:val="tx1">
                      <w14:lumMod w14:val="95000"/>
                      <w14:lumOff w14:val="5000"/>
                    </w14:schemeClr>
                  </w14:solidFill>
                </w14:textFill>
              </w:rPr>
              <w:t>的</w:t>
            </w:r>
            <w:r>
              <w:rPr>
                <w:rFonts w:hint="eastAsia" w:ascii="宋体" w:hAnsi="宋体" w:cs="宋体"/>
                <w:color w:val="0D0D0D" w:themeColor="text1" w:themeTint="F2"/>
                <w:sz w:val="24"/>
                <w:szCs w:val="24"/>
                <w:highlight w:val="none"/>
                <w:lang w:val="en-US" w:eastAsia="zh-CN"/>
                <w14:textFill>
                  <w14:solidFill>
                    <w14:schemeClr w14:val="tx1">
                      <w14:lumMod w14:val="95000"/>
                      <w14:lumOff w14:val="5000"/>
                    </w14:schemeClr>
                  </w14:solidFill>
                </w14:textFill>
              </w:rPr>
              <w:t>理解和重难点的分析与建议以及</w:t>
            </w:r>
            <w:r>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“十五五”期间赣州交控集团发展面临的新形势、新环境、新要求分析</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进行</w:t>
            </w:r>
            <w:r>
              <w:rPr>
                <w:rFonts w:hint="eastAsia" w:ascii="宋体" w:hAnsi="宋体" w:cs="宋体"/>
                <w:color w:val="000000"/>
                <w:kern w:val="0"/>
                <w:sz w:val="24"/>
                <w:highlight w:val="none"/>
                <w:lang w:bidi="ar"/>
              </w:rPr>
              <w:t>综合评审</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w:t>
            </w:r>
          </w:p>
          <w:p w14:paraId="3025BAAD">
            <w:pPr>
              <w:pStyle w:val="5"/>
              <w:keepNext w:val="0"/>
              <w:keepLines w:val="0"/>
              <w:suppressLineNumbers w:val="0"/>
              <w:spacing w:before="0" w:beforeAutospacing="0" w:after="0" w:afterAutospacing="0" w:line="360" w:lineRule="auto"/>
              <w:ind w:left="0" w:right="0" w:firstLine="0"/>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1、对本项目背景理解透彻，对项目描述准确，对工作任务理解到位，对项目的关键点、重难点（例如国有产投平台运营、物流和低空经济产业等方面）提出针对性、可行性强的建议，同时对集团面临的外部环境、重大机遇和需应对的主要挑战，认识全面、深入、清晰的得</w:t>
            </w:r>
            <w:r>
              <w:rPr>
                <w:rFonts w:hint="eastAsia" w:ascii="宋体" w:hAnsi="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13.6-15</w:t>
            </w:r>
            <w:r>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分；</w:t>
            </w:r>
          </w:p>
          <w:p w14:paraId="3626D483">
            <w:pPr>
              <w:pStyle w:val="5"/>
              <w:keepNext w:val="0"/>
              <w:keepLines w:val="0"/>
              <w:suppressLineNumbers w:val="0"/>
              <w:spacing w:before="0" w:beforeAutospacing="0" w:after="0" w:afterAutospacing="0" w:line="360" w:lineRule="auto"/>
              <w:ind w:left="0" w:right="0" w:firstLine="0"/>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2、对本项目背景理解较清晰，项目描述较准确，对工作任务的理解较全面，能准确把握项目关键点、重难点（例如国有产投平台运营、物流和低空经济产业等方面），并提出针对性、可行性较强的建议，同时对集团面临的外部环境、重大机遇和需应对的主要挑战，认识较为准确的，得</w:t>
            </w:r>
            <w:r>
              <w:rPr>
                <w:rFonts w:hint="eastAsia" w:ascii="宋体" w:hAnsi="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11.3-13.5</w:t>
            </w:r>
            <w:r>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分；</w:t>
            </w:r>
          </w:p>
          <w:p w14:paraId="495A7051">
            <w:pPr>
              <w:pStyle w:val="5"/>
              <w:keepNext w:val="0"/>
              <w:keepLines w:val="0"/>
              <w:suppressLineNumbers w:val="0"/>
              <w:spacing w:before="0" w:beforeAutospacing="0" w:after="0" w:afterAutospacing="0" w:line="360" w:lineRule="auto"/>
              <w:ind w:left="0" w:right="0" w:firstLine="0"/>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3、对本项目背景理解一般，项目描述基本准确，对工作任务的理解基本到位，但未能准确把握项目关键点、重难点（例如国有产投平台运营、物流和低空经济产业等方面），提出的建议针对性、可行性一般，同时对集团面临的外部环境、重大机遇和需应对的主要挑战，认识不够清晰的，得9-11.2分；</w:t>
            </w:r>
          </w:p>
          <w:p w14:paraId="41989899">
            <w:pPr>
              <w:keepNext w:val="0"/>
              <w:keepLines w:val="0"/>
              <w:pageBreakBefore w:val="0"/>
              <w:suppressLineNumbers w:val="0"/>
              <w:kinsoku/>
              <w:wordWrap/>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未提供相关内容不得分</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w:t>
            </w:r>
          </w:p>
          <w:p w14:paraId="076D78AC">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宋体" w:cs="宋体"/>
                <w:b/>
                <w:bCs/>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highlight w:val="none"/>
                <w14:textFill>
                  <w14:solidFill>
                    <w14:schemeClr w14:val="tx1">
                      <w14:lumMod w14:val="95000"/>
                      <w14:lumOff w14:val="5000"/>
                    </w14:schemeClr>
                  </w14:solidFill>
                </w14:textFill>
              </w:rPr>
              <w:t>（评审依据：根据响应文件中提供的项目背景分析方案进行打分，未提供或提供无效者不得分。）</w:t>
            </w:r>
          </w:p>
          <w:p w14:paraId="73655C51">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jc w:val="left"/>
              <w:textAlignment w:val="auto"/>
              <w:rPr>
                <w:rFonts w:hint="default"/>
                <w:highlight w:val="none"/>
              </w:rPr>
            </w:pPr>
            <w:r>
              <w:rPr>
                <w:rFonts w:hint="eastAsia" w:ascii="宋体" w:hAnsi="宋体" w:cs="宋体"/>
                <w:b/>
                <w:bCs/>
                <w:color w:val="000000"/>
                <w:kern w:val="0"/>
                <w:sz w:val="24"/>
                <w:highlight w:val="none"/>
                <w:lang w:val="en-US" w:eastAsia="zh-CN" w:bidi="ar"/>
              </w:rPr>
              <w:t>二</w:t>
            </w:r>
            <w:r>
              <w:rPr>
                <w:rFonts w:hint="eastAsia" w:ascii="宋体" w:hAnsi="宋体" w:cs="宋体"/>
                <w:b/>
                <w:bCs/>
                <w:color w:val="000000"/>
                <w:kern w:val="0"/>
                <w:sz w:val="24"/>
                <w:highlight w:val="none"/>
                <w:lang w:bidi="ar"/>
              </w:rPr>
              <w:t>、服务方案（</w:t>
            </w:r>
            <w:r>
              <w:rPr>
                <w:rFonts w:hint="eastAsia" w:ascii="宋体" w:hAnsi="宋体" w:cs="宋体"/>
                <w:b/>
                <w:bCs/>
                <w:color w:val="000000"/>
                <w:kern w:val="0"/>
                <w:sz w:val="24"/>
                <w:highlight w:val="none"/>
                <w:lang w:val="en-US" w:eastAsia="zh-CN" w:bidi="ar"/>
              </w:rPr>
              <w:t>35</w:t>
            </w:r>
            <w:r>
              <w:rPr>
                <w:rFonts w:hint="eastAsia" w:ascii="宋体" w:hAnsi="宋体" w:cs="宋体"/>
                <w:b/>
                <w:bCs/>
                <w:color w:val="000000"/>
                <w:kern w:val="0"/>
                <w:sz w:val="24"/>
                <w:highlight w:val="none"/>
                <w:lang w:bidi="ar"/>
              </w:rPr>
              <w:t xml:space="preserve">分） </w:t>
            </w:r>
          </w:p>
          <w:p w14:paraId="4F578620">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482" w:firstLineChars="200"/>
              <w:jc w:val="left"/>
              <w:textAlignment w:val="auto"/>
              <w:rPr>
                <w:rFonts w:hint="default"/>
                <w:highlight w:val="none"/>
              </w:rPr>
            </w:pPr>
            <w:r>
              <w:rPr>
                <w:rFonts w:hint="eastAsia" w:ascii="宋体" w:hAnsi="宋体" w:cs="宋体"/>
                <w:b/>
                <w:bCs/>
                <w:color w:val="000000"/>
                <w:kern w:val="0"/>
                <w:sz w:val="24"/>
                <w:highlight w:val="none"/>
                <w:lang w:bidi="ar"/>
              </w:rPr>
              <w:t xml:space="preserve">1、项目总体思路及整体设计（15分） </w:t>
            </w:r>
          </w:p>
          <w:p w14:paraId="606EA9D6">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480" w:firstLineChars="2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bidi="ar"/>
              </w:rPr>
              <w:t>根据响应供应商对提供的项目总体思路及整体设计进行综合评审：</w:t>
            </w:r>
          </w:p>
          <w:p w14:paraId="0CCE2A28">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highlight w:val="none"/>
              </w:rPr>
            </w:pPr>
            <w:r>
              <w:rPr>
                <w:rFonts w:hint="eastAsia" w:ascii="宋体" w:hAnsi="宋体" w:cs="宋体"/>
                <w:color w:val="000000"/>
                <w:kern w:val="0"/>
                <w:sz w:val="24"/>
                <w:highlight w:val="none"/>
                <w:lang w:bidi="ar"/>
              </w:rPr>
              <w:t>（1）方案思路清晰，可操作性强，专业理念先进的</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得</w:t>
            </w:r>
            <w:r>
              <w:rPr>
                <w:rFonts w:hint="eastAsia" w:ascii="宋体" w:hAnsi="宋体" w:cs="宋体"/>
                <w:color w:val="000000"/>
                <w:kern w:val="0"/>
                <w:sz w:val="24"/>
                <w:highlight w:val="none"/>
                <w:lang w:val="en-US" w:eastAsia="zh-CN" w:bidi="ar"/>
              </w:rPr>
              <w:t>13.6-</w:t>
            </w:r>
            <w:r>
              <w:rPr>
                <w:rFonts w:hint="eastAsia" w:ascii="宋体" w:hAnsi="宋体" w:cs="宋体"/>
                <w:color w:val="000000"/>
                <w:kern w:val="0"/>
                <w:sz w:val="24"/>
                <w:highlight w:val="none"/>
                <w:lang w:bidi="ar"/>
              </w:rPr>
              <w:t xml:space="preserve">15分； </w:t>
            </w:r>
          </w:p>
          <w:p w14:paraId="6A4BC548">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highlight w:val="none"/>
              </w:rPr>
            </w:pPr>
            <w:r>
              <w:rPr>
                <w:rFonts w:hint="eastAsia" w:ascii="宋体" w:hAnsi="宋体" w:cs="宋体"/>
                <w:color w:val="000000"/>
                <w:kern w:val="0"/>
                <w:sz w:val="24"/>
                <w:highlight w:val="none"/>
                <w:lang w:bidi="ar"/>
              </w:rPr>
              <w:t>（2）方案可操作性一般，专业理念一般的得</w:t>
            </w:r>
            <w:r>
              <w:rPr>
                <w:rFonts w:hint="eastAsia" w:ascii="宋体" w:hAnsi="宋体" w:cs="宋体"/>
                <w:color w:val="000000"/>
                <w:kern w:val="0"/>
                <w:sz w:val="24"/>
                <w:highlight w:val="none"/>
                <w:lang w:val="en-US" w:eastAsia="zh-CN" w:bidi="ar"/>
              </w:rPr>
              <w:t>11.3-13.5</w:t>
            </w:r>
            <w:r>
              <w:rPr>
                <w:rFonts w:hint="eastAsia" w:ascii="宋体" w:hAnsi="宋体" w:cs="宋体"/>
                <w:color w:val="000000"/>
                <w:kern w:val="0"/>
                <w:sz w:val="24"/>
                <w:highlight w:val="none"/>
                <w:lang w:bidi="ar"/>
              </w:rPr>
              <w:t xml:space="preserve">分； </w:t>
            </w:r>
          </w:p>
          <w:p w14:paraId="1235EE01">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（3）方案可操作性较差，落地实施困难，专业理念落后的得</w:t>
            </w:r>
            <w:r>
              <w:rPr>
                <w:rFonts w:hint="eastAsia" w:ascii="宋体" w:hAnsi="宋体" w:cs="宋体"/>
                <w:color w:val="000000"/>
                <w:kern w:val="0"/>
                <w:sz w:val="24"/>
                <w:highlight w:val="none"/>
                <w:lang w:val="en-US" w:eastAsia="zh-CN" w:bidi="ar"/>
              </w:rPr>
              <w:t>9-11.2</w:t>
            </w:r>
            <w:r>
              <w:rPr>
                <w:rFonts w:hint="eastAsia" w:ascii="宋体" w:hAnsi="宋体" w:cs="宋体"/>
                <w:color w:val="000000"/>
                <w:kern w:val="0"/>
                <w:sz w:val="24"/>
                <w:highlight w:val="none"/>
                <w:lang w:bidi="ar"/>
              </w:rPr>
              <w:t>分。</w:t>
            </w:r>
          </w:p>
          <w:p w14:paraId="3645AD36">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eastAsia" w:ascii="宋体" w:hAnsi="宋体" w:cs="宋体"/>
                <w:color w:val="000000"/>
                <w:kern w:val="0"/>
                <w:sz w:val="24"/>
                <w:highlight w:val="none"/>
                <w:lang w:bidi="ar"/>
              </w:rPr>
            </w:pP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（4）未提供相关内容不得分。</w:t>
            </w:r>
          </w:p>
          <w:p w14:paraId="7E477E4C">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default" w:ascii="宋体" w:hAnsi="宋体" w:cs="宋体"/>
                <w:b/>
                <w:bCs/>
                <w:sz w:val="24"/>
                <w:highlight w:val="none"/>
              </w:rPr>
            </w:pPr>
            <w:r>
              <w:rPr>
                <w:rFonts w:hint="eastAsia" w:ascii="宋体" w:hAnsi="宋体" w:cs="宋体"/>
                <w:b/>
                <w:bCs/>
                <w:color w:val="000000"/>
                <w:kern w:val="0"/>
                <w:sz w:val="24"/>
                <w:highlight w:val="none"/>
                <w:lang w:bidi="ar"/>
              </w:rPr>
              <w:t>(评审依据：</w:t>
            </w:r>
            <w:r>
              <w:rPr>
                <w:rFonts w:hint="eastAsia" w:ascii="宋体" w:hAnsi="宋体" w:cs="宋体"/>
                <w:b/>
                <w:bCs/>
                <w:sz w:val="24"/>
                <w:highlight w:val="none"/>
              </w:rPr>
              <w:t>根据响应文件中提供的</w:t>
            </w:r>
            <w:r>
              <w:rPr>
                <w:rFonts w:hint="eastAsia" w:ascii="宋体" w:hAnsi="宋体" w:cs="宋体"/>
                <w:b/>
                <w:bCs/>
                <w:color w:val="000000"/>
                <w:kern w:val="0"/>
                <w:sz w:val="24"/>
                <w:highlight w:val="none"/>
                <w:lang w:bidi="ar"/>
              </w:rPr>
              <w:t>项目总体思路及整体设计方案</w:t>
            </w:r>
            <w:r>
              <w:rPr>
                <w:rFonts w:hint="eastAsia" w:ascii="宋体" w:hAnsi="宋体" w:cs="宋体"/>
                <w:b/>
                <w:bCs/>
                <w:sz w:val="24"/>
                <w:highlight w:val="none"/>
              </w:rPr>
              <w:t>进行打分，未提供或提供无效者不得分。）</w:t>
            </w:r>
          </w:p>
          <w:p w14:paraId="6FADB314">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482" w:firstLineChars="200"/>
              <w:jc w:val="left"/>
              <w:textAlignment w:val="auto"/>
              <w:rPr>
                <w:rFonts w:hint="default"/>
                <w:highlight w:val="none"/>
              </w:rPr>
            </w:pPr>
            <w:r>
              <w:rPr>
                <w:rFonts w:hint="eastAsia" w:ascii="宋体" w:hAnsi="宋体" w:cs="宋体"/>
                <w:b/>
                <w:bCs/>
                <w:color w:val="000000"/>
                <w:kern w:val="0"/>
                <w:sz w:val="24"/>
                <w:highlight w:val="none"/>
                <w:lang w:bidi="ar"/>
              </w:rPr>
              <w:t>2、</w:t>
            </w:r>
            <w:r>
              <w:rPr>
                <w:rFonts w:hint="eastAsia" w:ascii="宋体" w:hAnsi="宋体" w:cs="宋体"/>
                <w:b/>
                <w:bCs/>
                <w:color w:val="000000"/>
                <w:kern w:val="0"/>
                <w:sz w:val="24"/>
                <w:highlight w:val="none"/>
                <w:lang w:val="en-US" w:eastAsia="zh-CN" w:bidi="ar"/>
              </w:rPr>
              <w:t>跟踪辅导</w:t>
            </w:r>
            <w:r>
              <w:rPr>
                <w:rFonts w:hint="eastAsia" w:ascii="宋体" w:hAnsi="宋体" w:cs="宋体"/>
                <w:b/>
                <w:bCs/>
                <w:color w:val="000000"/>
                <w:kern w:val="0"/>
                <w:sz w:val="24"/>
                <w:highlight w:val="none"/>
                <w:lang w:bidi="ar"/>
              </w:rPr>
              <w:t>方案(</w:t>
            </w:r>
            <w:r>
              <w:rPr>
                <w:rFonts w:hint="eastAsia" w:ascii="宋体" w:hAnsi="宋体" w:cs="宋体"/>
                <w:b/>
                <w:bCs/>
                <w:color w:val="000000"/>
                <w:kern w:val="0"/>
                <w:sz w:val="24"/>
                <w:highlight w:val="none"/>
                <w:lang w:val="en-US" w:eastAsia="zh-CN" w:bidi="ar"/>
              </w:rPr>
              <w:t>15</w:t>
            </w:r>
            <w:r>
              <w:rPr>
                <w:rFonts w:hint="eastAsia" w:ascii="宋体" w:hAnsi="宋体" w:cs="宋体"/>
                <w:b/>
                <w:bCs/>
                <w:color w:val="000000"/>
                <w:kern w:val="0"/>
                <w:sz w:val="24"/>
                <w:highlight w:val="none"/>
                <w:lang w:bidi="ar"/>
              </w:rPr>
              <w:t xml:space="preserve">分) </w:t>
            </w:r>
          </w:p>
          <w:p w14:paraId="242959AB">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480" w:firstLineChars="2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bidi="ar"/>
              </w:rPr>
              <w:t>根据响应供应商提供项目</w:t>
            </w:r>
            <w:r>
              <w:rPr>
                <w:rFonts w:hint="eastAsia" w:ascii="宋体" w:hAnsi="宋体" w:cs="宋体"/>
                <w:color w:val="000000"/>
                <w:kern w:val="0"/>
                <w:sz w:val="24"/>
                <w:highlight w:val="none"/>
                <w:lang w:val="en-US" w:eastAsia="zh-CN" w:bidi="ar"/>
              </w:rPr>
              <w:t>跟踪辅导方案</w:t>
            </w:r>
            <w:r>
              <w:rPr>
                <w:rFonts w:hint="eastAsia" w:ascii="宋体" w:hAnsi="宋体" w:cs="宋体"/>
                <w:color w:val="000000"/>
                <w:kern w:val="0"/>
                <w:sz w:val="24"/>
                <w:highlight w:val="none"/>
                <w:lang w:bidi="ar"/>
              </w:rPr>
              <w:t>进行综合评审：</w:t>
            </w:r>
          </w:p>
          <w:p w14:paraId="6E3E328D">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1</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方案可行性强、易落地的得</w:t>
            </w:r>
            <w:r>
              <w:rPr>
                <w:rFonts w:hint="eastAsia" w:ascii="宋体" w:hAnsi="宋体" w:cs="宋体"/>
                <w:color w:val="000000"/>
                <w:kern w:val="0"/>
                <w:sz w:val="24"/>
                <w:highlight w:val="none"/>
                <w:lang w:val="en-US" w:eastAsia="zh-CN" w:bidi="ar"/>
              </w:rPr>
              <w:t>13.6-15</w:t>
            </w:r>
            <w:r>
              <w:rPr>
                <w:rFonts w:hint="eastAsia" w:ascii="宋体" w:hAnsi="宋体" w:cs="宋体"/>
                <w:color w:val="000000"/>
                <w:kern w:val="0"/>
                <w:sz w:val="24"/>
                <w:highlight w:val="none"/>
                <w:lang w:bidi="ar"/>
              </w:rPr>
              <w:t>分；</w:t>
            </w:r>
          </w:p>
          <w:p w14:paraId="562876B5">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方案可行性较好、落地实施较好的得</w:t>
            </w:r>
            <w:r>
              <w:rPr>
                <w:rFonts w:hint="eastAsia" w:ascii="宋体" w:hAnsi="宋体" w:cs="宋体"/>
                <w:color w:val="000000"/>
                <w:kern w:val="0"/>
                <w:sz w:val="24"/>
                <w:highlight w:val="none"/>
                <w:lang w:val="en-US" w:eastAsia="zh-CN" w:bidi="ar"/>
              </w:rPr>
              <w:t>11.3-13.5</w:t>
            </w:r>
            <w:r>
              <w:rPr>
                <w:rFonts w:hint="eastAsia" w:ascii="宋体" w:hAnsi="宋体" w:cs="宋体"/>
                <w:color w:val="000000"/>
                <w:kern w:val="0"/>
                <w:sz w:val="24"/>
                <w:highlight w:val="none"/>
                <w:lang w:bidi="ar"/>
              </w:rPr>
              <w:t>分；</w:t>
            </w:r>
          </w:p>
          <w:p w14:paraId="71CDD89C">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bidi="ar"/>
              </w:rPr>
              <w:t>（3）方案可行性一般、落地实施一般的得</w:t>
            </w:r>
            <w:r>
              <w:rPr>
                <w:rFonts w:hint="eastAsia" w:ascii="宋体" w:hAnsi="宋体" w:cs="宋体"/>
                <w:color w:val="000000"/>
                <w:kern w:val="0"/>
                <w:sz w:val="24"/>
                <w:highlight w:val="none"/>
                <w:lang w:val="en-US" w:eastAsia="zh-CN" w:bidi="ar"/>
              </w:rPr>
              <w:t>9-11.2</w:t>
            </w:r>
            <w:r>
              <w:rPr>
                <w:rFonts w:hint="eastAsia" w:ascii="宋体" w:hAnsi="宋体" w:cs="宋体"/>
                <w:color w:val="000000"/>
                <w:kern w:val="0"/>
                <w:sz w:val="24"/>
                <w:highlight w:val="none"/>
                <w:lang w:bidi="ar"/>
              </w:rPr>
              <w:t>分。</w:t>
            </w:r>
          </w:p>
          <w:p w14:paraId="28305377">
            <w:pPr>
              <w:keepNext w:val="0"/>
              <w:keepLines w:val="0"/>
              <w:pageBreakBefore w:val="0"/>
              <w:suppressLineNumbers w:val="0"/>
              <w:kinsoku/>
              <w:wordWrap/>
              <w:overflowPunct/>
              <w:topLinePunct w:val="0"/>
              <w:bidi w:val="0"/>
              <w:snapToGrid/>
              <w:spacing w:before="0" w:beforeAutospacing="0" w:after="0" w:afterAutospacing="0" w:line="500" w:lineRule="exact"/>
              <w:ind w:left="0" w:right="0"/>
              <w:textAlignment w:val="auto"/>
              <w:rPr>
                <w:rFonts w:hint="default"/>
                <w:highlight w:val="none"/>
              </w:rPr>
            </w:pPr>
            <w:r>
              <w:rPr>
                <w:rFonts w:hint="eastAsia" w:ascii="宋体" w:hAnsi="宋体" w:cs="宋体"/>
                <w:b/>
                <w:bCs/>
                <w:color w:val="000000"/>
                <w:kern w:val="0"/>
                <w:sz w:val="24"/>
                <w:highlight w:val="none"/>
                <w:lang w:bidi="ar"/>
              </w:rPr>
              <w:t>（评审依据：</w:t>
            </w:r>
            <w:r>
              <w:rPr>
                <w:rFonts w:hint="eastAsia" w:ascii="宋体" w:hAnsi="宋体" w:cs="宋体"/>
                <w:b/>
                <w:bCs/>
                <w:sz w:val="24"/>
                <w:highlight w:val="none"/>
              </w:rPr>
              <w:t>根据响应文件中提供的</w:t>
            </w:r>
            <w:r>
              <w:rPr>
                <w:rFonts w:hint="eastAsia" w:ascii="宋体" w:hAnsi="宋体" w:cs="宋体"/>
                <w:b/>
                <w:bCs/>
                <w:color w:val="000000"/>
                <w:kern w:val="0"/>
                <w:sz w:val="24"/>
                <w:highlight w:val="none"/>
                <w:lang w:bidi="ar"/>
              </w:rPr>
              <w:t>项目质量保障措施方案</w:t>
            </w:r>
            <w:r>
              <w:rPr>
                <w:rFonts w:hint="eastAsia" w:ascii="宋体" w:hAnsi="宋体" w:cs="宋体"/>
                <w:b/>
                <w:bCs/>
                <w:sz w:val="24"/>
                <w:highlight w:val="none"/>
              </w:rPr>
              <w:t>进行打分，未提供或提供无效者不得分。）</w:t>
            </w:r>
          </w:p>
          <w:p w14:paraId="5A596232">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482" w:firstLineChars="200"/>
              <w:jc w:val="left"/>
              <w:textAlignment w:val="auto"/>
              <w:rPr>
                <w:rFonts w:hint="default"/>
                <w:highlight w:val="none"/>
              </w:rPr>
            </w:pPr>
            <w:r>
              <w:rPr>
                <w:rFonts w:hint="eastAsia" w:ascii="宋体" w:hAnsi="宋体" w:cs="宋体"/>
                <w:b/>
                <w:bCs/>
                <w:color w:val="000000"/>
                <w:kern w:val="0"/>
                <w:sz w:val="24"/>
                <w:highlight w:val="none"/>
                <w:lang w:bidi="ar"/>
              </w:rPr>
              <w:t>3、时间进度安排方案（</w:t>
            </w:r>
            <w:r>
              <w:rPr>
                <w:rFonts w:hint="eastAsia" w:ascii="宋体" w:hAnsi="宋体" w:cs="宋体"/>
                <w:b/>
                <w:bCs/>
                <w:color w:val="000000"/>
                <w:kern w:val="0"/>
                <w:sz w:val="24"/>
                <w:highlight w:val="none"/>
                <w:lang w:val="en-US" w:eastAsia="zh-CN" w:bidi="ar"/>
              </w:rPr>
              <w:t>5</w:t>
            </w:r>
            <w:r>
              <w:rPr>
                <w:rFonts w:hint="eastAsia" w:ascii="宋体" w:hAnsi="宋体" w:cs="宋体"/>
                <w:b/>
                <w:bCs/>
                <w:color w:val="000000"/>
                <w:kern w:val="0"/>
                <w:sz w:val="24"/>
                <w:highlight w:val="none"/>
                <w:lang w:bidi="ar"/>
              </w:rPr>
              <w:t xml:space="preserve">分） </w:t>
            </w:r>
          </w:p>
          <w:p w14:paraId="0326060C">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480" w:firstLineChars="2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bidi="ar"/>
              </w:rPr>
              <w:t>根据响应供应商提供的服务工作各阶段进度安排，切实可行、节点清晰、可操作性等方面进行综合评审。</w:t>
            </w:r>
          </w:p>
          <w:p w14:paraId="00898A51">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1</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方案合理、明确、各项措施满足要求的得</w:t>
            </w:r>
            <w:r>
              <w:rPr>
                <w:rFonts w:hint="eastAsia" w:ascii="宋体" w:hAnsi="宋体" w:cs="宋体"/>
                <w:color w:val="000000"/>
                <w:kern w:val="0"/>
                <w:sz w:val="24"/>
                <w:highlight w:val="none"/>
                <w:lang w:val="en-US" w:eastAsia="zh-CN" w:bidi="ar"/>
              </w:rPr>
              <w:t>4.4-5</w:t>
            </w:r>
            <w:r>
              <w:rPr>
                <w:rFonts w:hint="eastAsia" w:ascii="宋体" w:hAnsi="宋体" w:cs="宋体"/>
                <w:color w:val="000000"/>
                <w:kern w:val="0"/>
                <w:sz w:val="24"/>
                <w:highlight w:val="none"/>
                <w:lang w:bidi="ar"/>
              </w:rPr>
              <w:t>分；</w:t>
            </w:r>
          </w:p>
          <w:p w14:paraId="0E2103F2">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bidi="ar"/>
              </w:rPr>
              <w:t>（2）方案较合理、较明确、各项措施较能满足要求的得</w:t>
            </w:r>
            <w:r>
              <w:rPr>
                <w:rFonts w:hint="eastAsia" w:ascii="宋体" w:hAnsi="宋体" w:cs="宋体"/>
                <w:color w:val="000000"/>
                <w:kern w:val="0"/>
                <w:sz w:val="24"/>
                <w:highlight w:val="none"/>
                <w:lang w:val="en-US" w:eastAsia="zh-CN" w:bidi="ar"/>
              </w:rPr>
              <w:t>3.7-4.3</w:t>
            </w:r>
            <w:r>
              <w:rPr>
                <w:rFonts w:hint="eastAsia" w:ascii="宋体" w:hAnsi="宋体" w:cs="宋体"/>
                <w:color w:val="000000"/>
                <w:kern w:val="0"/>
                <w:sz w:val="24"/>
                <w:highlight w:val="none"/>
                <w:lang w:bidi="ar"/>
              </w:rPr>
              <w:t>分；</w:t>
            </w:r>
          </w:p>
          <w:p w14:paraId="5C5BAF44">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240" w:firstLineChars="100"/>
              <w:jc w:val="left"/>
              <w:textAlignment w:val="auto"/>
              <w:rPr>
                <w:rFonts w:hint="default" w:ascii="宋体" w:hAnsi="宋体" w:cs="宋体"/>
                <w:color w:val="000000"/>
                <w:kern w:val="0"/>
                <w:sz w:val="24"/>
                <w:highlight w:val="none"/>
                <w:lang w:bidi="ar"/>
              </w:rPr>
            </w:pPr>
            <w:r>
              <w:rPr>
                <w:rFonts w:hint="eastAsia" w:ascii="宋体" w:hAnsi="宋体" w:cs="宋体"/>
                <w:color w:val="000000"/>
                <w:kern w:val="0"/>
                <w:sz w:val="24"/>
                <w:highlight w:val="none"/>
                <w:lang w:bidi="ar"/>
              </w:rPr>
              <w:t>（3）方案一般合理、一般明确、各项措施一般能满足要求的得</w:t>
            </w:r>
            <w:r>
              <w:rPr>
                <w:rFonts w:hint="eastAsia" w:ascii="宋体" w:hAnsi="宋体" w:cs="宋体"/>
                <w:color w:val="000000"/>
                <w:kern w:val="0"/>
                <w:sz w:val="24"/>
                <w:highlight w:val="none"/>
                <w:lang w:val="en-US" w:eastAsia="zh-CN" w:bidi="ar"/>
              </w:rPr>
              <w:t>3-3.6</w:t>
            </w:r>
            <w:r>
              <w:rPr>
                <w:rFonts w:hint="eastAsia" w:ascii="宋体" w:hAnsi="宋体" w:cs="宋体"/>
                <w:color w:val="000000"/>
                <w:kern w:val="0"/>
                <w:sz w:val="24"/>
                <w:highlight w:val="none"/>
                <w:lang w:bidi="ar"/>
              </w:rPr>
              <w:t>分。</w:t>
            </w:r>
          </w:p>
          <w:p w14:paraId="32B2E962">
            <w:pPr>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jc w:val="left"/>
              <w:textAlignment w:val="auto"/>
              <w:rPr>
                <w:rFonts w:hint="eastAsia" w:ascii="宋体" w:cs="宋体"/>
                <w:b/>
                <w:bCs w:val="0"/>
                <w:color w:val="000000"/>
                <w:kern w:val="0"/>
                <w:sz w:val="24"/>
                <w:highlight w:val="none"/>
                <w:lang w:val="zh-CN" w:eastAsia="zh-CN"/>
              </w:rPr>
            </w:pPr>
            <w:r>
              <w:rPr>
                <w:rFonts w:hint="eastAsia" w:ascii="宋体" w:hAnsi="宋体" w:cs="宋体"/>
                <w:b/>
                <w:bCs/>
                <w:color w:val="000000"/>
                <w:kern w:val="0"/>
                <w:sz w:val="24"/>
                <w:highlight w:val="none"/>
                <w:lang w:bidi="ar"/>
              </w:rPr>
              <w:t>(评审依据：</w:t>
            </w:r>
            <w:r>
              <w:rPr>
                <w:rFonts w:hint="eastAsia" w:ascii="宋体" w:hAnsi="宋体" w:cs="宋体"/>
                <w:b/>
                <w:bCs/>
                <w:sz w:val="24"/>
                <w:highlight w:val="none"/>
              </w:rPr>
              <w:t>根据响应文件中提供的</w:t>
            </w:r>
            <w:r>
              <w:rPr>
                <w:rFonts w:hint="eastAsia" w:ascii="宋体" w:hAnsi="宋体" w:cs="宋体"/>
                <w:b/>
                <w:bCs/>
                <w:color w:val="000000"/>
                <w:kern w:val="0"/>
                <w:sz w:val="24"/>
                <w:highlight w:val="none"/>
                <w:lang w:bidi="ar"/>
              </w:rPr>
              <w:t>时间进度安排方案</w:t>
            </w:r>
            <w:r>
              <w:rPr>
                <w:rFonts w:hint="eastAsia" w:ascii="宋体" w:hAnsi="宋体" w:cs="宋体"/>
                <w:b/>
                <w:bCs/>
                <w:sz w:val="24"/>
                <w:highlight w:val="none"/>
              </w:rPr>
              <w:t>进行打分，未提供或提供无效者不得分。）</w:t>
            </w:r>
          </w:p>
        </w:tc>
      </w:tr>
      <w:tr w14:paraId="11E6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579" w:type="dxa"/>
            <w:noWrap w:val="0"/>
            <w:vAlign w:val="center"/>
          </w:tcPr>
          <w:p w14:paraId="511E91B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Cs/>
                <w:color w:val="000000"/>
                <w:kern w:val="0"/>
                <w:sz w:val="24"/>
                <w:highlight w:val="none"/>
                <w:lang w:val="en-US" w:eastAsia="zh-CN"/>
              </w:rPr>
            </w:pPr>
            <w:r>
              <w:rPr>
                <w:rFonts w:hint="eastAsia" w:ascii="宋体" w:cs="宋体"/>
                <w:bCs/>
                <w:color w:val="000000"/>
                <w:kern w:val="0"/>
                <w:sz w:val="24"/>
                <w:highlight w:val="none"/>
                <w:lang w:val="en-US" w:eastAsia="zh-CN"/>
              </w:rPr>
              <w:t>商务分</w:t>
            </w:r>
          </w:p>
          <w:p w14:paraId="286FA48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Cs/>
                <w:color w:val="000000"/>
                <w:kern w:val="0"/>
                <w:sz w:val="24"/>
                <w:highlight w:val="none"/>
                <w:lang w:val="en-US" w:eastAsia="zh-CN"/>
              </w:rPr>
            </w:pPr>
            <w:r>
              <w:rPr>
                <w:rFonts w:hint="eastAsia" w:ascii="宋体" w:cs="宋体"/>
                <w:bCs/>
                <w:color w:val="000000"/>
                <w:kern w:val="0"/>
                <w:sz w:val="24"/>
                <w:highlight w:val="none"/>
                <w:lang w:val="en-US" w:eastAsia="zh-CN"/>
              </w:rPr>
              <w:t>（30分）</w:t>
            </w:r>
          </w:p>
        </w:tc>
        <w:tc>
          <w:tcPr>
            <w:tcW w:w="7987" w:type="dxa"/>
            <w:gridSpan w:val="2"/>
            <w:noWrap w:val="0"/>
            <w:vAlign w:val="top"/>
          </w:tcPr>
          <w:p w14:paraId="61EBD09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
                <w:bCs w:val="0"/>
                <w:color w:val="000000"/>
                <w:kern w:val="0"/>
                <w:sz w:val="24"/>
                <w:highlight w:val="none"/>
                <w:lang w:val="zh-CN" w:eastAsia="zh-CN"/>
              </w:rPr>
            </w:pPr>
            <w:r>
              <w:rPr>
                <w:rFonts w:hint="eastAsia" w:ascii="宋体" w:cs="宋体"/>
                <w:b/>
                <w:bCs w:val="0"/>
                <w:color w:val="000000"/>
                <w:kern w:val="0"/>
                <w:sz w:val="24"/>
                <w:highlight w:val="none"/>
                <w:lang w:val="en-US" w:eastAsia="zh-CN"/>
              </w:rPr>
              <w:t>（1）</w:t>
            </w:r>
            <w:r>
              <w:rPr>
                <w:rFonts w:hint="eastAsia" w:ascii="宋体" w:cs="宋体"/>
                <w:b/>
                <w:bCs w:val="0"/>
                <w:color w:val="000000"/>
                <w:kern w:val="0"/>
                <w:sz w:val="24"/>
                <w:highlight w:val="none"/>
                <w:lang w:val="zh-CN" w:eastAsia="zh-CN"/>
              </w:rPr>
              <w:t>业绩（</w:t>
            </w:r>
            <w:r>
              <w:rPr>
                <w:rFonts w:hint="eastAsia" w:ascii="宋体" w:cs="宋体"/>
                <w:b/>
                <w:bCs w:val="0"/>
                <w:color w:val="000000"/>
                <w:kern w:val="0"/>
                <w:sz w:val="24"/>
                <w:highlight w:val="none"/>
                <w:lang w:val="en-US" w:eastAsia="zh-CN"/>
              </w:rPr>
              <w:t>15</w:t>
            </w:r>
            <w:r>
              <w:rPr>
                <w:rFonts w:hint="eastAsia" w:ascii="宋体" w:cs="宋体"/>
                <w:b/>
                <w:bCs w:val="0"/>
                <w:color w:val="000000"/>
                <w:kern w:val="0"/>
                <w:sz w:val="24"/>
                <w:highlight w:val="none"/>
                <w:lang w:val="zh-CN" w:eastAsia="zh-CN"/>
              </w:rPr>
              <w:t>分）</w:t>
            </w:r>
          </w:p>
          <w:p w14:paraId="0944011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textAlignment w:val="auto"/>
              <w:rPr>
                <w:rFonts w:hint="default" w:ascii="宋体" w:cs="宋体"/>
                <w:bCs/>
                <w:color w:val="000000"/>
                <w:kern w:val="0"/>
                <w:sz w:val="24"/>
                <w:highlight w:val="none"/>
                <w:lang w:val="en-US" w:eastAsia="zh-CN"/>
              </w:rPr>
            </w:pPr>
            <w:r>
              <w:rPr>
                <w:rFonts w:hint="eastAsia" w:ascii="微软雅黑" w:hAnsi="微软雅黑" w:eastAsia="微软雅黑" w:cs="微软雅黑"/>
                <w:color w:val="0D0D0D" w:themeColor="text1" w:themeTint="F2"/>
                <w:sz w:val="24"/>
                <w:szCs w:val="24"/>
                <w:highlight w:val="none"/>
                <w:lang w:eastAsia="zh-CN"/>
                <w14:textFill>
                  <w14:solidFill>
                    <w14:schemeClr w14:val="tx1">
                      <w14:lumMod w14:val="95000"/>
                      <w14:lumOff w14:val="5000"/>
                    </w14:schemeClr>
                  </w14:solidFill>
                </w14:textFill>
              </w:rPr>
              <w:t>①</w:t>
            </w:r>
            <w:r>
              <w:rPr>
                <w:rFonts w:hint="eastAsia" w:ascii="宋体" w:cs="宋体"/>
                <w:bCs/>
                <w:color w:val="000000"/>
                <w:kern w:val="0"/>
                <w:sz w:val="24"/>
                <w:highlight w:val="none"/>
                <w:lang w:val="en-US" w:eastAsia="zh-CN"/>
              </w:rPr>
              <w:t>报价人满足询价文件“报价人资格要求”中“业绩最低要求”的得9分；</w:t>
            </w:r>
          </w:p>
          <w:p w14:paraId="7E2070A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textAlignment w:val="auto"/>
              <w:rPr>
                <w:rFonts w:hint="eastAsia" w:ascii="宋体" w:cs="宋体"/>
                <w:bCs/>
                <w:color w:val="000000"/>
                <w:kern w:val="0"/>
                <w:sz w:val="24"/>
                <w:highlight w:val="none"/>
                <w:lang w:val="en-US" w:eastAsia="zh-CN"/>
              </w:rPr>
            </w:pPr>
            <w:r>
              <w:rPr>
                <w:rFonts w:hint="eastAsia" w:ascii="微软雅黑" w:hAnsi="微软雅黑" w:eastAsia="微软雅黑" w:cs="微软雅黑"/>
                <w:color w:val="0D0D0D" w:themeColor="text1" w:themeTint="F2"/>
                <w:sz w:val="24"/>
                <w:szCs w:val="24"/>
                <w:highlight w:val="none"/>
                <w:lang w:eastAsia="zh-CN"/>
                <w14:textFill>
                  <w14:solidFill>
                    <w14:schemeClr w14:val="tx1">
                      <w14:lumMod w14:val="95000"/>
                      <w14:lumOff w14:val="5000"/>
                    </w14:schemeClr>
                  </w14:solidFill>
                </w14:textFill>
              </w:rPr>
              <w:t>②</w:t>
            </w:r>
            <w:r>
              <w:rPr>
                <w:rFonts w:hint="eastAsia" w:ascii="宋体" w:cs="宋体"/>
                <w:bCs/>
                <w:color w:val="000000"/>
                <w:kern w:val="0"/>
                <w:sz w:val="24"/>
                <w:highlight w:val="none"/>
                <w:lang w:val="en-US" w:eastAsia="zh-CN"/>
              </w:rPr>
              <w:t>每增加1个报价人近5年承接过的地级市及以上国有企业战略规划编制项目业绩，加3分，本项最多得6分。</w:t>
            </w:r>
          </w:p>
          <w:p w14:paraId="12779DC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
                <w:bCs w:val="0"/>
                <w:color w:val="000000"/>
                <w:kern w:val="0"/>
                <w:sz w:val="24"/>
                <w:highlight w:val="none"/>
                <w:lang w:val="zh-CN" w:eastAsia="zh-CN"/>
              </w:rPr>
            </w:pPr>
            <w:r>
              <w:rPr>
                <w:rFonts w:hint="eastAsia" w:ascii="宋体" w:cs="宋体"/>
                <w:b/>
                <w:bCs w:val="0"/>
                <w:color w:val="000000"/>
                <w:kern w:val="0"/>
                <w:sz w:val="24"/>
                <w:highlight w:val="none"/>
                <w:lang w:val="zh-CN" w:eastAsia="zh-CN"/>
              </w:rPr>
              <w:t>评审依据：</w:t>
            </w:r>
          </w:p>
          <w:p w14:paraId="5D9C97E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
                <w:bCs w:val="0"/>
                <w:color w:val="000000"/>
                <w:kern w:val="0"/>
                <w:sz w:val="24"/>
                <w:highlight w:val="none"/>
                <w:lang w:val="en-US" w:eastAsia="zh-CN"/>
              </w:rPr>
            </w:pPr>
            <w:r>
              <w:rPr>
                <w:rFonts w:hint="eastAsia" w:ascii="微软雅黑" w:hAnsi="微软雅黑" w:eastAsia="微软雅黑" w:cs="微软雅黑"/>
                <w:b/>
                <w:bCs w:val="0"/>
                <w:color w:val="000000"/>
                <w:kern w:val="0"/>
                <w:sz w:val="24"/>
                <w:highlight w:val="none"/>
                <w:lang w:val="en-US" w:eastAsia="zh-CN"/>
              </w:rPr>
              <w:t>①</w:t>
            </w:r>
            <w:r>
              <w:rPr>
                <w:rFonts w:hint="eastAsia" w:ascii="宋体" w:cs="宋体"/>
                <w:b/>
                <w:bCs w:val="0"/>
                <w:color w:val="000000"/>
                <w:kern w:val="0"/>
                <w:sz w:val="24"/>
                <w:highlight w:val="none"/>
                <w:lang w:val="en-US" w:eastAsia="zh-CN"/>
              </w:rPr>
              <w:t>应提供地级市及以上国有企业以国资委等政府网站或股权查询网站查询截图，截图内容清晰可辨，如提供的截图无法反映评审信息，该业绩将不予认可；</w:t>
            </w:r>
          </w:p>
          <w:p w14:paraId="69D9932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
                <w:bCs w:val="0"/>
                <w:color w:val="000000"/>
                <w:kern w:val="0"/>
                <w:sz w:val="24"/>
                <w:highlight w:val="none"/>
                <w:lang w:val="zh-CN" w:eastAsia="zh-CN"/>
              </w:rPr>
            </w:pPr>
            <w:r>
              <w:rPr>
                <w:rFonts w:hint="eastAsia" w:ascii="微软雅黑" w:hAnsi="微软雅黑" w:eastAsia="微软雅黑" w:cs="微软雅黑"/>
                <w:b/>
                <w:bCs w:val="0"/>
                <w:color w:val="000000"/>
                <w:kern w:val="0"/>
                <w:sz w:val="24"/>
                <w:highlight w:val="none"/>
                <w:lang w:val="en-US" w:eastAsia="zh-CN"/>
              </w:rPr>
              <w:t>②</w:t>
            </w:r>
            <w:r>
              <w:rPr>
                <w:rFonts w:hint="eastAsia" w:ascii="宋体" w:cs="宋体"/>
                <w:b/>
                <w:bCs w:val="0"/>
                <w:color w:val="000000"/>
                <w:kern w:val="0"/>
                <w:sz w:val="24"/>
                <w:highlight w:val="none"/>
                <w:lang w:val="en-US" w:eastAsia="zh-CN"/>
              </w:rPr>
              <w:t>应提供中标通知书或成交通知书或合同协议书关键页（须以合同中载明的单位名称、项目类型、签订时间作为证明材料）的加盖公章的复印件，若中标通知书或成交通知书或合同协议书关键页不能反映评审所需信息的，还需由发包人出具证明材料或说明</w:t>
            </w:r>
            <w:r>
              <w:rPr>
                <w:rFonts w:hint="eastAsia" w:ascii="宋体" w:cs="宋体"/>
                <w:b/>
                <w:bCs w:val="0"/>
                <w:color w:val="000000"/>
                <w:kern w:val="0"/>
                <w:sz w:val="24"/>
                <w:highlight w:val="none"/>
                <w:lang w:val="zh-CN" w:eastAsia="zh-CN"/>
              </w:rPr>
              <w:t>；</w:t>
            </w:r>
          </w:p>
          <w:p w14:paraId="2417994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Cs/>
                <w:color w:val="000000"/>
                <w:kern w:val="0"/>
                <w:sz w:val="24"/>
                <w:highlight w:val="none"/>
                <w:lang w:val="en-US" w:eastAsia="zh-CN"/>
              </w:rPr>
            </w:pPr>
            <w:r>
              <w:rPr>
                <w:rFonts w:hint="eastAsia" w:ascii="微软雅黑" w:hAnsi="微软雅黑" w:eastAsia="微软雅黑" w:cs="微软雅黑"/>
                <w:b/>
                <w:bCs w:val="0"/>
                <w:color w:val="000000"/>
                <w:kern w:val="0"/>
                <w:sz w:val="24"/>
                <w:highlight w:val="none"/>
                <w:lang w:val="en-US" w:eastAsia="zh-CN"/>
              </w:rPr>
              <w:t>③</w:t>
            </w:r>
            <w:r>
              <w:rPr>
                <w:rFonts w:hint="eastAsia" w:ascii="宋体" w:cs="宋体"/>
                <w:b/>
                <w:bCs w:val="0"/>
                <w:color w:val="000000"/>
                <w:kern w:val="0"/>
                <w:sz w:val="24"/>
                <w:highlight w:val="none"/>
                <w:lang w:val="en-US" w:eastAsia="zh-CN"/>
              </w:rPr>
              <w:t>以上两项材料缺一不可，未提供或提供无效者不得分。</w:t>
            </w:r>
          </w:p>
          <w:p w14:paraId="6218207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Cs/>
                <w:color w:val="000000"/>
                <w:kern w:val="0"/>
                <w:sz w:val="24"/>
                <w:highlight w:val="none"/>
                <w:lang w:val="en-US" w:eastAsia="zh-CN"/>
              </w:rPr>
            </w:pPr>
            <w:r>
              <w:rPr>
                <w:rFonts w:hint="eastAsia" w:ascii="宋体" w:cs="宋体"/>
                <w:b/>
                <w:bCs w:val="0"/>
                <w:color w:val="000000"/>
                <w:kern w:val="0"/>
                <w:sz w:val="24"/>
                <w:highlight w:val="none"/>
                <w:lang w:val="en-US" w:eastAsia="zh-CN"/>
              </w:rPr>
              <w:t>（2）项目负责人（15分）</w:t>
            </w:r>
            <w:r>
              <w:rPr>
                <w:rFonts w:hint="eastAsia" w:ascii="宋体" w:cs="宋体"/>
                <w:bCs/>
                <w:color w:val="000000"/>
                <w:kern w:val="0"/>
                <w:sz w:val="24"/>
                <w:highlight w:val="none"/>
                <w:lang w:val="en-US" w:eastAsia="zh-CN"/>
              </w:rPr>
              <w:t xml:space="preserve"> </w:t>
            </w:r>
          </w:p>
          <w:p w14:paraId="4F55F1C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textAlignment w:val="auto"/>
              <w:rPr>
                <w:rFonts w:hint="eastAsia" w:ascii="宋体" w:cs="宋体"/>
                <w:bCs/>
                <w:color w:val="000000"/>
                <w:kern w:val="0"/>
                <w:sz w:val="24"/>
                <w:highlight w:val="none"/>
                <w:lang w:val="en-US" w:eastAsia="zh-CN"/>
              </w:rPr>
            </w:pPr>
            <w:r>
              <w:rPr>
                <w:rFonts w:hint="eastAsia" w:ascii="微软雅黑" w:hAnsi="微软雅黑" w:eastAsia="微软雅黑" w:cs="微软雅黑"/>
                <w:color w:val="0D0D0D" w:themeColor="text1" w:themeTint="F2"/>
                <w:sz w:val="24"/>
                <w:szCs w:val="24"/>
                <w:highlight w:val="none"/>
                <w:lang w:eastAsia="zh-CN"/>
                <w14:textFill>
                  <w14:solidFill>
                    <w14:schemeClr w14:val="tx1">
                      <w14:lumMod w14:val="95000"/>
                      <w14:lumOff w14:val="5000"/>
                    </w14:schemeClr>
                  </w14:solidFill>
                </w14:textFill>
              </w:rPr>
              <w:t>①</w:t>
            </w:r>
            <w:r>
              <w:rPr>
                <w:rFonts w:hint="eastAsia" w:ascii="宋体" w:cs="宋体"/>
                <w:bCs/>
                <w:color w:val="000000"/>
                <w:kern w:val="0"/>
                <w:sz w:val="24"/>
                <w:highlight w:val="none"/>
                <w:lang w:val="en-US" w:eastAsia="zh-CN"/>
              </w:rPr>
              <w:t>报价人拟投入项目负责人满足询价文件“报价人资格要求”中“项目负责人最低要求”的得9分；</w:t>
            </w:r>
          </w:p>
          <w:p w14:paraId="54E7AB3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textAlignment w:val="auto"/>
              <w:rPr>
                <w:rFonts w:hint="eastAsia" w:ascii="宋体" w:cs="宋体"/>
                <w:bCs/>
                <w:color w:val="000000"/>
                <w:kern w:val="0"/>
                <w:sz w:val="24"/>
                <w:highlight w:val="none"/>
                <w:lang w:val="en-US" w:eastAsia="zh-CN"/>
              </w:rPr>
            </w:pPr>
            <w:r>
              <w:rPr>
                <w:rFonts w:hint="eastAsia" w:ascii="微软雅黑" w:hAnsi="微软雅黑" w:eastAsia="微软雅黑" w:cs="微软雅黑"/>
                <w:color w:val="0D0D0D" w:themeColor="text1" w:themeTint="F2"/>
                <w:sz w:val="24"/>
                <w:szCs w:val="24"/>
                <w:highlight w:val="none"/>
                <w:lang w:eastAsia="zh-CN"/>
                <w14:textFill>
                  <w14:solidFill>
                    <w14:schemeClr w14:val="tx1">
                      <w14:lumMod w14:val="95000"/>
                      <w14:lumOff w14:val="5000"/>
                    </w14:schemeClr>
                  </w14:solidFill>
                </w14:textFill>
              </w:rPr>
              <w:t>②</w:t>
            </w:r>
            <w:r>
              <w:rPr>
                <w:rFonts w:hint="eastAsia" w:ascii="宋体" w:cs="宋体"/>
                <w:bCs/>
                <w:color w:val="000000"/>
                <w:kern w:val="0"/>
                <w:sz w:val="24"/>
                <w:highlight w:val="none"/>
                <w:lang w:val="en-US" w:eastAsia="zh-CN"/>
              </w:rPr>
              <w:t>拟派项目负责人：每增加1个地级市及以上国有企业战略规划编制项目业绩的，加6分，本项最多得6分。</w:t>
            </w:r>
          </w:p>
          <w:p w14:paraId="60C4CD6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hAnsi="宋体" w:cs="宋体"/>
                <w:b/>
                <w:bCs/>
                <w:sz w:val="24"/>
                <w:highlight w:val="none"/>
              </w:rPr>
            </w:pPr>
            <w:r>
              <w:rPr>
                <w:rFonts w:hint="eastAsia" w:ascii="宋体" w:hAnsi="宋体" w:cs="宋体"/>
                <w:b/>
                <w:bCs/>
                <w:sz w:val="24"/>
                <w:highlight w:val="none"/>
              </w:rPr>
              <w:t>评审依据：</w:t>
            </w:r>
          </w:p>
          <w:p w14:paraId="43CBE1F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hAnsi="宋体" w:cs="宋体"/>
                <w:b/>
                <w:bCs/>
                <w:sz w:val="24"/>
                <w:highlight w:val="none"/>
              </w:rPr>
            </w:pPr>
            <w:r>
              <w:rPr>
                <w:rFonts w:hint="eastAsia" w:ascii="微软雅黑" w:hAnsi="微软雅黑" w:eastAsia="微软雅黑" w:cs="微软雅黑"/>
                <w:b/>
                <w:bCs/>
                <w:sz w:val="24"/>
                <w:highlight w:val="none"/>
                <w:lang w:val="en-US" w:eastAsia="zh-CN"/>
              </w:rPr>
              <w:t>①</w:t>
            </w:r>
            <w:r>
              <w:rPr>
                <w:rFonts w:hint="eastAsia" w:ascii="宋体" w:hAnsi="宋体" w:cs="宋体"/>
                <w:b/>
                <w:bCs/>
                <w:sz w:val="24"/>
                <w:highlight w:val="none"/>
                <w:lang w:val="en-US" w:eastAsia="zh-CN"/>
              </w:rPr>
              <w:t>提供拟派项目负责人</w:t>
            </w:r>
            <w:r>
              <w:rPr>
                <w:rFonts w:hint="eastAsia" w:ascii="宋体" w:hAnsi="宋体" w:cs="宋体"/>
                <w:b/>
                <w:bCs/>
                <w:sz w:val="24"/>
                <w:highlight w:val="none"/>
              </w:rPr>
              <w:t>身份证以及在职证明（所属社保机构出具的拟投入的项目负责人近一年内连续三个月以上的社保缴费证明或其他能够证明</w:t>
            </w:r>
            <w:r>
              <w:rPr>
                <w:rFonts w:hint="eastAsia" w:ascii="宋体" w:hAnsi="宋体" w:cs="宋体"/>
                <w:b/>
                <w:bCs/>
                <w:sz w:val="24"/>
                <w:highlight w:val="none"/>
                <w:lang w:val="en-US" w:eastAsia="zh-CN"/>
              </w:rPr>
              <w:t>以上人员</w:t>
            </w:r>
            <w:r>
              <w:rPr>
                <w:rFonts w:hint="eastAsia" w:ascii="宋体" w:hAnsi="宋体" w:cs="宋体"/>
                <w:b/>
                <w:bCs/>
                <w:sz w:val="24"/>
                <w:highlight w:val="none"/>
              </w:rPr>
              <w:t>参加社保的有效证明材料（社保证明材料的社保缴纳单位名称需与报价人单位名称一致）。</w:t>
            </w:r>
          </w:p>
          <w:p w14:paraId="2249C06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hAnsi="宋体" w:cs="宋体"/>
                <w:b/>
                <w:bCs/>
                <w:sz w:val="24"/>
                <w:highlight w:val="none"/>
              </w:rPr>
            </w:pPr>
            <w:r>
              <w:rPr>
                <w:rFonts w:hint="eastAsia" w:ascii="微软雅黑" w:hAnsi="微软雅黑" w:eastAsia="微软雅黑" w:cs="微软雅黑"/>
                <w:b/>
                <w:bCs/>
                <w:sz w:val="24"/>
                <w:highlight w:val="none"/>
              </w:rPr>
              <w:t>②</w:t>
            </w:r>
            <w:r>
              <w:rPr>
                <w:rFonts w:hint="eastAsia" w:ascii="宋体" w:hAnsi="宋体" w:cs="宋体"/>
                <w:b/>
                <w:bCs/>
                <w:sz w:val="24"/>
                <w:highlight w:val="none"/>
                <w:lang w:val="en-US" w:eastAsia="zh-CN"/>
              </w:rPr>
              <w:t>拟派项目负责人</w:t>
            </w:r>
            <w:r>
              <w:rPr>
                <w:rFonts w:hint="eastAsia" w:ascii="宋体" w:hAnsi="宋体" w:cs="宋体"/>
                <w:b/>
                <w:bCs/>
                <w:sz w:val="24"/>
                <w:highlight w:val="none"/>
              </w:rPr>
              <w:t>具有相关业绩的，应提供</w:t>
            </w:r>
            <w:r>
              <w:rPr>
                <w:rFonts w:hint="eastAsia" w:ascii="宋体" w:cs="宋体"/>
                <w:b/>
                <w:bCs w:val="0"/>
                <w:color w:val="000000"/>
                <w:kern w:val="0"/>
                <w:sz w:val="24"/>
                <w:highlight w:val="none"/>
                <w:lang w:val="en-US" w:eastAsia="zh-CN"/>
              </w:rPr>
              <w:t>a.地级市及以上国有企业以国资委等政府网站或股权查询网站查询截图，截图内容清晰可辨，如提供的截图无法反映评审信息，该业绩将不予认可；b.</w:t>
            </w:r>
            <w:r>
              <w:rPr>
                <w:rFonts w:hint="eastAsia" w:ascii="宋体" w:hAnsi="宋体" w:cs="宋体"/>
                <w:b/>
                <w:bCs/>
                <w:sz w:val="24"/>
                <w:highlight w:val="none"/>
              </w:rPr>
              <w:t>中标通知书或成交通知书或合同协议书关键页（须以合同中载明的项目类型、签订时间、项目负责人）复印件并加盖公章作为证明材料</w:t>
            </w:r>
            <w:r>
              <w:rPr>
                <w:rFonts w:hint="eastAsia" w:ascii="宋体" w:hAnsi="宋体" w:cs="宋体"/>
                <w:b/>
                <w:bCs/>
                <w:sz w:val="24"/>
                <w:highlight w:val="none"/>
                <w:lang w:eastAsia="zh-CN"/>
              </w:rPr>
              <w:t>，</w:t>
            </w:r>
            <w:r>
              <w:rPr>
                <w:rFonts w:hint="eastAsia" w:ascii="宋体" w:hAnsi="宋体" w:cs="宋体"/>
                <w:b/>
                <w:bCs/>
                <w:sz w:val="24"/>
                <w:highlight w:val="none"/>
              </w:rPr>
              <w:t>若中标通知书或成交通知书或合同协议书关键页不能反映评审所需信息的，还需由发包人出具证明材料或说明。</w:t>
            </w:r>
          </w:p>
          <w:p w14:paraId="1036559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eastAsia" w:ascii="宋体" w:cs="宋体"/>
                <w:bCs/>
                <w:color w:val="000000"/>
                <w:kern w:val="0"/>
                <w:sz w:val="24"/>
                <w:highlight w:val="none"/>
                <w:lang w:val="zh-CN" w:eastAsia="zh-CN"/>
              </w:rPr>
            </w:pPr>
            <w:r>
              <w:rPr>
                <w:rFonts w:hint="eastAsia" w:ascii="微软雅黑" w:hAnsi="微软雅黑" w:eastAsia="微软雅黑" w:cs="微软雅黑"/>
                <w:b/>
                <w:bCs/>
                <w:sz w:val="24"/>
                <w:highlight w:val="none"/>
                <w:lang w:eastAsia="zh-CN"/>
              </w:rPr>
              <w:t>③</w:t>
            </w:r>
            <w:r>
              <w:rPr>
                <w:rFonts w:hint="eastAsia" w:ascii="宋体" w:hAnsi="宋体" w:cs="宋体"/>
                <w:b/>
                <w:bCs/>
                <w:sz w:val="24"/>
                <w:highlight w:val="none"/>
              </w:rPr>
              <w:t>以上资料提供复印件并逐页加盖公章，未提供或提供无效者不得分。</w:t>
            </w:r>
          </w:p>
        </w:tc>
      </w:tr>
    </w:tbl>
    <w:p w14:paraId="79EC22F1">
      <w:pPr>
        <w:spacing w:line="360" w:lineRule="auto"/>
        <w:ind w:firstLine="480" w:firstLineChars="200"/>
        <w:rPr>
          <w:rFonts w:hint="eastAsia" w:ascii="宋体" w:hAnsi="宋体"/>
          <w:sz w:val="24"/>
          <w:highlight w:val="none"/>
        </w:rPr>
      </w:pPr>
    </w:p>
    <w:p w14:paraId="6BA8D702">
      <w:pPr>
        <w:rPr>
          <w:highlight w:val="none"/>
        </w:rPr>
      </w:pPr>
    </w:p>
    <w:p w14:paraId="4D086C26">
      <w:pPr>
        <w:rPr>
          <w:highlight w:val="none"/>
        </w:rPr>
      </w:pPr>
    </w:p>
    <w:p w14:paraId="1A6A90AC">
      <w:pPr>
        <w:rPr>
          <w:highlight w:val="none"/>
        </w:rPr>
      </w:pPr>
    </w:p>
    <w:p w14:paraId="290F2EFE">
      <w:pPr>
        <w:jc w:val="center"/>
        <w:rPr>
          <w:rFonts w:hint="eastAsia" w:asciiTheme="majorEastAsia" w:hAnsiTheme="majorEastAsia" w:eastAsiaTheme="majorEastAsia" w:cstheme="majorEastAsia"/>
          <w:b/>
          <w:bCs/>
          <w:sz w:val="44"/>
          <w:szCs w:val="44"/>
          <w:highlight w:val="none"/>
          <w:lang w:val="en-US" w:eastAsia="zh-CN"/>
        </w:rPr>
      </w:pPr>
    </w:p>
    <w:p w14:paraId="498D3B93">
      <w:pPr>
        <w:rPr>
          <w:rFonts w:hint="eastAsia" w:asciiTheme="majorEastAsia" w:hAnsiTheme="majorEastAsia" w:eastAsiaTheme="majorEastAsia" w:cstheme="majorEastAsia"/>
          <w:b/>
          <w:bCs/>
          <w:sz w:val="44"/>
          <w:szCs w:val="44"/>
          <w:highlight w:val="none"/>
          <w:lang w:val="en-US" w:eastAsia="zh-CN"/>
        </w:rPr>
      </w:pPr>
    </w:p>
    <w:p w14:paraId="4EC6D5CC">
      <w:pP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br w:type="page"/>
      </w:r>
    </w:p>
    <w:p w14:paraId="14AB312A">
      <w:pPr>
        <w:jc w:val="center"/>
        <w:outlineLvl w:val="0"/>
        <w:rPr>
          <w:rFonts w:hint="eastAsia" w:asciiTheme="majorEastAsia" w:hAnsiTheme="majorEastAsia" w:eastAsiaTheme="majorEastAsia" w:cstheme="majorEastAsia"/>
          <w:b/>
          <w:bCs/>
          <w:sz w:val="44"/>
          <w:szCs w:val="44"/>
          <w:highlight w:val="none"/>
          <w:lang w:val="en-US" w:eastAsia="zh-CN"/>
        </w:rPr>
      </w:pPr>
      <w:bookmarkStart w:id="48" w:name="_Toc23064"/>
      <w:r>
        <w:rPr>
          <w:rFonts w:hint="eastAsia" w:asciiTheme="majorEastAsia" w:hAnsiTheme="majorEastAsia" w:eastAsiaTheme="majorEastAsia" w:cstheme="majorEastAsia"/>
          <w:b/>
          <w:bCs/>
          <w:sz w:val="44"/>
          <w:szCs w:val="44"/>
          <w:highlight w:val="none"/>
          <w:lang w:val="en-US" w:eastAsia="zh-CN"/>
        </w:rPr>
        <w:t>第三章 响应文件格式</w:t>
      </w:r>
      <w:bookmarkEnd w:id="48"/>
    </w:p>
    <w:p w14:paraId="62E08E29">
      <w:pPr>
        <w:jc w:val="center"/>
        <w:rPr>
          <w:rFonts w:hint="eastAsia" w:asciiTheme="majorEastAsia" w:hAnsiTheme="majorEastAsia" w:eastAsiaTheme="majorEastAsia" w:cstheme="majorEastAsia"/>
          <w:b/>
          <w:bCs/>
          <w:sz w:val="44"/>
          <w:szCs w:val="44"/>
          <w:highlight w:val="none"/>
          <w:lang w:val="en-US" w:eastAsia="zh-CN"/>
        </w:rPr>
      </w:pPr>
    </w:p>
    <w:p w14:paraId="7AD92FF9">
      <w:pPr>
        <w:jc w:val="center"/>
        <w:rPr>
          <w:rFonts w:hint="eastAsia" w:asciiTheme="majorEastAsia" w:hAnsiTheme="majorEastAsia" w:eastAsiaTheme="majorEastAsia" w:cstheme="majorEastAsia"/>
          <w:b/>
          <w:bCs/>
          <w:sz w:val="44"/>
          <w:szCs w:val="44"/>
          <w:highlight w:val="none"/>
          <w:lang w:val="en-US" w:eastAsia="zh-CN"/>
        </w:rPr>
      </w:pPr>
    </w:p>
    <w:p w14:paraId="49D28012">
      <w:pPr>
        <w:jc w:val="center"/>
        <w:rPr>
          <w:rFonts w:hint="eastAsia" w:asciiTheme="majorEastAsia" w:hAnsiTheme="majorEastAsia" w:eastAsiaTheme="majorEastAsia" w:cstheme="majorEastAsia"/>
          <w:b/>
          <w:bCs/>
          <w:sz w:val="44"/>
          <w:szCs w:val="44"/>
          <w:highlight w:val="none"/>
          <w:lang w:val="en-US" w:eastAsia="zh-CN"/>
        </w:rPr>
      </w:pPr>
    </w:p>
    <w:p w14:paraId="5C7B4CDA">
      <w:pPr>
        <w:jc w:val="center"/>
        <w:rPr>
          <w:rFonts w:hint="eastAsia" w:asciiTheme="majorEastAsia" w:hAnsiTheme="majorEastAsia" w:eastAsiaTheme="majorEastAsia" w:cstheme="majorEastAsia"/>
          <w:b/>
          <w:bCs/>
          <w:sz w:val="44"/>
          <w:szCs w:val="44"/>
          <w:highlight w:val="none"/>
          <w:lang w:val="en-US" w:eastAsia="zh-CN"/>
        </w:rPr>
      </w:pPr>
    </w:p>
    <w:p w14:paraId="1FA8F195">
      <w:pPr>
        <w:jc w:val="center"/>
        <w:rPr>
          <w:rFonts w:hint="eastAsia" w:asciiTheme="majorEastAsia" w:hAnsiTheme="majorEastAsia" w:eastAsiaTheme="majorEastAsia" w:cstheme="majorEastAsia"/>
          <w:b/>
          <w:bCs/>
          <w:sz w:val="44"/>
          <w:szCs w:val="44"/>
          <w:highlight w:val="none"/>
          <w:lang w:val="en-US" w:eastAsia="zh-CN"/>
        </w:rPr>
      </w:pPr>
    </w:p>
    <w:p w14:paraId="708EC926">
      <w:pPr>
        <w:jc w:val="center"/>
        <w:rPr>
          <w:rFonts w:hint="eastAsia" w:asciiTheme="majorEastAsia" w:hAnsiTheme="majorEastAsia" w:eastAsiaTheme="majorEastAsia" w:cstheme="majorEastAsia"/>
          <w:b/>
          <w:bCs/>
          <w:sz w:val="44"/>
          <w:szCs w:val="44"/>
          <w:highlight w:val="none"/>
          <w:lang w:val="en-US" w:eastAsia="zh-CN"/>
        </w:rPr>
      </w:pPr>
    </w:p>
    <w:p w14:paraId="1F68AB51">
      <w:pPr>
        <w:jc w:val="center"/>
        <w:rPr>
          <w:rFonts w:hint="eastAsia" w:asciiTheme="majorEastAsia" w:hAnsiTheme="majorEastAsia" w:eastAsiaTheme="majorEastAsia" w:cstheme="majorEastAsia"/>
          <w:b/>
          <w:bCs/>
          <w:sz w:val="44"/>
          <w:szCs w:val="44"/>
          <w:highlight w:val="none"/>
          <w:lang w:val="en-US" w:eastAsia="zh-CN"/>
        </w:rPr>
      </w:pPr>
    </w:p>
    <w:p w14:paraId="3710CEE1">
      <w:pPr>
        <w:jc w:val="center"/>
        <w:rPr>
          <w:rFonts w:hint="eastAsia" w:asciiTheme="majorEastAsia" w:hAnsiTheme="majorEastAsia" w:eastAsiaTheme="majorEastAsia" w:cstheme="majorEastAsia"/>
          <w:b/>
          <w:bCs/>
          <w:sz w:val="44"/>
          <w:szCs w:val="44"/>
          <w:highlight w:val="none"/>
          <w:lang w:val="en-US" w:eastAsia="zh-CN"/>
        </w:rPr>
      </w:pPr>
    </w:p>
    <w:p w14:paraId="3D9BF782">
      <w:pPr>
        <w:jc w:val="center"/>
        <w:rPr>
          <w:rFonts w:hint="eastAsia" w:asciiTheme="majorEastAsia" w:hAnsiTheme="majorEastAsia" w:eastAsiaTheme="majorEastAsia" w:cstheme="majorEastAsia"/>
          <w:b/>
          <w:bCs/>
          <w:sz w:val="44"/>
          <w:szCs w:val="44"/>
          <w:highlight w:val="none"/>
          <w:lang w:val="en-US" w:eastAsia="zh-CN"/>
        </w:rPr>
      </w:pPr>
    </w:p>
    <w:p w14:paraId="70868214">
      <w:pPr>
        <w:jc w:val="center"/>
        <w:rPr>
          <w:rFonts w:hint="eastAsia" w:asciiTheme="majorEastAsia" w:hAnsiTheme="majorEastAsia" w:eastAsiaTheme="majorEastAsia" w:cstheme="majorEastAsia"/>
          <w:b/>
          <w:bCs/>
          <w:sz w:val="44"/>
          <w:szCs w:val="44"/>
          <w:highlight w:val="none"/>
          <w:lang w:val="en-US" w:eastAsia="zh-CN"/>
        </w:rPr>
      </w:pPr>
    </w:p>
    <w:p w14:paraId="612A4C39">
      <w:pPr>
        <w:jc w:val="center"/>
        <w:rPr>
          <w:rFonts w:hint="eastAsia" w:asciiTheme="majorEastAsia" w:hAnsiTheme="majorEastAsia" w:eastAsiaTheme="majorEastAsia" w:cstheme="majorEastAsia"/>
          <w:b/>
          <w:bCs/>
          <w:sz w:val="44"/>
          <w:szCs w:val="44"/>
          <w:highlight w:val="none"/>
          <w:lang w:val="en-US" w:eastAsia="zh-CN"/>
        </w:rPr>
      </w:pPr>
    </w:p>
    <w:p w14:paraId="6C2280F9">
      <w:pPr>
        <w:jc w:val="center"/>
        <w:rPr>
          <w:rFonts w:hint="eastAsia" w:asciiTheme="majorEastAsia" w:hAnsiTheme="majorEastAsia" w:eastAsiaTheme="majorEastAsia" w:cstheme="majorEastAsia"/>
          <w:b/>
          <w:bCs/>
          <w:sz w:val="44"/>
          <w:szCs w:val="44"/>
          <w:highlight w:val="none"/>
          <w:lang w:val="en-US" w:eastAsia="zh-CN"/>
        </w:rPr>
      </w:pPr>
    </w:p>
    <w:p w14:paraId="6E0150AF">
      <w:pPr>
        <w:jc w:val="center"/>
        <w:rPr>
          <w:rFonts w:hint="eastAsia" w:asciiTheme="majorEastAsia" w:hAnsiTheme="majorEastAsia" w:eastAsiaTheme="majorEastAsia" w:cstheme="majorEastAsia"/>
          <w:b/>
          <w:bCs/>
          <w:sz w:val="44"/>
          <w:szCs w:val="44"/>
          <w:highlight w:val="none"/>
          <w:lang w:val="en-US" w:eastAsia="zh-CN"/>
        </w:rPr>
      </w:pPr>
    </w:p>
    <w:p w14:paraId="70D73302">
      <w:pPr>
        <w:jc w:val="center"/>
        <w:rPr>
          <w:rFonts w:hint="eastAsia" w:asciiTheme="majorEastAsia" w:hAnsiTheme="majorEastAsia" w:eastAsiaTheme="majorEastAsia" w:cstheme="majorEastAsia"/>
          <w:b/>
          <w:bCs/>
          <w:sz w:val="44"/>
          <w:szCs w:val="44"/>
          <w:highlight w:val="none"/>
          <w:lang w:val="en-US" w:eastAsia="zh-CN"/>
        </w:rPr>
      </w:pPr>
    </w:p>
    <w:p w14:paraId="3A117FE4">
      <w:pPr>
        <w:jc w:val="center"/>
        <w:rPr>
          <w:rFonts w:hint="eastAsia" w:asciiTheme="majorEastAsia" w:hAnsiTheme="majorEastAsia" w:eastAsiaTheme="majorEastAsia" w:cstheme="majorEastAsia"/>
          <w:b/>
          <w:bCs/>
          <w:sz w:val="44"/>
          <w:szCs w:val="44"/>
          <w:highlight w:val="none"/>
          <w:lang w:val="en-US" w:eastAsia="zh-CN"/>
        </w:rPr>
      </w:pPr>
    </w:p>
    <w:p w14:paraId="76F4FC82">
      <w:pPr>
        <w:jc w:val="center"/>
        <w:rPr>
          <w:rFonts w:hint="eastAsia" w:asciiTheme="majorEastAsia" w:hAnsiTheme="majorEastAsia" w:eastAsiaTheme="majorEastAsia" w:cstheme="majorEastAsia"/>
          <w:b/>
          <w:bCs/>
          <w:sz w:val="44"/>
          <w:szCs w:val="44"/>
          <w:highlight w:val="none"/>
          <w:lang w:val="en-US" w:eastAsia="zh-CN"/>
        </w:rPr>
      </w:pPr>
    </w:p>
    <w:p w14:paraId="050F357B">
      <w:pPr>
        <w:jc w:val="center"/>
        <w:rPr>
          <w:rFonts w:hint="eastAsia" w:asciiTheme="majorEastAsia" w:hAnsiTheme="majorEastAsia" w:eastAsiaTheme="majorEastAsia" w:cstheme="majorEastAsia"/>
          <w:b/>
          <w:bCs/>
          <w:sz w:val="44"/>
          <w:szCs w:val="44"/>
          <w:highlight w:val="none"/>
          <w:lang w:val="en-US" w:eastAsia="zh-CN"/>
        </w:rPr>
      </w:pPr>
    </w:p>
    <w:p w14:paraId="04C98FED">
      <w:pPr>
        <w:jc w:val="center"/>
        <w:rPr>
          <w:rFonts w:hint="eastAsia" w:asciiTheme="majorEastAsia" w:hAnsiTheme="majorEastAsia" w:eastAsiaTheme="majorEastAsia" w:cstheme="majorEastAsia"/>
          <w:b/>
          <w:bCs/>
          <w:sz w:val="44"/>
          <w:szCs w:val="44"/>
          <w:highlight w:val="none"/>
          <w:lang w:val="en-US" w:eastAsia="zh-CN"/>
        </w:rPr>
      </w:pPr>
    </w:p>
    <w:p w14:paraId="4B7CD0A5">
      <w:pPr>
        <w:jc w:val="center"/>
        <w:rPr>
          <w:rFonts w:hint="eastAsia" w:asciiTheme="majorEastAsia" w:hAnsiTheme="majorEastAsia" w:eastAsiaTheme="majorEastAsia" w:cstheme="majorEastAsia"/>
          <w:b/>
          <w:bCs/>
          <w:sz w:val="44"/>
          <w:szCs w:val="44"/>
          <w:highlight w:val="none"/>
          <w:lang w:val="en-US" w:eastAsia="zh-CN"/>
        </w:rPr>
      </w:pPr>
    </w:p>
    <w:p w14:paraId="71E79EBD">
      <w:pP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br w:type="page"/>
      </w:r>
    </w:p>
    <w:p w14:paraId="7E1DDFB2">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黑体" w:hAnsi="黑体" w:eastAsia="黑体" w:cs="黑体"/>
          <w:b w:val="0"/>
          <w:bCs/>
          <w:color w:val="000000"/>
          <w:spacing w:val="8"/>
          <w:sz w:val="52"/>
          <w:szCs w:val="52"/>
          <w:highlight w:val="none"/>
        </w:rPr>
      </w:pPr>
      <w:r>
        <w:rPr>
          <w:rFonts w:hint="eastAsia" w:ascii="黑体" w:hAnsi="黑体" w:eastAsia="黑体" w:cs="黑体"/>
          <w:b w:val="0"/>
          <w:bCs/>
          <w:color w:val="000000"/>
          <w:spacing w:val="8"/>
          <w:sz w:val="52"/>
          <w:szCs w:val="52"/>
          <w:highlight w:val="none"/>
        </w:rPr>
        <w:t>赣州交控“十五五”规划编制服务</w:t>
      </w:r>
    </w:p>
    <w:p w14:paraId="7683CC66">
      <w:pPr>
        <w:spacing w:line="660" w:lineRule="exact"/>
        <w:jc w:val="center"/>
        <w:rPr>
          <w:rFonts w:hint="eastAsia" w:ascii="黑体" w:hAnsi="黑体" w:eastAsia="黑体" w:cs="黑体"/>
          <w:b w:val="0"/>
          <w:bCs/>
          <w:color w:val="000000"/>
          <w:spacing w:val="8"/>
          <w:sz w:val="72"/>
          <w:szCs w:val="72"/>
          <w:highlight w:val="none"/>
        </w:rPr>
      </w:pPr>
    </w:p>
    <w:p w14:paraId="5BCE4051">
      <w:pPr>
        <w:spacing w:line="660" w:lineRule="exact"/>
        <w:jc w:val="center"/>
        <w:rPr>
          <w:rFonts w:hint="eastAsia" w:ascii="黑体" w:hAnsi="黑体" w:eastAsia="黑体" w:cs="黑体"/>
          <w:b w:val="0"/>
          <w:bCs/>
          <w:color w:val="000000"/>
          <w:spacing w:val="8"/>
          <w:sz w:val="72"/>
          <w:szCs w:val="72"/>
          <w:highlight w:val="none"/>
        </w:rPr>
      </w:pPr>
    </w:p>
    <w:p w14:paraId="10ECC19E">
      <w:pPr>
        <w:jc w:val="center"/>
        <w:rPr>
          <w:rFonts w:hint="eastAsia" w:ascii="黑体" w:hAnsi="黑体" w:eastAsia="黑体" w:cs="黑体"/>
          <w:b w:val="0"/>
          <w:bCs/>
          <w:color w:val="000000"/>
          <w:spacing w:val="8"/>
          <w:sz w:val="84"/>
          <w:szCs w:val="84"/>
          <w:highlight w:val="none"/>
          <w:lang w:val="en-US" w:eastAsia="zh-CN"/>
        </w:rPr>
      </w:pPr>
      <w:r>
        <w:rPr>
          <w:rFonts w:hint="eastAsia" w:ascii="黑体" w:hAnsi="黑体" w:eastAsia="黑体" w:cs="黑体"/>
          <w:b w:val="0"/>
          <w:bCs/>
          <w:color w:val="000000"/>
          <w:spacing w:val="8"/>
          <w:sz w:val="84"/>
          <w:szCs w:val="84"/>
          <w:highlight w:val="none"/>
          <w:lang w:val="en-US" w:eastAsia="zh-CN"/>
        </w:rPr>
        <w:t>商</w:t>
      </w:r>
    </w:p>
    <w:p w14:paraId="3ECE9873">
      <w:pPr>
        <w:jc w:val="center"/>
        <w:rPr>
          <w:rFonts w:hint="eastAsia" w:ascii="黑体" w:hAnsi="黑体" w:eastAsia="黑体" w:cs="黑体"/>
          <w:b w:val="0"/>
          <w:bCs/>
          <w:color w:val="000000"/>
          <w:spacing w:val="8"/>
          <w:sz w:val="84"/>
          <w:szCs w:val="84"/>
          <w:highlight w:val="none"/>
          <w:lang w:val="en-US" w:eastAsia="zh-CN"/>
        </w:rPr>
      </w:pPr>
      <w:r>
        <w:rPr>
          <w:rFonts w:hint="eastAsia" w:ascii="黑体" w:hAnsi="黑体" w:eastAsia="黑体" w:cs="黑体"/>
          <w:b w:val="0"/>
          <w:bCs/>
          <w:color w:val="000000"/>
          <w:spacing w:val="8"/>
          <w:sz w:val="84"/>
          <w:szCs w:val="84"/>
          <w:highlight w:val="none"/>
          <w:lang w:val="en-US" w:eastAsia="zh-CN"/>
        </w:rPr>
        <w:t>务</w:t>
      </w:r>
    </w:p>
    <w:p w14:paraId="60D74A86">
      <w:pPr>
        <w:jc w:val="center"/>
        <w:rPr>
          <w:rFonts w:hint="eastAsia" w:ascii="黑体" w:hAnsi="黑体" w:eastAsia="黑体" w:cs="黑体"/>
          <w:b w:val="0"/>
          <w:bCs/>
          <w:color w:val="000000"/>
          <w:spacing w:val="8"/>
          <w:sz w:val="84"/>
          <w:szCs w:val="84"/>
          <w:highlight w:val="none"/>
          <w:lang w:val="en-US" w:eastAsia="zh-CN"/>
        </w:rPr>
      </w:pPr>
      <w:r>
        <w:rPr>
          <w:rFonts w:hint="eastAsia" w:ascii="黑体" w:hAnsi="黑体" w:eastAsia="黑体" w:cs="黑体"/>
          <w:b w:val="0"/>
          <w:bCs/>
          <w:color w:val="000000"/>
          <w:spacing w:val="8"/>
          <w:sz w:val="84"/>
          <w:szCs w:val="84"/>
          <w:highlight w:val="none"/>
          <w:lang w:val="en-US" w:eastAsia="zh-CN"/>
        </w:rPr>
        <w:t>及</w:t>
      </w:r>
    </w:p>
    <w:p w14:paraId="58013A73">
      <w:pPr>
        <w:jc w:val="center"/>
        <w:rPr>
          <w:rFonts w:hint="eastAsia" w:ascii="黑体" w:hAnsi="黑体" w:eastAsia="黑体" w:cs="黑体"/>
          <w:b w:val="0"/>
          <w:bCs/>
          <w:color w:val="000000"/>
          <w:spacing w:val="8"/>
          <w:sz w:val="84"/>
          <w:szCs w:val="84"/>
          <w:highlight w:val="none"/>
          <w:lang w:val="en-US" w:eastAsia="zh-CN"/>
        </w:rPr>
      </w:pPr>
      <w:r>
        <w:rPr>
          <w:rFonts w:hint="eastAsia" w:ascii="黑体" w:hAnsi="黑体" w:eastAsia="黑体" w:cs="黑体"/>
          <w:b w:val="0"/>
          <w:bCs/>
          <w:color w:val="000000"/>
          <w:spacing w:val="8"/>
          <w:sz w:val="84"/>
          <w:szCs w:val="84"/>
          <w:highlight w:val="none"/>
          <w:lang w:val="en-US" w:eastAsia="zh-CN"/>
        </w:rPr>
        <w:t>技</w:t>
      </w:r>
    </w:p>
    <w:p w14:paraId="1F669F73">
      <w:pPr>
        <w:jc w:val="center"/>
        <w:rPr>
          <w:rFonts w:hint="eastAsia" w:ascii="黑体" w:hAnsi="黑体" w:eastAsia="黑体" w:cs="黑体"/>
          <w:b w:val="0"/>
          <w:bCs/>
          <w:color w:val="000000"/>
          <w:spacing w:val="8"/>
          <w:sz w:val="84"/>
          <w:szCs w:val="84"/>
          <w:highlight w:val="none"/>
          <w:lang w:val="en-US" w:eastAsia="zh-CN"/>
        </w:rPr>
      </w:pPr>
      <w:r>
        <w:rPr>
          <w:rFonts w:hint="eastAsia" w:ascii="黑体" w:hAnsi="黑体" w:eastAsia="黑体" w:cs="黑体"/>
          <w:b w:val="0"/>
          <w:bCs/>
          <w:color w:val="000000"/>
          <w:spacing w:val="8"/>
          <w:sz w:val="84"/>
          <w:szCs w:val="84"/>
          <w:highlight w:val="none"/>
          <w:lang w:val="en-US" w:eastAsia="zh-CN"/>
        </w:rPr>
        <w:t>术</w:t>
      </w:r>
    </w:p>
    <w:p w14:paraId="6A01D7B0">
      <w:pPr>
        <w:jc w:val="center"/>
        <w:rPr>
          <w:rFonts w:hint="default" w:ascii="黑体" w:hAnsi="黑体" w:eastAsia="黑体" w:cs="黑体"/>
          <w:b w:val="0"/>
          <w:bCs/>
          <w:color w:val="000000"/>
          <w:spacing w:val="8"/>
          <w:sz w:val="84"/>
          <w:szCs w:val="84"/>
          <w:highlight w:val="none"/>
          <w:lang w:val="en-US"/>
        </w:rPr>
      </w:pPr>
      <w:r>
        <w:rPr>
          <w:rFonts w:hint="eastAsia" w:ascii="黑体" w:hAnsi="黑体" w:eastAsia="黑体" w:cs="黑体"/>
          <w:b w:val="0"/>
          <w:bCs/>
          <w:color w:val="000000"/>
          <w:spacing w:val="8"/>
          <w:sz w:val="84"/>
          <w:szCs w:val="84"/>
          <w:highlight w:val="none"/>
          <w:lang w:val="en-US" w:eastAsia="zh-CN"/>
        </w:rPr>
        <w:t>文</w:t>
      </w:r>
    </w:p>
    <w:p w14:paraId="2B17D9AA">
      <w:pPr>
        <w:jc w:val="center"/>
        <w:rPr>
          <w:rFonts w:hint="eastAsia" w:ascii="黑体" w:hAnsi="黑体" w:eastAsia="黑体" w:cs="黑体"/>
          <w:b w:val="0"/>
          <w:bCs/>
          <w:color w:val="000000"/>
          <w:sz w:val="36"/>
          <w:szCs w:val="36"/>
          <w:highlight w:val="none"/>
        </w:rPr>
      </w:pPr>
      <w:r>
        <w:rPr>
          <w:rFonts w:hint="eastAsia" w:ascii="黑体" w:hAnsi="黑体" w:eastAsia="黑体" w:cs="黑体"/>
          <w:b w:val="0"/>
          <w:bCs/>
          <w:color w:val="000000"/>
          <w:spacing w:val="8"/>
          <w:sz w:val="84"/>
          <w:szCs w:val="84"/>
          <w:highlight w:val="none"/>
        </w:rPr>
        <w:t>件</w:t>
      </w:r>
    </w:p>
    <w:p w14:paraId="75AE8D4E">
      <w:pPr>
        <w:jc w:val="center"/>
        <w:rPr>
          <w:rFonts w:hint="eastAsia" w:ascii="黑体" w:hAnsi="黑体" w:eastAsia="黑体" w:cs="黑体"/>
          <w:b w:val="0"/>
          <w:bCs/>
          <w:color w:val="000000"/>
          <w:sz w:val="36"/>
          <w:szCs w:val="36"/>
          <w:highlight w:val="none"/>
        </w:rPr>
      </w:pPr>
    </w:p>
    <w:p w14:paraId="068DB0C1">
      <w:pPr>
        <w:jc w:val="center"/>
        <w:rPr>
          <w:rFonts w:hint="eastAsia" w:ascii="黑体" w:hAnsi="黑体" w:eastAsia="黑体" w:cs="黑体"/>
          <w:b w:val="0"/>
          <w:bCs/>
          <w:color w:val="000000"/>
          <w:sz w:val="36"/>
          <w:szCs w:val="36"/>
          <w:highlight w:val="none"/>
        </w:rPr>
      </w:pPr>
    </w:p>
    <w:p w14:paraId="2DA718DC">
      <w:pPr>
        <w:ind w:firstLine="720" w:firstLineChars="200"/>
        <w:rPr>
          <w:rFonts w:hint="eastAsia" w:ascii="黑体" w:hAnsi="黑体" w:eastAsia="黑体" w:cs="黑体"/>
          <w:b w:val="0"/>
          <w:bCs/>
          <w:color w:val="000000"/>
          <w:sz w:val="36"/>
          <w:szCs w:val="36"/>
          <w:highlight w:val="none"/>
        </w:rPr>
      </w:pPr>
      <w:r>
        <w:rPr>
          <w:rFonts w:hint="eastAsia" w:ascii="黑体" w:hAnsi="黑体" w:eastAsia="黑体" w:cs="黑体"/>
          <w:b w:val="0"/>
          <w:bCs/>
          <w:color w:val="000000"/>
          <w:sz w:val="36"/>
          <w:szCs w:val="36"/>
          <w:highlight w:val="none"/>
          <w:lang w:val="en-US" w:eastAsia="zh-CN"/>
        </w:rPr>
        <w:t>单位名称</w:t>
      </w:r>
      <w:r>
        <w:rPr>
          <w:rFonts w:hint="eastAsia" w:ascii="黑体" w:hAnsi="黑体" w:eastAsia="黑体" w:cs="黑体"/>
          <w:b w:val="0"/>
          <w:bCs/>
          <w:color w:val="000000"/>
          <w:sz w:val="36"/>
          <w:szCs w:val="36"/>
          <w:highlight w:val="none"/>
        </w:rPr>
        <w:t xml:space="preserve">： </w:t>
      </w:r>
    </w:p>
    <w:p w14:paraId="55F22513">
      <w:pPr>
        <w:spacing w:line="360" w:lineRule="auto"/>
        <w:jc w:val="center"/>
        <w:rPr>
          <w:rFonts w:hint="eastAsia" w:ascii="黑体" w:hAnsi="黑体" w:eastAsia="黑体" w:cs="黑体"/>
          <w:b w:val="0"/>
          <w:bCs/>
          <w:color w:val="000000"/>
          <w:sz w:val="36"/>
          <w:szCs w:val="36"/>
          <w:highlight w:val="none"/>
        </w:rPr>
      </w:pPr>
      <w:r>
        <w:rPr>
          <w:rFonts w:hint="eastAsia" w:ascii="黑体" w:hAnsi="黑体" w:eastAsia="黑体" w:cs="黑体"/>
          <w:b w:val="0"/>
          <w:bCs/>
          <w:color w:val="000000"/>
          <w:sz w:val="36"/>
          <w:szCs w:val="36"/>
          <w:highlight w:val="none"/>
        </w:rPr>
        <w:t>2025年</w:t>
      </w:r>
      <w:r>
        <w:rPr>
          <w:rFonts w:hint="eastAsia" w:ascii="黑体" w:hAnsi="黑体" w:eastAsia="黑体" w:cs="黑体"/>
          <w:b w:val="0"/>
          <w:bCs/>
          <w:color w:val="000000"/>
          <w:sz w:val="36"/>
          <w:szCs w:val="36"/>
          <w:highlight w:val="none"/>
          <w:lang w:val="en-US" w:eastAsia="zh-CN"/>
        </w:rPr>
        <w:t>9</w:t>
      </w:r>
      <w:r>
        <w:rPr>
          <w:rFonts w:hint="eastAsia" w:ascii="黑体" w:hAnsi="黑体" w:eastAsia="黑体" w:cs="黑体"/>
          <w:b w:val="0"/>
          <w:bCs/>
          <w:color w:val="000000"/>
          <w:sz w:val="36"/>
          <w:szCs w:val="36"/>
          <w:highlight w:val="none"/>
        </w:rPr>
        <w:t>月  日</w:t>
      </w:r>
    </w:p>
    <w:p w14:paraId="666245CF">
      <w:pPr>
        <w:spacing w:line="360" w:lineRule="auto"/>
        <w:jc w:val="center"/>
        <w:rPr>
          <w:rFonts w:hint="eastAsia" w:ascii="黑体" w:hAnsi="黑体" w:eastAsia="黑体" w:cs="黑体"/>
          <w:b w:val="0"/>
          <w:bCs/>
          <w:color w:val="000000"/>
          <w:sz w:val="36"/>
          <w:szCs w:val="36"/>
          <w:highlight w:val="none"/>
        </w:rPr>
      </w:pPr>
    </w:p>
    <w:p w14:paraId="6C104190">
      <w:pP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br w:type="page"/>
      </w:r>
    </w:p>
    <w:p w14:paraId="2A020791">
      <w:pPr>
        <w:adjustRightInd w:val="0"/>
        <w:snapToGrid w:val="0"/>
        <w:spacing w:line="480" w:lineRule="exact"/>
        <w:jc w:val="center"/>
        <w:rPr>
          <w:rFonts w:hint="eastAsia" w:eastAsia="黑体"/>
          <w:sz w:val="32"/>
          <w:szCs w:val="32"/>
          <w:highlight w:val="none"/>
        </w:rPr>
      </w:pPr>
      <w:r>
        <w:rPr>
          <w:rFonts w:hint="eastAsia" w:eastAsia="黑体"/>
          <w:sz w:val="32"/>
          <w:szCs w:val="32"/>
          <w:highlight w:val="none"/>
        </w:rPr>
        <w:t>一、法人代表相关证明或其委授权委托书</w:t>
      </w:r>
    </w:p>
    <w:p w14:paraId="29520395">
      <w:pPr>
        <w:spacing w:line="360" w:lineRule="auto"/>
        <w:jc w:val="center"/>
        <w:rPr>
          <w:rFonts w:hint="eastAsia" w:ascii="黑体" w:hAnsi="黑体" w:eastAsia="黑体" w:cs="黑体"/>
          <w:b w:val="0"/>
          <w:bCs/>
          <w:sz w:val="30"/>
          <w:szCs w:val="30"/>
          <w:highlight w:val="none"/>
        </w:rPr>
      </w:pP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一</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rPr>
        <w:t>法定代表人身份证明</w:t>
      </w:r>
    </w:p>
    <w:p w14:paraId="17A421DB">
      <w:pPr>
        <w:spacing w:line="440" w:lineRule="exact"/>
        <w:rPr>
          <w:rFonts w:hint="eastAsia" w:ascii="仿宋_GB2312" w:hAnsi="仿宋_GB2312" w:eastAsia="仿宋_GB2312" w:cs="仿宋_GB2312"/>
          <w:sz w:val="20"/>
          <w:highlight w:val="none"/>
        </w:rPr>
      </w:pPr>
    </w:p>
    <w:p w14:paraId="5FAF7469">
      <w:pPr>
        <w:spacing w:line="440" w:lineRule="exact"/>
        <w:rPr>
          <w:rFonts w:hint="eastAsia" w:ascii="仿宋_GB2312" w:hAnsi="仿宋_GB2312" w:eastAsia="仿宋_GB2312" w:cs="仿宋_GB2312"/>
          <w:szCs w:val="21"/>
          <w:highlight w:val="none"/>
        </w:rPr>
      </w:pPr>
    </w:p>
    <w:p w14:paraId="6A99FB2D">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报价人</w:t>
      </w:r>
      <w:r>
        <w:rPr>
          <w:rFonts w:hint="eastAsia" w:ascii="仿宋_GB2312" w:hAnsi="仿宋_GB2312" w:eastAsia="仿宋_GB2312" w:cs="仿宋_GB2312"/>
          <w:sz w:val="28"/>
          <w:szCs w:val="28"/>
          <w:highlight w:val="none"/>
        </w:rPr>
        <w:t>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764C5B33">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7181445C">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rPr>
        <w:t xml:space="preserve">                                   </w:t>
      </w:r>
    </w:p>
    <w:p w14:paraId="4727E633">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622E4665">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14:paraId="7CCB1BBD">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14:paraId="4390FE5E">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报价人</w:t>
      </w:r>
      <w:r>
        <w:rPr>
          <w:rFonts w:hint="eastAsia" w:ascii="仿宋_GB2312" w:hAnsi="仿宋_GB2312" w:eastAsia="仿宋_GB2312" w:cs="仿宋_GB2312"/>
          <w:sz w:val="28"/>
          <w:szCs w:val="28"/>
          <w:highlight w:val="none"/>
        </w:rPr>
        <w:t>名称）的法定代表人。</w:t>
      </w:r>
    </w:p>
    <w:p w14:paraId="6DDAF9B4">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14:paraId="07EDC583">
      <w:pPr>
        <w:spacing w:line="360" w:lineRule="auto"/>
        <w:rPr>
          <w:rFonts w:hint="eastAsia" w:ascii="仿宋_GB2312" w:hAnsi="仿宋_GB2312" w:eastAsia="仿宋_GB2312" w:cs="仿宋_GB2312"/>
          <w:sz w:val="28"/>
          <w:szCs w:val="28"/>
          <w:highlight w:val="none"/>
        </w:rPr>
      </w:pPr>
    </w:p>
    <w:p w14:paraId="344F5844">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报价人：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（盖单位公章）</w:t>
      </w:r>
    </w:p>
    <w:p w14:paraId="650E28ED">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p>
    <w:p w14:paraId="4DA50411">
      <w:pPr>
        <w:pStyle w:val="7"/>
        <w:rPr>
          <w:rFonts w:hint="eastAsia" w:ascii="仿宋_GB2312" w:hAnsi="仿宋_GB2312" w:eastAsia="仿宋_GB2312" w:cs="仿宋_GB2312"/>
          <w:highlight w:val="none"/>
        </w:rPr>
      </w:pPr>
    </w:p>
    <w:tbl>
      <w:tblPr>
        <w:tblStyle w:val="16"/>
        <w:tblW w:w="9035" w:type="dxa"/>
        <w:tblInd w:w="0" w:type="dxa"/>
        <w:tblLayout w:type="fixed"/>
        <w:tblCellMar>
          <w:top w:w="0" w:type="dxa"/>
          <w:left w:w="108" w:type="dxa"/>
          <w:bottom w:w="0" w:type="dxa"/>
          <w:right w:w="108" w:type="dxa"/>
        </w:tblCellMar>
      </w:tblPr>
      <w:tblGrid>
        <w:gridCol w:w="9035"/>
      </w:tblGrid>
      <w:tr w14:paraId="634486BA">
        <w:tblPrEx>
          <w:tblCellMar>
            <w:top w:w="0" w:type="dxa"/>
            <w:left w:w="108" w:type="dxa"/>
            <w:bottom w:w="0" w:type="dxa"/>
            <w:right w:w="108" w:type="dxa"/>
          </w:tblCellMar>
        </w:tblPrEx>
        <w:trPr>
          <w:trHeight w:val="3855" w:hRule="atLeast"/>
        </w:trPr>
        <w:tc>
          <w:tcPr>
            <w:tcW w:w="9035" w:type="dxa"/>
            <w:tcBorders>
              <w:top w:val="single" w:color="auto" w:sz="4" w:space="0"/>
              <w:left w:val="single" w:color="auto" w:sz="4" w:space="0"/>
              <w:bottom w:val="single" w:color="auto" w:sz="4" w:space="0"/>
              <w:right w:val="single" w:color="auto" w:sz="4" w:space="0"/>
            </w:tcBorders>
            <w:noWrap w:val="0"/>
            <w:vAlign w:val="top"/>
          </w:tcPr>
          <w:p w14:paraId="6656EE0E">
            <w:pPr>
              <w:keepNext w:val="0"/>
              <w:keepLines w:val="0"/>
              <w:widowControl/>
              <w:suppressLineNumbers w:val="0"/>
              <w:spacing w:before="0" w:beforeAutospacing="0" w:after="0" w:afterAutospacing="0" w:line="520" w:lineRule="exact"/>
              <w:ind w:left="0" w:right="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粘贴法定代表人身份证明（扫描件</w:t>
            </w:r>
            <w:r>
              <w:rPr>
                <w:rFonts w:hint="eastAsia" w:ascii="仿宋_GB2312" w:hAnsi="仿宋_GB2312" w:eastAsia="仿宋_GB2312" w:cs="仿宋_GB2312"/>
                <w:sz w:val="28"/>
                <w:szCs w:val="28"/>
                <w:highlight w:val="none"/>
              </w:rPr>
              <w:t>或复印件</w:t>
            </w:r>
            <w:r>
              <w:rPr>
                <w:rFonts w:hint="eastAsia" w:ascii="仿宋_GB2312" w:hAnsi="仿宋_GB2312" w:eastAsia="仿宋_GB2312" w:cs="仿宋_GB2312"/>
                <w:kern w:val="0"/>
                <w:sz w:val="28"/>
                <w:szCs w:val="28"/>
                <w:highlight w:val="none"/>
              </w:rPr>
              <w:t>正、反两面）</w:t>
            </w:r>
          </w:p>
          <w:p w14:paraId="4C3B237C">
            <w:pPr>
              <w:keepNext w:val="0"/>
              <w:keepLines w:val="0"/>
              <w:widowControl/>
              <w:suppressLineNumbers w:val="0"/>
              <w:spacing w:before="0" w:beforeAutospacing="0" w:after="0" w:afterAutospacing="0" w:line="520" w:lineRule="exact"/>
              <w:ind w:left="0" w:right="0"/>
              <w:rPr>
                <w:rFonts w:hint="eastAsia" w:ascii="仿宋_GB2312" w:hAnsi="仿宋_GB2312" w:eastAsia="仿宋_GB2312" w:cs="仿宋_GB2312"/>
                <w:kern w:val="0"/>
                <w:sz w:val="28"/>
                <w:szCs w:val="28"/>
                <w:highlight w:val="none"/>
              </w:rPr>
            </w:pPr>
          </w:p>
        </w:tc>
      </w:tr>
    </w:tbl>
    <w:p w14:paraId="751290AC">
      <w:pPr>
        <w:adjustRightInd w:val="0"/>
        <w:snapToGrid w:val="0"/>
        <w:spacing w:line="480" w:lineRule="exact"/>
        <w:jc w:val="center"/>
        <w:rPr>
          <w:rFonts w:hint="eastAsia" w:eastAsia="黑体"/>
          <w:sz w:val="32"/>
          <w:szCs w:val="32"/>
          <w:highlight w:val="none"/>
          <w:lang w:eastAsia="zh-CN"/>
        </w:rPr>
      </w:pPr>
    </w:p>
    <w:p w14:paraId="3488ADC6">
      <w:pPr>
        <w:rPr>
          <w:rFonts w:hint="eastAsia" w:eastAsia="黑体"/>
          <w:sz w:val="32"/>
          <w:szCs w:val="32"/>
          <w:highlight w:val="none"/>
          <w:lang w:eastAsia="zh-CN"/>
        </w:rPr>
      </w:pPr>
      <w:r>
        <w:rPr>
          <w:rFonts w:hint="eastAsia" w:eastAsia="黑体"/>
          <w:sz w:val="32"/>
          <w:szCs w:val="32"/>
          <w:highlight w:val="none"/>
          <w:lang w:eastAsia="zh-CN"/>
        </w:rPr>
        <w:br w:type="page"/>
      </w:r>
    </w:p>
    <w:p w14:paraId="1003C031">
      <w:pPr>
        <w:adjustRightInd w:val="0"/>
        <w:snapToGrid w:val="0"/>
        <w:spacing w:line="480" w:lineRule="exact"/>
        <w:jc w:val="center"/>
        <w:rPr>
          <w:rFonts w:hint="eastAsia" w:eastAsia="黑体"/>
          <w:sz w:val="32"/>
          <w:szCs w:val="32"/>
          <w:highlight w:val="none"/>
          <w:lang w:eastAsia="zh-CN"/>
        </w:rPr>
      </w:pPr>
    </w:p>
    <w:p w14:paraId="280C752B">
      <w:pPr>
        <w:adjustRightInd w:val="0"/>
        <w:snapToGrid w:val="0"/>
        <w:spacing w:line="480" w:lineRule="exact"/>
        <w:jc w:val="center"/>
        <w:rPr>
          <w:rFonts w:eastAsia="黑体"/>
          <w:sz w:val="32"/>
          <w:szCs w:val="32"/>
          <w:highlight w:val="none"/>
        </w:rPr>
      </w:pPr>
      <w:r>
        <w:rPr>
          <w:rFonts w:hint="eastAsia" w:eastAsia="黑体"/>
          <w:sz w:val="32"/>
          <w:szCs w:val="32"/>
          <w:highlight w:val="none"/>
          <w:lang w:eastAsia="zh-CN"/>
        </w:rPr>
        <w:t>（</w:t>
      </w:r>
      <w:r>
        <w:rPr>
          <w:rFonts w:hint="eastAsia" w:eastAsia="黑体"/>
          <w:sz w:val="32"/>
          <w:szCs w:val="32"/>
          <w:highlight w:val="none"/>
          <w:lang w:val="en-US" w:eastAsia="zh-CN"/>
        </w:rPr>
        <w:t>二</w:t>
      </w:r>
      <w:r>
        <w:rPr>
          <w:rFonts w:hint="eastAsia" w:eastAsia="黑体"/>
          <w:sz w:val="32"/>
          <w:szCs w:val="32"/>
          <w:highlight w:val="none"/>
          <w:lang w:eastAsia="zh-CN"/>
        </w:rPr>
        <w:t>）</w:t>
      </w:r>
      <w:r>
        <w:rPr>
          <w:rFonts w:hint="eastAsia" w:eastAsia="黑体"/>
          <w:sz w:val="32"/>
          <w:szCs w:val="32"/>
          <w:highlight w:val="none"/>
        </w:rPr>
        <w:t>授权委托书</w:t>
      </w:r>
    </w:p>
    <w:p w14:paraId="071D10F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cs="华文楷体"/>
          <w:sz w:val="24"/>
          <w:highlight w:val="none"/>
          <w:u w:val="single"/>
        </w:rPr>
        <w:t>（姓名）</w:t>
      </w:r>
      <w:r>
        <w:rPr>
          <w:rFonts w:hint="eastAsia" w:ascii="宋体" w:hAnsi="宋体"/>
          <w:sz w:val="24"/>
          <w:highlight w:val="none"/>
          <w:u w:val="single"/>
        </w:rPr>
        <w:t xml:space="preserve"> </w:t>
      </w:r>
      <w:r>
        <w:rPr>
          <w:rFonts w:ascii="宋体" w:hAnsi="宋体"/>
          <w:sz w:val="24"/>
          <w:highlight w:val="none"/>
        </w:rPr>
        <w:t>系</w:t>
      </w:r>
      <w:r>
        <w:rPr>
          <w:rFonts w:hint="eastAsia" w:ascii="宋体" w:hAnsi="宋体"/>
          <w:sz w:val="24"/>
          <w:highlight w:val="none"/>
          <w:u w:val="single"/>
        </w:rPr>
        <w:t xml:space="preserve"> </w:t>
      </w:r>
      <w:r>
        <w:rPr>
          <w:rFonts w:hint="eastAsia" w:ascii="宋体" w:hAnsi="宋体" w:cs="华文楷体"/>
          <w:sz w:val="24"/>
          <w:highlight w:val="none"/>
          <w:u w:val="single"/>
        </w:rPr>
        <w:t>（</w:t>
      </w:r>
      <w:r>
        <w:rPr>
          <w:rFonts w:hint="eastAsia" w:ascii="宋体" w:hAnsi="宋体"/>
          <w:sz w:val="24"/>
          <w:highlight w:val="none"/>
          <w:u w:val="single"/>
        </w:rPr>
        <w:t>报价单位</w:t>
      </w:r>
      <w:r>
        <w:rPr>
          <w:rFonts w:hint="eastAsia" w:ascii="宋体" w:hAnsi="宋体" w:cs="华文楷体"/>
          <w:sz w:val="24"/>
          <w:highlight w:val="none"/>
          <w:u w:val="single"/>
        </w:rPr>
        <w:t>名称）</w:t>
      </w:r>
      <w:r>
        <w:rPr>
          <w:rFonts w:hint="eastAsia" w:ascii="宋体" w:hAnsi="宋体"/>
          <w:sz w:val="24"/>
          <w:highlight w:val="none"/>
          <w:u w:val="single"/>
        </w:rPr>
        <w:t xml:space="preserve"> </w:t>
      </w:r>
      <w:r>
        <w:rPr>
          <w:rFonts w:ascii="宋体" w:hAnsi="宋体"/>
          <w:sz w:val="24"/>
          <w:highlight w:val="none"/>
        </w:rPr>
        <w:t>的</w:t>
      </w:r>
      <w:r>
        <w:rPr>
          <w:rFonts w:hint="eastAsia" w:ascii="宋体" w:hAnsi="宋体"/>
          <w:sz w:val="24"/>
          <w:highlight w:val="none"/>
        </w:rPr>
        <w:t>法定代表人/单位负责人，</w:t>
      </w:r>
      <w:r>
        <w:rPr>
          <w:rFonts w:ascii="宋体" w:hAnsi="宋体"/>
          <w:sz w:val="24"/>
          <w:highlight w:val="none"/>
        </w:rPr>
        <w:t>现委托</w:t>
      </w:r>
      <w:r>
        <w:rPr>
          <w:rFonts w:hint="eastAsia" w:ascii="宋体" w:hAnsi="宋体" w:cs="华文楷体"/>
          <w:sz w:val="24"/>
          <w:highlight w:val="none"/>
          <w:u w:val="single"/>
        </w:rPr>
        <w:t>（姓名）</w:t>
      </w:r>
      <w:r>
        <w:rPr>
          <w:rFonts w:ascii="宋体" w:hAnsi="宋体"/>
          <w:sz w:val="24"/>
          <w:highlight w:val="none"/>
        </w:rPr>
        <w:t>为我方</w:t>
      </w:r>
      <w:r>
        <w:rPr>
          <w:rFonts w:hint="eastAsia" w:ascii="宋体" w:hAnsi="宋体"/>
          <w:sz w:val="24"/>
          <w:highlight w:val="none"/>
        </w:rPr>
        <w:t>授权</w:t>
      </w:r>
      <w:r>
        <w:rPr>
          <w:rFonts w:ascii="宋体" w:hAnsi="宋体"/>
          <w:sz w:val="24"/>
          <w:highlight w:val="none"/>
        </w:rPr>
        <w:t>代理人。代理人</w:t>
      </w:r>
      <w:r>
        <w:rPr>
          <w:rFonts w:hint="eastAsia" w:ascii="宋体" w:hAnsi="宋体"/>
          <w:sz w:val="24"/>
          <w:highlight w:val="none"/>
        </w:rPr>
        <w:t>根据授权，</w:t>
      </w:r>
      <w:r>
        <w:rPr>
          <w:rFonts w:ascii="宋体" w:hAnsi="宋体"/>
          <w:sz w:val="24"/>
          <w:highlight w:val="none"/>
        </w:rPr>
        <w:t>以我方名义签署、澄清</w:t>
      </w:r>
      <w:r>
        <w:rPr>
          <w:rFonts w:hint="eastAsia" w:ascii="宋体" w:hAnsi="宋体"/>
          <w:sz w:val="24"/>
          <w:highlight w:val="none"/>
        </w:rPr>
        <w:t>、确认</w:t>
      </w:r>
      <w:r>
        <w:rPr>
          <w:rFonts w:ascii="宋体" w:hAnsi="宋体"/>
          <w:sz w:val="24"/>
          <w:highlight w:val="none"/>
        </w:rPr>
        <w:t>、递交、撤回、修改</w:t>
      </w:r>
      <w:r>
        <w:rPr>
          <w:rFonts w:hint="eastAsia" w:ascii="宋体" w:hAnsi="宋体"/>
          <w:sz w:val="24"/>
          <w:highlight w:val="none"/>
          <w:u w:val="single"/>
        </w:rPr>
        <w:t>赣州交控“十五五”规划编制服务</w:t>
      </w:r>
      <w:r>
        <w:rPr>
          <w:rFonts w:hint="eastAsia" w:ascii="宋体" w:hAnsi="宋体"/>
          <w:sz w:val="24"/>
          <w:highlight w:val="none"/>
          <w:u w:val="single"/>
          <w:lang w:val="en-US" w:eastAsia="zh-CN"/>
        </w:rPr>
        <w:t>询价</w:t>
      </w:r>
      <w:r>
        <w:rPr>
          <w:rFonts w:hint="eastAsia" w:ascii="宋体" w:hAnsi="宋体"/>
          <w:sz w:val="24"/>
          <w:highlight w:val="none"/>
          <w:lang w:eastAsia="zh-CN"/>
        </w:rPr>
        <w:t>响应文件</w:t>
      </w:r>
      <w:r>
        <w:rPr>
          <w:rFonts w:ascii="宋体" w:hAnsi="宋体"/>
          <w:sz w:val="24"/>
          <w:highlight w:val="none"/>
        </w:rPr>
        <w:t>、签订合同和处理有关事宜，其法律后果由我方承担。</w:t>
      </w:r>
    </w:p>
    <w:p w14:paraId="57202D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highlight w:val="none"/>
        </w:rPr>
      </w:pPr>
      <w:r>
        <w:rPr>
          <w:rFonts w:ascii="宋体" w:hAnsi="宋体"/>
          <w:sz w:val="24"/>
          <w:highlight w:val="none"/>
        </w:rPr>
        <w:t>委托期限：</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ED8341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highlight w:val="none"/>
        </w:rPr>
      </w:pPr>
      <w:r>
        <w:rPr>
          <w:rFonts w:hint="eastAsia" w:ascii="宋体" w:hAnsi="宋体"/>
          <w:sz w:val="24"/>
          <w:highlight w:val="none"/>
        </w:rPr>
        <w:t>委托</w:t>
      </w:r>
      <w:r>
        <w:rPr>
          <w:rFonts w:ascii="宋体" w:hAnsi="宋体"/>
          <w:sz w:val="24"/>
          <w:highlight w:val="none"/>
        </w:rPr>
        <w:t>代理人无转委托权。</w:t>
      </w:r>
    </w:p>
    <w:p w14:paraId="544F23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highlight w:val="none"/>
        </w:rPr>
      </w:pPr>
      <w:r>
        <w:rPr>
          <w:rFonts w:hint="eastAsia" w:ascii="宋体" w:hAnsi="宋体"/>
          <w:sz w:val="24"/>
          <w:highlight w:val="none"/>
        </w:rPr>
        <w:t>附：法定代表人/单位负责人身份证复印件及委托代理人身份证复印件，并加盖公章。</w:t>
      </w:r>
    </w:p>
    <w:p w14:paraId="7F3118C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highlight w:val="none"/>
        </w:rPr>
      </w:pPr>
      <w:r>
        <w:rPr>
          <w:rFonts w:hint="eastAsia" w:ascii="宋体" w:hAnsi="宋体"/>
          <w:sz w:val="24"/>
          <w:highlight w:val="none"/>
        </w:rPr>
        <w:t>注：本授权委托书需由报价</w:t>
      </w:r>
      <w:r>
        <w:rPr>
          <w:rFonts w:ascii="宋体" w:hAnsi="宋体"/>
          <w:sz w:val="24"/>
          <w:highlight w:val="none"/>
        </w:rPr>
        <w:t>人</w:t>
      </w:r>
      <w:r>
        <w:rPr>
          <w:rFonts w:hint="eastAsia" w:ascii="宋体" w:hAnsi="宋体"/>
          <w:sz w:val="24"/>
          <w:highlight w:val="none"/>
        </w:rPr>
        <w:t>加盖单位公章并由其法定代表人/单位负责人签字。</w:t>
      </w:r>
    </w:p>
    <w:p w14:paraId="2E6499B1">
      <w:pPr>
        <w:spacing w:line="560" w:lineRule="exact"/>
        <w:ind w:firstLine="480"/>
        <w:rPr>
          <w:rFonts w:ascii="宋体" w:hAnsi="宋体"/>
          <w:sz w:val="24"/>
          <w:highlight w:val="none"/>
        </w:rPr>
      </w:pPr>
    </w:p>
    <w:p w14:paraId="10B8C61C">
      <w:pPr>
        <w:spacing w:line="560" w:lineRule="exact"/>
        <w:ind w:firstLine="3076" w:firstLineChars="1282"/>
        <w:rPr>
          <w:rFonts w:ascii="宋体" w:hAnsi="宋体"/>
          <w:sz w:val="24"/>
          <w:highlight w:val="none"/>
          <w:u w:val="single"/>
        </w:rPr>
      </w:pPr>
      <w:r>
        <w:rPr>
          <w:rFonts w:hint="eastAsia" w:ascii="宋体" w:hAnsi="宋体"/>
          <w:sz w:val="24"/>
          <w:highlight w:val="none"/>
        </w:rPr>
        <w:t>报价</w:t>
      </w:r>
      <w:r>
        <w:rPr>
          <w:rFonts w:ascii="宋体" w:hAnsi="宋体"/>
          <w:sz w:val="24"/>
          <w:highlight w:val="none"/>
        </w:rPr>
        <w:t>人</w:t>
      </w:r>
      <w:r>
        <w:rPr>
          <w:rFonts w:hint="eastAsia" w:ascii="宋体" w:hAnsi="宋体"/>
          <w:sz w:val="24"/>
          <w:highlight w:val="none"/>
        </w:rPr>
        <w:t>（单位公章）</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1346758F">
      <w:pPr>
        <w:spacing w:line="560" w:lineRule="exact"/>
        <w:ind w:firstLine="3074" w:firstLineChars="1281"/>
        <w:rPr>
          <w:rFonts w:ascii="宋体" w:hAnsi="宋体"/>
          <w:sz w:val="24"/>
          <w:highlight w:val="none"/>
        </w:rPr>
      </w:pPr>
      <w:r>
        <w:rPr>
          <w:rFonts w:hint="eastAsia" w:ascii="宋体" w:hAnsi="宋体"/>
          <w:sz w:val="24"/>
          <w:highlight w:val="none"/>
        </w:rPr>
        <w:t>法定代表人（签字）</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14:paraId="185838CF">
      <w:pPr>
        <w:spacing w:line="560" w:lineRule="exact"/>
        <w:ind w:firstLine="3076" w:firstLineChars="1282"/>
        <w:rPr>
          <w:rFonts w:ascii="宋体" w:hAnsi="宋体"/>
          <w:sz w:val="24"/>
          <w:highlight w:val="none"/>
          <w:u w:val="single"/>
        </w:rPr>
      </w:pPr>
      <w:r>
        <w:rPr>
          <w:rFonts w:hint="eastAsia" w:ascii="宋体" w:hAnsi="宋体"/>
          <w:sz w:val="24"/>
          <w:highlight w:val="none"/>
        </w:rPr>
        <w:t>授权</w:t>
      </w:r>
      <w:r>
        <w:rPr>
          <w:rFonts w:ascii="宋体" w:hAnsi="宋体"/>
          <w:sz w:val="24"/>
          <w:highlight w:val="none"/>
        </w:rPr>
        <w:t>代理人</w:t>
      </w:r>
      <w:r>
        <w:rPr>
          <w:rFonts w:hint="eastAsia" w:ascii="宋体" w:hAnsi="宋体"/>
          <w:sz w:val="24"/>
          <w:highlight w:val="none"/>
        </w:rPr>
        <w:t>（签字）</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3FD186A4">
      <w:pPr>
        <w:spacing w:line="560" w:lineRule="exact"/>
        <w:ind w:firstLine="5520" w:firstLineChars="230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tbl>
      <w:tblPr>
        <w:tblStyle w:val="16"/>
        <w:tblW w:w="9648" w:type="dxa"/>
        <w:tblInd w:w="0" w:type="dxa"/>
        <w:tblLayout w:type="fixed"/>
        <w:tblCellMar>
          <w:top w:w="0" w:type="dxa"/>
          <w:left w:w="108" w:type="dxa"/>
          <w:bottom w:w="0" w:type="dxa"/>
          <w:right w:w="108" w:type="dxa"/>
        </w:tblCellMar>
      </w:tblPr>
      <w:tblGrid>
        <w:gridCol w:w="9648"/>
      </w:tblGrid>
      <w:tr w14:paraId="53334B98">
        <w:tblPrEx>
          <w:tblCellMar>
            <w:top w:w="0" w:type="dxa"/>
            <w:left w:w="108" w:type="dxa"/>
            <w:bottom w:w="0" w:type="dxa"/>
            <w:right w:w="108" w:type="dxa"/>
          </w:tblCellMar>
        </w:tblPrEx>
        <w:trPr>
          <w:trHeight w:val="2464"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149F2F2E">
            <w:pPr>
              <w:keepNext w:val="0"/>
              <w:keepLines w:val="0"/>
              <w:widowControl/>
              <w:suppressLineNumbers w:val="0"/>
              <w:spacing w:before="0" w:beforeAutospacing="0" w:after="0" w:afterAutospacing="0" w:line="360" w:lineRule="auto"/>
              <w:ind w:left="0" w:right="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粘贴法定代表人身份证明（扫描件</w:t>
            </w:r>
            <w:r>
              <w:rPr>
                <w:rFonts w:hint="eastAsia" w:ascii="仿宋_GB2312" w:hAnsi="仿宋_GB2312" w:eastAsia="仿宋_GB2312" w:cs="仿宋_GB2312"/>
                <w:sz w:val="28"/>
                <w:szCs w:val="28"/>
                <w:highlight w:val="none"/>
              </w:rPr>
              <w:t>或复印件</w:t>
            </w:r>
            <w:r>
              <w:rPr>
                <w:rFonts w:hint="eastAsia" w:ascii="仿宋_GB2312" w:hAnsi="仿宋_GB2312" w:eastAsia="仿宋_GB2312" w:cs="仿宋_GB2312"/>
                <w:kern w:val="0"/>
                <w:sz w:val="28"/>
                <w:szCs w:val="28"/>
                <w:highlight w:val="none"/>
              </w:rPr>
              <w:t>正、反两面）</w:t>
            </w:r>
          </w:p>
          <w:p w14:paraId="4750008B">
            <w:pPr>
              <w:keepNext w:val="0"/>
              <w:keepLines w:val="0"/>
              <w:widowControl/>
              <w:suppressLineNumbers w:val="0"/>
              <w:spacing w:before="0" w:beforeAutospacing="0" w:after="0" w:afterAutospacing="0" w:line="360" w:lineRule="auto"/>
              <w:ind w:left="0" w:right="0"/>
              <w:rPr>
                <w:rFonts w:hint="eastAsia" w:ascii="仿宋_GB2312" w:hAnsi="仿宋_GB2312" w:eastAsia="仿宋_GB2312" w:cs="仿宋_GB2312"/>
                <w:kern w:val="0"/>
                <w:sz w:val="28"/>
                <w:szCs w:val="28"/>
                <w:highlight w:val="none"/>
              </w:rPr>
            </w:pPr>
          </w:p>
          <w:p w14:paraId="4424A28D">
            <w:pPr>
              <w:keepNext w:val="0"/>
              <w:keepLines w:val="0"/>
              <w:widowControl/>
              <w:suppressLineNumbers w:val="0"/>
              <w:spacing w:before="0" w:beforeAutospacing="0" w:after="0" w:afterAutospacing="0" w:line="360" w:lineRule="auto"/>
              <w:ind w:left="0" w:right="0"/>
              <w:rPr>
                <w:rFonts w:hint="eastAsia" w:ascii="仿宋_GB2312" w:hAnsi="仿宋_GB2312" w:eastAsia="仿宋_GB2312" w:cs="仿宋_GB2312"/>
                <w:kern w:val="0"/>
                <w:sz w:val="28"/>
                <w:szCs w:val="28"/>
                <w:highlight w:val="none"/>
              </w:rPr>
            </w:pPr>
          </w:p>
        </w:tc>
      </w:tr>
      <w:tr w14:paraId="46D19711">
        <w:tblPrEx>
          <w:tblCellMar>
            <w:top w:w="0" w:type="dxa"/>
            <w:left w:w="108" w:type="dxa"/>
            <w:bottom w:w="0" w:type="dxa"/>
            <w:right w:w="108" w:type="dxa"/>
          </w:tblCellMar>
        </w:tblPrEx>
        <w:trPr>
          <w:trHeight w:val="2367"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12FA9D34">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粘贴委托代理人身份证明（扫描件</w:t>
            </w:r>
            <w:r>
              <w:rPr>
                <w:rFonts w:hint="eastAsia" w:ascii="仿宋_GB2312" w:hAnsi="仿宋_GB2312" w:eastAsia="仿宋_GB2312" w:cs="仿宋_GB2312"/>
                <w:sz w:val="28"/>
                <w:szCs w:val="28"/>
                <w:highlight w:val="none"/>
              </w:rPr>
              <w:t>或复印件</w:t>
            </w:r>
            <w:r>
              <w:rPr>
                <w:rFonts w:hint="eastAsia" w:ascii="仿宋_GB2312" w:hAnsi="仿宋_GB2312" w:eastAsia="仿宋_GB2312" w:cs="仿宋_GB2312"/>
                <w:kern w:val="0"/>
                <w:sz w:val="28"/>
                <w:szCs w:val="28"/>
                <w:highlight w:val="none"/>
              </w:rPr>
              <w:t>正、反两面）</w:t>
            </w:r>
          </w:p>
        </w:tc>
      </w:tr>
    </w:tbl>
    <w:p w14:paraId="4308FFB8">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宋体" w:hAnsi="宋体"/>
          <w:b/>
          <w:bCs/>
          <w:sz w:val="24"/>
          <w:highlight w:val="none"/>
        </w:rPr>
      </w:pPr>
      <w:r>
        <w:rPr>
          <w:rFonts w:hint="eastAsia" w:ascii="宋体" w:hAnsi="宋体"/>
          <w:b/>
          <w:bCs/>
          <w:sz w:val="24"/>
          <w:highlight w:val="none"/>
        </w:rPr>
        <w:t>注：如报价</w:t>
      </w:r>
      <w:r>
        <w:rPr>
          <w:rFonts w:ascii="宋体" w:hAnsi="宋体"/>
          <w:b/>
          <w:bCs/>
          <w:sz w:val="24"/>
          <w:highlight w:val="none"/>
        </w:rPr>
        <w:t>人</w:t>
      </w:r>
      <w:r>
        <w:rPr>
          <w:rFonts w:hint="eastAsia" w:ascii="宋体" w:hAnsi="宋体"/>
          <w:b/>
          <w:bCs/>
          <w:sz w:val="24"/>
          <w:highlight w:val="none"/>
        </w:rPr>
        <w:t>法定代表人/单位负责人参加询价行为，只需附其身份证复印件、法人代表相关证明等复印件并加盖公章。</w:t>
      </w:r>
    </w:p>
    <w:p w14:paraId="3FB0F95A">
      <w:pPr>
        <w:adjustRightInd w:val="0"/>
        <w:snapToGrid w:val="0"/>
        <w:spacing w:line="480" w:lineRule="exact"/>
        <w:jc w:val="center"/>
        <w:rPr>
          <w:rFonts w:hint="eastAsia" w:eastAsia="黑体"/>
          <w:sz w:val="32"/>
          <w:szCs w:val="32"/>
          <w:highlight w:val="none"/>
        </w:rPr>
      </w:pPr>
      <w:r>
        <w:rPr>
          <w:b/>
          <w:sz w:val="36"/>
          <w:szCs w:val="36"/>
          <w:highlight w:val="none"/>
        </w:rPr>
        <w:br w:type="page"/>
      </w:r>
      <w:bookmarkStart w:id="49" w:name="_Toc7050"/>
      <w:bookmarkStart w:id="50" w:name="_Toc28076"/>
      <w:r>
        <w:rPr>
          <w:rFonts w:hint="eastAsia" w:eastAsia="黑体"/>
          <w:sz w:val="32"/>
          <w:szCs w:val="32"/>
          <w:highlight w:val="none"/>
          <w:lang w:val="en-US" w:eastAsia="zh-CN"/>
        </w:rPr>
        <w:t>二</w:t>
      </w:r>
      <w:r>
        <w:rPr>
          <w:rFonts w:hint="eastAsia" w:eastAsia="黑体"/>
          <w:sz w:val="32"/>
          <w:szCs w:val="32"/>
          <w:highlight w:val="none"/>
        </w:rPr>
        <w:t>、信誉承诺表</w:t>
      </w:r>
    </w:p>
    <w:p w14:paraId="09D82B22">
      <w:pPr>
        <w:ind w:firstLine="480"/>
        <w:rPr>
          <w:highlight w:val="none"/>
        </w:rPr>
      </w:pPr>
    </w:p>
    <w:tbl>
      <w:tblPr>
        <w:tblStyle w:val="16"/>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34AD3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5058EDD1">
            <w:pPr>
              <w:keepNext w:val="0"/>
              <w:keepLines w:val="0"/>
              <w:suppressLineNumbers w:val="0"/>
              <w:adjustRightInd w:val="0"/>
              <w:snapToGrid w:val="0"/>
              <w:spacing w:before="0" w:beforeAutospacing="0" w:after="0" w:afterAutospacing="0" w:line="360" w:lineRule="auto"/>
              <w:ind w:left="0" w:right="0"/>
              <w:jc w:val="center"/>
              <w:rPr>
                <w:rFonts w:hint="default"/>
                <w:szCs w:val="21"/>
                <w:highlight w:val="none"/>
              </w:rPr>
            </w:pPr>
            <w:r>
              <w:rPr>
                <w:rFonts w:hint="eastAsia"/>
                <w:szCs w:val="21"/>
                <w:highlight w:val="none"/>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3614CC92">
            <w:pPr>
              <w:keepNext w:val="0"/>
              <w:keepLines w:val="0"/>
              <w:suppressLineNumbers w:val="0"/>
              <w:adjustRightInd w:val="0"/>
              <w:snapToGrid w:val="0"/>
              <w:spacing w:before="0" w:beforeAutospacing="0" w:after="0" w:afterAutospacing="0" w:line="360" w:lineRule="auto"/>
              <w:ind w:left="0" w:right="0"/>
              <w:jc w:val="center"/>
              <w:rPr>
                <w:rFonts w:hint="default"/>
                <w:szCs w:val="21"/>
                <w:highlight w:val="none"/>
              </w:rPr>
            </w:pPr>
            <w:r>
              <w:rPr>
                <w:rFonts w:hint="eastAsia"/>
                <w:szCs w:val="21"/>
                <w:highlight w:val="none"/>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6299D082">
            <w:pPr>
              <w:keepNext w:val="0"/>
              <w:keepLines w:val="0"/>
              <w:suppressLineNumbers w:val="0"/>
              <w:adjustRightInd w:val="0"/>
              <w:snapToGrid w:val="0"/>
              <w:spacing w:before="0" w:beforeAutospacing="0" w:after="0" w:afterAutospacing="0" w:line="360" w:lineRule="auto"/>
              <w:ind w:left="0" w:right="0"/>
              <w:jc w:val="center"/>
              <w:rPr>
                <w:rFonts w:hint="default"/>
                <w:szCs w:val="21"/>
                <w:highlight w:val="none"/>
              </w:rPr>
            </w:pPr>
            <w:r>
              <w:rPr>
                <w:rFonts w:hint="eastAsia"/>
                <w:szCs w:val="21"/>
                <w:highlight w:val="none"/>
              </w:rPr>
              <w:t>报价人情况说明</w:t>
            </w:r>
          </w:p>
        </w:tc>
      </w:tr>
      <w:tr w14:paraId="3CA7E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CE4424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Cs w:val="21"/>
                <w:highlight w:val="none"/>
              </w:rPr>
            </w:pPr>
            <w:r>
              <w:rPr>
                <w:rFonts w:hint="default"/>
                <w:szCs w:val="21"/>
                <w:highlight w:val="none"/>
              </w:rPr>
              <w:t>1</w:t>
            </w:r>
          </w:p>
        </w:tc>
        <w:tc>
          <w:tcPr>
            <w:tcW w:w="6219" w:type="dxa"/>
            <w:tcBorders>
              <w:top w:val="single" w:color="auto" w:sz="6" w:space="0"/>
              <w:left w:val="single" w:color="auto" w:sz="6" w:space="0"/>
              <w:bottom w:val="single" w:color="auto" w:sz="6" w:space="0"/>
              <w:right w:val="single" w:color="auto" w:sz="6" w:space="0"/>
            </w:tcBorders>
            <w:vAlign w:val="center"/>
          </w:tcPr>
          <w:p w14:paraId="684D8134">
            <w:pPr>
              <w:keepNext w:val="0"/>
              <w:keepLines w:val="0"/>
              <w:suppressLineNumbers w:val="0"/>
              <w:autoSpaceDE w:val="0"/>
              <w:autoSpaceDN w:val="0"/>
              <w:adjustRightInd w:val="0"/>
              <w:snapToGrid w:val="0"/>
              <w:spacing w:before="0" w:beforeAutospacing="0" w:after="0" w:afterAutospacing="0"/>
              <w:ind w:left="0" w:right="0"/>
              <w:rPr>
                <w:rFonts w:hint="default" w:ascii="华文细黑" w:hAnsi="华文细黑"/>
                <w:sz w:val="24"/>
                <w:szCs w:val="26"/>
                <w:highlight w:val="none"/>
              </w:rPr>
            </w:pPr>
            <w:r>
              <w:rPr>
                <w:rFonts w:hint="eastAsia" w:ascii="华文细黑" w:hAnsi="华文细黑"/>
                <w:sz w:val="24"/>
                <w:szCs w:val="26"/>
                <w:highlight w:val="none"/>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5BA7158E">
            <w:pPr>
              <w:keepNext w:val="0"/>
              <w:keepLines w:val="0"/>
              <w:suppressLineNumbers w:val="0"/>
              <w:adjustRightInd w:val="0"/>
              <w:snapToGrid w:val="0"/>
              <w:spacing w:before="0" w:beforeAutospacing="0" w:after="0" w:afterAutospacing="0" w:line="360" w:lineRule="auto"/>
              <w:ind w:left="0" w:right="0"/>
              <w:rPr>
                <w:rFonts w:hint="default"/>
                <w:szCs w:val="21"/>
                <w:highlight w:val="none"/>
              </w:rPr>
            </w:pPr>
          </w:p>
        </w:tc>
      </w:tr>
      <w:tr w14:paraId="5D498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06111F28">
            <w:pPr>
              <w:keepNext w:val="0"/>
              <w:keepLines w:val="0"/>
              <w:suppressLineNumbers w:val="0"/>
              <w:adjustRightInd w:val="0"/>
              <w:snapToGrid w:val="0"/>
              <w:spacing w:before="0" w:beforeAutospacing="0" w:after="0" w:afterAutospacing="0" w:line="360" w:lineRule="auto"/>
              <w:ind w:left="0" w:right="0"/>
              <w:jc w:val="center"/>
              <w:rPr>
                <w:rFonts w:hint="default"/>
                <w:szCs w:val="21"/>
                <w:highlight w:val="none"/>
              </w:rPr>
            </w:pPr>
            <w:r>
              <w:rPr>
                <w:rFonts w:hint="default"/>
                <w:szCs w:val="21"/>
                <w:highlight w:val="none"/>
              </w:rPr>
              <w:t>2</w:t>
            </w:r>
          </w:p>
        </w:tc>
        <w:tc>
          <w:tcPr>
            <w:tcW w:w="6219" w:type="dxa"/>
            <w:tcBorders>
              <w:top w:val="single" w:color="auto" w:sz="6" w:space="0"/>
              <w:left w:val="single" w:color="auto" w:sz="6" w:space="0"/>
              <w:bottom w:val="single" w:color="auto" w:sz="6" w:space="0"/>
              <w:right w:val="single" w:color="auto" w:sz="6" w:space="0"/>
            </w:tcBorders>
            <w:vAlign w:val="center"/>
          </w:tcPr>
          <w:p w14:paraId="600936F3">
            <w:pPr>
              <w:keepNext w:val="0"/>
              <w:keepLines w:val="0"/>
              <w:suppressLineNumbers w:val="0"/>
              <w:autoSpaceDE w:val="0"/>
              <w:autoSpaceDN w:val="0"/>
              <w:adjustRightInd w:val="0"/>
              <w:snapToGrid w:val="0"/>
              <w:spacing w:before="0" w:beforeAutospacing="0" w:after="0" w:afterAutospacing="0"/>
              <w:ind w:left="0" w:right="0"/>
              <w:rPr>
                <w:rFonts w:hint="default" w:ascii="华文细黑" w:hAnsi="华文细黑"/>
                <w:sz w:val="24"/>
                <w:szCs w:val="26"/>
                <w:highlight w:val="none"/>
              </w:rPr>
            </w:pPr>
            <w:r>
              <w:rPr>
                <w:rFonts w:hint="eastAsia" w:ascii="华文细黑" w:hAnsi="华文细黑"/>
                <w:szCs w:val="26"/>
                <w:highlight w:val="none"/>
              </w:rPr>
              <w:t>是否</w:t>
            </w:r>
            <w:r>
              <w:rPr>
                <w:rFonts w:hint="eastAsia" w:ascii="华文细黑" w:hAnsi="华文细黑"/>
                <w:sz w:val="24"/>
                <w:szCs w:val="26"/>
                <w:highlight w:val="none"/>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49CB45D3">
            <w:pPr>
              <w:keepNext w:val="0"/>
              <w:keepLines w:val="0"/>
              <w:suppressLineNumbers w:val="0"/>
              <w:adjustRightInd w:val="0"/>
              <w:snapToGrid w:val="0"/>
              <w:spacing w:before="0" w:beforeAutospacing="0" w:after="0" w:afterAutospacing="0" w:line="360" w:lineRule="auto"/>
              <w:ind w:left="0" w:right="0"/>
              <w:rPr>
                <w:rFonts w:hint="default"/>
                <w:szCs w:val="21"/>
                <w:highlight w:val="none"/>
              </w:rPr>
            </w:pPr>
          </w:p>
        </w:tc>
      </w:tr>
      <w:tr w14:paraId="6CFD8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3DCF3979">
            <w:pPr>
              <w:keepNext w:val="0"/>
              <w:keepLines w:val="0"/>
              <w:suppressLineNumbers w:val="0"/>
              <w:adjustRightInd w:val="0"/>
              <w:snapToGrid w:val="0"/>
              <w:spacing w:before="0" w:beforeAutospacing="0" w:after="0" w:afterAutospacing="0" w:line="360" w:lineRule="auto"/>
              <w:ind w:left="0" w:right="0"/>
              <w:jc w:val="center"/>
              <w:rPr>
                <w:rFonts w:hint="default"/>
                <w:szCs w:val="21"/>
                <w:highlight w:val="none"/>
              </w:rPr>
            </w:pPr>
            <w:r>
              <w:rPr>
                <w:rFonts w:hint="default"/>
                <w:szCs w:val="21"/>
                <w:highlight w:val="none"/>
              </w:rPr>
              <w:t>3</w:t>
            </w:r>
          </w:p>
        </w:tc>
        <w:tc>
          <w:tcPr>
            <w:tcW w:w="6219" w:type="dxa"/>
            <w:tcBorders>
              <w:top w:val="single" w:color="auto" w:sz="6" w:space="0"/>
              <w:left w:val="single" w:color="auto" w:sz="6" w:space="0"/>
              <w:bottom w:val="single" w:color="auto" w:sz="6" w:space="0"/>
              <w:right w:val="single" w:color="auto" w:sz="6" w:space="0"/>
            </w:tcBorders>
            <w:vAlign w:val="center"/>
          </w:tcPr>
          <w:p w14:paraId="29829527">
            <w:pPr>
              <w:keepNext w:val="0"/>
              <w:keepLines w:val="0"/>
              <w:suppressLineNumbers w:val="0"/>
              <w:autoSpaceDE w:val="0"/>
              <w:autoSpaceDN w:val="0"/>
              <w:adjustRightInd w:val="0"/>
              <w:snapToGrid w:val="0"/>
              <w:spacing w:before="0" w:beforeAutospacing="0" w:after="0" w:afterAutospacing="0"/>
              <w:ind w:left="0" w:right="0"/>
              <w:rPr>
                <w:rFonts w:hint="default" w:ascii="华文细黑" w:hAnsi="华文细黑"/>
                <w:sz w:val="24"/>
                <w:szCs w:val="26"/>
                <w:highlight w:val="none"/>
              </w:rPr>
            </w:pPr>
            <w:r>
              <w:rPr>
                <w:rFonts w:hint="eastAsia" w:ascii="华文细黑" w:hAnsi="华文细黑"/>
                <w:szCs w:val="26"/>
                <w:highlight w:val="none"/>
              </w:rPr>
              <w:t>是否</w:t>
            </w:r>
            <w:r>
              <w:rPr>
                <w:rFonts w:hint="eastAsia" w:ascii="华文细黑" w:hAnsi="华文细黑"/>
                <w:sz w:val="24"/>
                <w:szCs w:val="26"/>
                <w:highlight w:val="none"/>
              </w:rPr>
              <w:t>在国家企业信用信息公示系统</w:t>
            </w:r>
            <w:r>
              <w:rPr>
                <w:rFonts w:hint="default"/>
                <w:highlight w:val="none"/>
              </w:rPr>
              <w:fldChar w:fldCharType="begin"/>
            </w:r>
            <w:r>
              <w:rPr>
                <w:rFonts w:hint="default"/>
                <w:highlight w:val="none"/>
              </w:rPr>
              <w:instrText xml:space="preserve"> HYPERLINK "http://www.gsxt.gov.cn/" </w:instrText>
            </w:r>
            <w:r>
              <w:rPr>
                <w:rFonts w:hint="default"/>
                <w:highlight w:val="none"/>
              </w:rPr>
              <w:fldChar w:fldCharType="separate"/>
            </w:r>
            <w:r>
              <w:rPr>
                <w:rStyle w:val="20"/>
                <w:rFonts w:hint="eastAsia" w:ascii="华文细黑" w:hAnsi="华文细黑"/>
                <w:color w:val="auto"/>
                <w:sz w:val="24"/>
                <w:szCs w:val="26"/>
                <w:highlight w:val="none"/>
              </w:rPr>
              <w:t>（http://www.gsxt.gov.cn</w:t>
            </w:r>
            <w:r>
              <w:rPr>
                <w:rStyle w:val="20"/>
                <w:rFonts w:hint="eastAsia" w:ascii="华文细黑" w:hAnsi="华文细黑"/>
                <w:color w:val="auto"/>
                <w:sz w:val="24"/>
                <w:szCs w:val="26"/>
                <w:highlight w:val="none"/>
              </w:rPr>
              <w:fldChar w:fldCharType="end"/>
            </w:r>
            <w:r>
              <w:rPr>
                <w:rFonts w:hint="eastAsia" w:ascii="华文细黑" w:hAnsi="华文细黑"/>
                <w:sz w:val="24"/>
                <w:szCs w:val="26"/>
                <w:highlight w:val="none"/>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3BED8825">
            <w:pPr>
              <w:keepNext w:val="0"/>
              <w:keepLines w:val="0"/>
              <w:suppressLineNumbers w:val="0"/>
              <w:adjustRightInd w:val="0"/>
              <w:snapToGrid w:val="0"/>
              <w:spacing w:before="0" w:beforeAutospacing="0" w:after="0" w:afterAutospacing="0" w:line="360" w:lineRule="auto"/>
              <w:ind w:left="0" w:right="0"/>
              <w:rPr>
                <w:rFonts w:hint="default"/>
                <w:szCs w:val="21"/>
                <w:highlight w:val="none"/>
              </w:rPr>
            </w:pPr>
          </w:p>
        </w:tc>
      </w:tr>
      <w:tr w14:paraId="7AAC7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77321106">
            <w:pPr>
              <w:keepNext w:val="0"/>
              <w:keepLines w:val="0"/>
              <w:suppressLineNumbers w:val="0"/>
              <w:adjustRightInd w:val="0"/>
              <w:snapToGrid w:val="0"/>
              <w:spacing w:before="0" w:beforeAutospacing="0" w:after="0" w:afterAutospacing="0" w:line="360" w:lineRule="auto"/>
              <w:ind w:left="0" w:right="0"/>
              <w:jc w:val="center"/>
              <w:rPr>
                <w:rFonts w:hint="default"/>
                <w:szCs w:val="21"/>
                <w:highlight w:val="none"/>
              </w:rPr>
            </w:pPr>
            <w:r>
              <w:rPr>
                <w:rFonts w:hint="default"/>
                <w:szCs w:val="21"/>
                <w:highlight w:val="none"/>
              </w:rPr>
              <w:t>4</w:t>
            </w:r>
          </w:p>
        </w:tc>
        <w:tc>
          <w:tcPr>
            <w:tcW w:w="6219" w:type="dxa"/>
            <w:tcBorders>
              <w:top w:val="single" w:color="auto" w:sz="6" w:space="0"/>
              <w:left w:val="single" w:color="auto" w:sz="6" w:space="0"/>
              <w:bottom w:val="single" w:color="auto" w:sz="6" w:space="0"/>
              <w:right w:val="single" w:color="auto" w:sz="6" w:space="0"/>
            </w:tcBorders>
            <w:vAlign w:val="center"/>
          </w:tcPr>
          <w:p w14:paraId="05F994EC">
            <w:pPr>
              <w:keepNext w:val="0"/>
              <w:keepLines w:val="0"/>
              <w:suppressLineNumbers w:val="0"/>
              <w:autoSpaceDE w:val="0"/>
              <w:autoSpaceDN w:val="0"/>
              <w:adjustRightInd w:val="0"/>
              <w:snapToGrid w:val="0"/>
              <w:spacing w:before="0" w:beforeAutospacing="0" w:after="0" w:afterAutospacing="0"/>
              <w:ind w:left="0" w:right="0"/>
              <w:rPr>
                <w:rFonts w:hint="default" w:ascii="华文细黑" w:hAnsi="华文细黑"/>
                <w:sz w:val="24"/>
                <w:szCs w:val="26"/>
                <w:highlight w:val="none"/>
              </w:rPr>
            </w:pPr>
            <w:r>
              <w:rPr>
                <w:rFonts w:hint="eastAsia" w:ascii="华文细黑" w:hAnsi="华文细黑"/>
                <w:szCs w:val="26"/>
                <w:highlight w:val="none"/>
              </w:rPr>
              <w:t>是否</w:t>
            </w:r>
            <w:r>
              <w:rPr>
                <w:rFonts w:hint="eastAsia" w:ascii="华文细黑" w:hAnsi="华文细黑"/>
                <w:sz w:val="24"/>
                <w:szCs w:val="26"/>
                <w:highlight w:val="none"/>
              </w:rPr>
              <w:t>在“信用中国”网站（</w:t>
            </w:r>
            <w:r>
              <w:rPr>
                <w:rFonts w:hint="default"/>
                <w:highlight w:val="none"/>
              </w:rPr>
              <w:fldChar w:fldCharType="begin"/>
            </w:r>
            <w:r>
              <w:rPr>
                <w:rFonts w:hint="default"/>
                <w:highlight w:val="none"/>
              </w:rPr>
              <w:instrText xml:space="preserve"> HYPERLINK "http://www.creditchina.gov.cn/" </w:instrText>
            </w:r>
            <w:r>
              <w:rPr>
                <w:rFonts w:hint="default"/>
                <w:highlight w:val="none"/>
              </w:rPr>
              <w:fldChar w:fldCharType="separate"/>
            </w:r>
            <w:r>
              <w:rPr>
                <w:rStyle w:val="20"/>
                <w:rFonts w:hint="eastAsia" w:ascii="华文细黑" w:hAnsi="华文细黑"/>
                <w:color w:val="auto"/>
                <w:sz w:val="24"/>
                <w:szCs w:val="26"/>
                <w:highlight w:val="none"/>
              </w:rPr>
              <w:t>http://www.creditchina.gov.cn</w:t>
            </w:r>
            <w:r>
              <w:rPr>
                <w:rStyle w:val="20"/>
                <w:rFonts w:hint="eastAsia" w:ascii="华文细黑" w:hAnsi="华文细黑"/>
                <w:color w:val="auto"/>
                <w:sz w:val="24"/>
                <w:szCs w:val="26"/>
                <w:highlight w:val="none"/>
              </w:rPr>
              <w:fldChar w:fldCharType="end"/>
            </w:r>
            <w:r>
              <w:rPr>
                <w:rFonts w:hint="eastAsia" w:ascii="华文细黑" w:hAnsi="华文细黑"/>
                <w:sz w:val="24"/>
                <w:szCs w:val="26"/>
                <w:highlight w:val="none"/>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14:paraId="1DD02E11">
            <w:pPr>
              <w:keepNext w:val="0"/>
              <w:keepLines w:val="0"/>
              <w:suppressLineNumbers w:val="0"/>
              <w:adjustRightInd w:val="0"/>
              <w:snapToGrid w:val="0"/>
              <w:spacing w:before="0" w:beforeAutospacing="0" w:after="0" w:afterAutospacing="0" w:line="360" w:lineRule="auto"/>
              <w:ind w:left="0" w:right="0"/>
              <w:rPr>
                <w:rFonts w:hint="default"/>
                <w:szCs w:val="21"/>
                <w:highlight w:val="none"/>
              </w:rPr>
            </w:pPr>
          </w:p>
        </w:tc>
      </w:tr>
      <w:tr w14:paraId="5DF14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1F5F835E">
            <w:pPr>
              <w:keepNext w:val="0"/>
              <w:keepLines w:val="0"/>
              <w:suppressLineNumbers w:val="0"/>
              <w:adjustRightInd w:val="0"/>
              <w:snapToGrid w:val="0"/>
              <w:spacing w:before="0" w:beforeAutospacing="0" w:after="0" w:afterAutospacing="0" w:line="360" w:lineRule="auto"/>
              <w:ind w:left="0" w:right="0"/>
              <w:jc w:val="center"/>
              <w:rPr>
                <w:rFonts w:hint="default"/>
                <w:szCs w:val="21"/>
                <w:highlight w:val="none"/>
              </w:rPr>
            </w:pPr>
            <w:r>
              <w:rPr>
                <w:rFonts w:hint="eastAsia"/>
                <w:szCs w:val="21"/>
                <w:highlight w:val="none"/>
              </w:rPr>
              <w:t>5</w:t>
            </w:r>
          </w:p>
        </w:tc>
        <w:tc>
          <w:tcPr>
            <w:tcW w:w="6219" w:type="dxa"/>
            <w:tcBorders>
              <w:top w:val="single" w:color="auto" w:sz="6" w:space="0"/>
              <w:left w:val="single" w:color="auto" w:sz="6" w:space="0"/>
              <w:bottom w:val="single" w:color="auto" w:sz="12" w:space="0"/>
              <w:right w:val="single" w:color="auto" w:sz="6" w:space="0"/>
            </w:tcBorders>
            <w:vAlign w:val="center"/>
          </w:tcPr>
          <w:p w14:paraId="5958F3E5">
            <w:pPr>
              <w:keepNext w:val="0"/>
              <w:keepLines w:val="0"/>
              <w:suppressLineNumbers w:val="0"/>
              <w:autoSpaceDE w:val="0"/>
              <w:autoSpaceDN w:val="0"/>
              <w:adjustRightInd w:val="0"/>
              <w:snapToGrid w:val="0"/>
              <w:spacing w:before="0" w:beforeAutospacing="0" w:after="0" w:afterAutospacing="0"/>
              <w:ind w:left="0" w:right="0"/>
              <w:rPr>
                <w:rFonts w:hint="default" w:ascii="华文细黑" w:hAnsi="华文细黑"/>
                <w:szCs w:val="26"/>
                <w:highlight w:val="none"/>
              </w:rPr>
            </w:pPr>
            <w:r>
              <w:rPr>
                <w:rFonts w:hint="eastAsia" w:ascii="华文细黑" w:hAnsi="华文细黑"/>
                <w:sz w:val="24"/>
                <w:szCs w:val="26"/>
                <w:highlight w:val="none"/>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14:paraId="285AE0A0">
            <w:pPr>
              <w:keepNext w:val="0"/>
              <w:keepLines w:val="0"/>
              <w:suppressLineNumbers w:val="0"/>
              <w:adjustRightInd w:val="0"/>
              <w:snapToGrid w:val="0"/>
              <w:spacing w:before="0" w:beforeAutospacing="0" w:after="0" w:afterAutospacing="0" w:line="360" w:lineRule="auto"/>
              <w:ind w:left="0" w:right="0"/>
              <w:rPr>
                <w:rFonts w:hint="default"/>
                <w:szCs w:val="21"/>
                <w:highlight w:val="none"/>
              </w:rPr>
            </w:pPr>
          </w:p>
        </w:tc>
      </w:tr>
    </w:tbl>
    <w:p w14:paraId="46CDB8CD">
      <w:pPr>
        <w:jc w:val="left"/>
        <w:rPr>
          <w:sz w:val="24"/>
          <w:highlight w:val="none"/>
        </w:rPr>
      </w:pPr>
      <w:r>
        <w:rPr>
          <w:sz w:val="24"/>
          <w:highlight w:val="none"/>
        </w:rPr>
        <w:t>注：1.</w:t>
      </w:r>
      <w:r>
        <w:rPr>
          <w:rFonts w:hint="eastAsia"/>
          <w:sz w:val="24"/>
          <w:highlight w:val="none"/>
        </w:rPr>
        <w:t>报价人情况说明请填写“是”或“否”。</w:t>
      </w:r>
    </w:p>
    <w:p w14:paraId="58249F5C">
      <w:pPr>
        <w:ind w:left="479" w:leftChars="228"/>
        <w:rPr>
          <w:sz w:val="24"/>
          <w:highlight w:val="none"/>
        </w:rPr>
      </w:pPr>
      <w:r>
        <w:rPr>
          <w:sz w:val="24"/>
          <w:highlight w:val="none"/>
        </w:rPr>
        <w:t>2.</w:t>
      </w:r>
      <w:r>
        <w:rPr>
          <w:rFonts w:hint="eastAsia"/>
          <w:sz w:val="24"/>
          <w:highlight w:val="none"/>
        </w:rPr>
        <w:t>报价</w:t>
      </w:r>
      <w:r>
        <w:rPr>
          <w:sz w:val="24"/>
          <w:highlight w:val="none"/>
        </w:rPr>
        <w:t>人应如实填写本表，如隐瞒真实情况，一旦发现</w:t>
      </w:r>
      <w:r>
        <w:rPr>
          <w:rFonts w:hint="eastAsia"/>
          <w:sz w:val="24"/>
          <w:highlight w:val="none"/>
        </w:rPr>
        <w:t>询价人有权</w:t>
      </w:r>
      <w:r>
        <w:rPr>
          <w:sz w:val="24"/>
          <w:highlight w:val="none"/>
        </w:rPr>
        <w:t>取消其</w:t>
      </w:r>
      <w:r>
        <w:rPr>
          <w:rFonts w:hint="eastAsia"/>
          <w:sz w:val="24"/>
          <w:highlight w:val="none"/>
        </w:rPr>
        <w:t>中选</w:t>
      </w:r>
      <w:r>
        <w:rPr>
          <w:sz w:val="24"/>
          <w:highlight w:val="none"/>
        </w:rPr>
        <w:t>资格</w:t>
      </w:r>
      <w:r>
        <w:rPr>
          <w:rFonts w:hint="eastAsia"/>
          <w:sz w:val="24"/>
          <w:highlight w:val="none"/>
        </w:rPr>
        <w:t>，并没收其询价保证金。</w:t>
      </w:r>
    </w:p>
    <w:p w14:paraId="4D85B739">
      <w:pPr>
        <w:pStyle w:val="3"/>
        <w:spacing w:before="0" w:after="0" w:line="240" w:lineRule="auto"/>
        <w:ind w:left="479" w:leftChars="228"/>
        <w:rPr>
          <w:rFonts w:ascii="宋体" w:hAnsi="宋体"/>
          <w:sz w:val="24"/>
          <w:highlight w:val="none"/>
        </w:rPr>
      </w:pPr>
      <w:r>
        <w:rPr>
          <w:rFonts w:hint="eastAsia"/>
          <w:b w:val="0"/>
          <w:sz w:val="24"/>
          <w:highlight w:val="none"/>
        </w:rPr>
        <w:t>3.询价人有权核查报价人在</w:t>
      </w:r>
      <w:r>
        <w:rPr>
          <w:rFonts w:hint="eastAsia"/>
          <w:b w:val="0"/>
          <w:sz w:val="24"/>
          <w:highlight w:val="none"/>
          <w:lang w:eastAsia="zh-CN"/>
        </w:rPr>
        <w:t>响应文件</w:t>
      </w:r>
      <w:r>
        <w:rPr>
          <w:rFonts w:hint="eastAsia"/>
          <w:b w:val="0"/>
          <w:sz w:val="24"/>
          <w:highlight w:val="none"/>
        </w:rPr>
        <w:t>中提供的资料，若在评审期间发现报价人提供了虚假资料，其报价将被否决并没收其询价保证金；若在签订合同前发现第一成交候选人提供了虚假资料，</w:t>
      </w:r>
      <w:r>
        <w:rPr>
          <w:rFonts w:hint="eastAsia" w:ascii="宋体" w:hAnsi="宋体"/>
          <w:b w:val="0"/>
          <w:bCs/>
          <w:sz w:val="24"/>
          <w:highlight w:val="none"/>
        </w:rPr>
        <w:t>或提供低于询价文件要求的相应资料</w:t>
      </w:r>
      <w:r>
        <w:rPr>
          <w:rFonts w:hint="eastAsia" w:ascii="宋体" w:hAnsi="宋体"/>
          <w:sz w:val="24"/>
          <w:highlight w:val="none"/>
        </w:rPr>
        <w:t>，</w:t>
      </w:r>
      <w:r>
        <w:rPr>
          <w:rFonts w:hint="eastAsia"/>
          <w:b w:val="0"/>
          <w:sz w:val="24"/>
          <w:highlight w:val="none"/>
        </w:rPr>
        <w:t>询价人有权取消其中选资格并没收其询价保证金；若在合同实施期间发现中选人提供了虚假资料，询价人有权从服务费中扣除10%签约合同价的金额作为违约金。同时询价人有权将报价人上述弄虚作假行为上报相关主管部门,作为不良记录纳入相应市场信用信息管理系统。</w:t>
      </w:r>
    </w:p>
    <w:p w14:paraId="7B81EB95">
      <w:pPr>
        <w:tabs>
          <w:tab w:val="left" w:pos="7460"/>
          <w:tab w:val="left" w:pos="8080"/>
          <w:tab w:val="left" w:pos="8800"/>
        </w:tabs>
        <w:autoSpaceDE w:val="0"/>
        <w:autoSpaceDN w:val="0"/>
        <w:adjustRightInd w:val="0"/>
        <w:spacing w:line="360" w:lineRule="auto"/>
        <w:ind w:left="3641" w:right="61"/>
        <w:rPr>
          <w:rFonts w:ascii="宋体" w:hAnsi="宋体"/>
          <w:sz w:val="24"/>
          <w:highlight w:val="none"/>
        </w:rPr>
      </w:pPr>
    </w:p>
    <w:p w14:paraId="405AFD32">
      <w:pPr>
        <w:pStyle w:val="24"/>
        <w:rPr>
          <w:highlight w:val="none"/>
        </w:rPr>
      </w:pPr>
    </w:p>
    <w:p w14:paraId="2BA8E8EF">
      <w:pPr>
        <w:pStyle w:val="24"/>
        <w:rPr>
          <w:highlight w:val="none"/>
        </w:rPr>
      </w:pPr>
    </w:p>
    <w:p w14:paraId="58B891F0">
      <w:pPr>
        <w:tabs>
          <w:tab w:val="left" w:pos="7460"/>
          <w:tab w:val="left" w:pos="8080"/>
          <w:tab w:val="left" w:pos="8800"/>
        </w:tabs>
        <w:autoSpaceDE w:val="0"/>
        <w:autoSpaceDN w:val="0"/>
        <w:adjustRightInd w:val="0"/>
        <w:spacing w:line="360" w:lineRule="auto"/>
        <w:ind w:left="3641" w:right="61"/>
        <w:rPr>
          <w:rFonts w:ascii="宋体" w:hAnsi="宋体"/>
          <w:sz w:val="24"/>
          <w:highlight w:val="none"/>
        </w:rPr>
      </w:pPr>
      <w:r>
        <w:rPr>
          <w:rFonts w:hint="eastAsia" w:ascii="宋体" w:hAnsi="宋体"/>
          <w:sz w:val="24"/>
          <w:highlight w:val="none"/>
        </w:rPr>
        <w:t>承诺人：</w:t>
      </w:r>
      <w:r>
        <w:rPr>
          <w:rFonts w:hint="eastAsia" w:ascii="宋体" w:hAnsi="宋体"/>
          <w:sz w:val="24"/>
          <w:highlight w:val="none"/>
          <w:u w:val="single"/>
        </w:rPr>
        <w:t xml:space="preserve">                         </w:t>
      </w:r>
      <w:r>
        <w:rPr>
          <w:rFonts w:hint="eastAsia" w:ascii="宋体" w:hAnsi="宋体"/>
          <w:sz w:val="24"/>
          <w:highlight w:val="none"/>
        </w:rPr>
        <w:t>(盖</w:t>
      </w:r>
      <w:r>
        <w:rPr>
          <w:rFonts w:hint="eastAsia" w:ascii="宋体" w:hAnsi="宋体"/>
          <w:spacing w:val="-1"/>
          <w:sz w:val="24"/>
          <w:highlight w:val="none"/>
        </w:rPr>
        <w:t>单</w:t>
      </w:r>
      <w:r>
        <w:rPr>
          <w:rFonts w:hint="eastAsia" w:ascii="宋体" w:hAnsi="宋体"/>
          <w:sz w:val="24"/>
          <w:highlight w:val="none"/>
        </w:rPr>
        <w:t xml:space="preserve">位章) </w:t>
      </w:r>
    </w:p>
    <w:p w14:paraId="10788C17">
      <w:pPr>
        <w:tabs>
          <w:tab w:val="left" w:pos="7460"/>
          <w:tab w:val="left" w:pos="8080"/>
          <w:tab w:val="left" w:pos="8800"/>
        </w:tabs>
        <w:autoSpaceDE w:val="0"/>
        <w:autoSpaceDN w:val="0"/>
        <w:adjustRightInd w:val="0"/>
        <w:spacing w:line="360" w:lineRule="auto"/>
        <w:ind w:left="3641" w:right="61"/>
        <w:rPr>
          <w:rFonts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rPr>
        <w:t>(</w:t>
      </w:r>
      <w:r>
        <w:rPr>
          <w:rFonts w:hint="eastAsia" w:ascii="宋体" w:hAnsi="宋体"/>
          <w:spacing w:val="-1"/>
          <w:sz w:val="24"/>
          <w:highlight w:val="none"/>
        </w:rPr>
        <w:t>签</w:t>
      </w:r>
      <w:r>
        <w:rPr>
          <w:rFonts w:hint="eastAsia" w:ascii="宋体" w:hAnsi="宋体"/>
          <w:sz w:val="24"/>
          <w:highlight w:val="none"/>
        </w:rPr>
        <w:t xml:space="preserve">字) </w:t>
      </w:r>
    </w:p>
    <w:p w14:paraId="0AD9B084">
      <w:pPr>
        <w:ind w:firstLine="3720" w:firstLineChars="1550"/>
        <w:rPr>
          <w:rFonts w:eastAsia="黑体"/>
          <w:sz w:val="30"/>
          <w:szCs w:val="30"/>
          <w:highlight w:val="none"/>
        </w:rPr>
      </w:pPr>
      <w:r>
        <w:rPr>
          <w:rFonts w:hint="eastAsia" w:ascii="宋体" w:hAnsi="宋体"/>
          <w:sz w:val="24"/>
          <w:highlight w:val="none"/>
        </w:rPr>
        <w:t>承诺时间：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AD09F06">
      <w:pPr>
        <w:rPr>
          <w:rFonts w:ascii="宋体" w:hAnsi="宋体"/>
          <w:b/>
          <w:bCs/>
          <w:sz w:val="24"/>
          <w:highlight w:val="none"/>
        </w:rPr>
      </w:pPr>
      <w:r>
        <w:rPr>
          <w:rFonts w:ascii="宋体" w:hAnsi="宋体"/>
          <w:b/>
          <w:bCs/>
          <w:sz w:val="24"/>
          <w:highlight w:val="none"/>
        </w:rPr>
        <w:br w:type="page"/>
      </w:r>
    </w:p>
    <w:p w14:paraId="483B5A1A">
      <w:pPr>
        <w:jc w:val="center"/>
        <w:rPr>
          <w:rFonts w:ascii="宋体" w:hAnsi="宋体"/>
          <w:b/>
          <w:bCs/>
          <w:sz w:val="24"/>
          <w:highlight w:val="none"/>
        </w:rPr>
      </w:pPr>
    </w:p>
    <w:p w14:paraId="6B142905">
      <w:pPr>
        <w:adjustRightInd w:val="0"/>
        <w:snapToGrid w:val="0"/>
        <w:spacing w:line="480" w:lineRule="exact"/>
        <w:jc w:val="center"/>
        <w:rPr>
          <w:rFonts w:hint="eastAsia" w:eastAsia="黑体"/>
          <w:sz w:val="32"/>
          <w:szCs w:val="32"/>
          <w:highlight w:val="none"/>
        </w:rPr>
      </w:pPr>
      <w:r>
        <w:rPr>
          <w:rFonts w:hint="eastAsia" w:eastAsia="黑体"/>
          <w:sz w:val="32"/>
          <w:szCs w:val="32"/>
          <w:highlight w:val="none"/>
        </w:rPr>
        <w:t xml:space="preserve"> </w:t>
      </w:r>
      <w:r>
        <w:rPr>
          <w:rFonts w:hint="eastAsia" w:eastAsia="黑体"/>
          <w:sz w:val="32"/>
          <w:szCs w:val="32"/>
          <w:highlight w:val="none"/>
          <w:lang w:val="en-US" w:eastAsia="zh-CN"/>
        </w:rPr>
        <w:t>三</w:t>
      </w:r>
      <w:r>
        <w:rPr>
          <w:rFonts w:hint="eastAsia" w:eastAsia="黑体"/>
          <w:sz w:val="32"/>
          <w:szCs w:val="32"/>
          <w:highlight w:val="none"/>
        </w:rPr>
        <w:t xml:space="preserve">、 </w:t>
      </w:r>
      <w:r>
        <w:rPr>
          <w:rFonts w:hint="eastAsia" w:eastAsia="黑体"/>
          <w:sz w:val="32"/>
          <w:szCs w:val="32"/>
          <w:highlight w:val="none"/>
          <w:lang w:val="en-US" w:eastAsia="zh-CN"/>
        </w:rPr>
        <w:t>报价人营业执照或事业单位法人证书</w:t>
      </w:r>
      <w:r>
        <w:rPr>
          <w:rFonts w:hint="eastAsia" w:eastAsia="黑体"/>
          <w:sz w:val="32"/>
          <w:szCs w:val="32"/>
          <w:highlight w:val="none"/>
        </w:rPr>
        <w:t>、业绩证明材料</w:t>
      </w:r>
    </w:p>
    <w:p w14:paraId="56DAFE8B">
      <w:pPr>
        <w:jc w:val="both"/>
        <w:rPr>
          <w:rFonts w:hint="eastAsia" w:ascii="黑体" w:hAnsi="黑体" w:eastAsia="黑体"/>
          <w:b/>
          <w:bCs w:val="0"/>
          <w:sz w:val="32"/>
          <w:szCs w:val="30"/>
          <w:highlight w:val="none"/>
        </w:rPr>
      </w:pPr>
    </w:p>
    <w:p w14:paraId="359B2211">
      <w:pPr>
        <w:keepNext w:val="0"/>
        <w:keepLines w:val="0"/>
        <w:pageBreakBefore w:val="0"/>
        <w:widowControl w:val="0"/>
        <w:numPr>
          <w:ilvl w:val="0"/>
          <w:numId w:val="11"/>
        </w:numPr>
        <w:kinsoku/>
        <w:wordWrap/>
        <w:overflowPunct/>
        <w:topLinePunct w:val="0"/>
        <w:autoSpaceDE/>
        <w:autoSpaceDN/>
        <w:bidi w:val="0"/>
        <w:adjustRightInd/>
        <w:snapToGrid/>
        <w:spacing w:after="157" w:afterLines="50"/>
        <w:ind w:firstLine="482" w:firstLineChars="200"/>
        <w:jc w:val="both"/>
        <w:textAlignment w:val="auto"/>
        <w:rPr>
          <w:rFonts w:hint="eastAsia" w:asciiTheme="minorEastAsia" w:hAnsiTheme="minorEastAsia" w:eastAsiaTheme="minorEastAsia" w:cstheme="minorEastAsia"/>
          <w:b/>
          <w:bCs w:val="0"/>
          <w:sz w:val="24"/>
          <w:highlight w:val="none"/>
          <w:lang w:val="en-US" w:eastAsia="zh-CN"/>
        </w:rPr>
      </w:pPr>
      <w:r>
        <w:rPr>
          <w:rFonts w:hint="eastAsia" w:asciiTheme="minorEastAsia" w:hAnsiTheme="minorEastAsia" w:eastAsiaTheme="minorEastAsia" w:cstheme="minorEastAsia"/>
          <w:b/>
          <w:bCs w:val="0"/>
          <w:sz w:val="24"/>
          <w:highlight w:val="none"/>
          <w:lang w:val="en-US" w:eastAsia="zh-CN"/>
        </w:rPr>
        <w:t>报价人资质要求相关证明材料：</w:t>
      </w:r>
    </w:p>
    <w:p w14:paraId="7CFB364F">
      <w:pPr>
        <w:keepNext w:val="0"/>
        <w:keepLines w:val="0"/>
        <w:pageBreakBefore w:val="0"/>
        <w:widowControl w:val="0"/>
        <w:numPr>
          <w:ilvl w:val="0"/>
          <w:numId w:val="12"/>
        </w:numPr>
        <w:kinsoku/>
        <w:wordWrap/>
        <w:overflowPunct/>
        <w:topLinePunct w:val="0"/>
        <w:autoSpaceDE/>
        <w:autoSpaceDN/>
        <w:bidi w:val="0"/>
        <w:adjustRightInd/>
        <w:snapToGrid/>
        <w:spacing w:after="157" w:afterLines="50"/>
        <w:ind w:firstLine="482" w:firstLineChars="200"/>
        <w:jc w:val="both"/>
        <w:textAlignment w:val="auto"/>
        <w:rPr>
          <w:rFonts w:hint="eastAsia" w:asciiTheme="minorEastAsia" w:hAnsiTheme="minorEastAsia" w:eastAsiaTheme="minorEastAsia" w:cstheme="minorEastAsia"/>
          <w:b/>
          <w:bCs w:val="0"/>
          <w:sz w:val="24"/>
          <w:highlight w:val="none"/>
        </w:rPr>
      </w:pPr>
      <w:r>
        <w:rPr>
          <w:rFonts w:hint="eastAsia" w:asciiTheme="minorEastAsia" w:hAnsiTheme="minorEastAsia" w:cstheme="minorEastAsia"/>
          <w:b/>
          <w:bCs w:val="0"/>
          <w:sz w:val="24"/>
          <w:highlight w:val="none"/>
          <w:lang w:val="en-US" w:eastAsia="zh-CN"/>
        </w:rPr>
        <w:t>报价人若为企业的，</w:t>
      </w:r>
      <w:r>
        <w:rPr>
          <w:rFonts w:hint="eastAsia" w:asciiTheme="minorEastAsia" w:hAnsiTheme="minorEastAsia" w:eastAsiaTheme="minorEastAsia" w:cstheme="minorEastAsia"/>
          <w:b/>
          <w:bCs w:val="0"/>
          <w:sz w:val="24"/>
          <w:highlight w:val="none"/>
        </w:rPr>
        <w:t>应附法人营业执照副本（全本）、基本账户开户许可证的加盖公章的复印件(证书封面、封底、空白页除外)，以及</w:t>
      </w:r>
      <w:r>
        <w:rPr>
          <w:rFonts w:hint="eastAsia" w:asciiTheme="minorEastAsia" w:hAnsiTheme="minorEastAsia" w:eastAsiaTheme="minorEastAsia" w:cstheme="minorEastAsia"/>
          <w:b/>
          <w:bCs w:val="0"/>
          <w:sz w:val="24"/>
          <w:highlight w:val="none"/>
          <w:lang w:val="en-US" w:eastAsia="zh-CN"/>
        </w:rPr>
        <w:t>报价</w:t>
      </w:r>
      <w:r>
        <w:rPr>
          <w:rFonts w:hint="eastAsia" w:asciiTheme="minorEastAsia" w:hAnsiTheme="minorEastAsia" w:eastAsiaTheme="minorEastAsia" w:cstheme="minorEastAsia"/>
          <w:b/>
          <w:bCs w:val="0"/>
          <w:sz w:val="24"/>
          <w:highlight w:val="none"/>
        </w:rPr>
        <w:t>人在国家企业信用信息公示系统中基础信息（体现股东及出资详细信息）的网页截图的复印件。</w:t>
      </w:r>
    </w:p>
    <w:p w14:paraId="0A95F3FA">
      <w:pPr>
        <w:keepNext w:val="0"/>
        <w:keepLines w:val="0"/>
        <w:pageBreakBefore w:val="0"/>
        <w:widowControl w:val="0"/>
        <w:numPr>
          <w:ilvl w:val="0"/>
          <w:numId w:val="12"/>
        </w:numPr>
        <w:kinsoku/>
        <w:wordWrap/>
        <w:overflowPunct/>
        <w:topLinePunct w:val="0"/>
        <w:autoSpaceDE/>
        <w:autoSpaceDN/>
        <w:bidi w:val="0"/>
        <w:adjustRightInd/>
        <w:snapToGrid/>
        <w:spacing w:after="157" w:afterLines="50"/>
        <w:ind w:firstLine="482" w:firstLineChars="200"/>
        <w:jc w:val="both"/>
        <w:textAlignment w:val="auto"/>
        <w:rPr>
          <w:rFonts w:hint="eastAsia" w:asciiTheme="minorEastAsia" w:hAnsiTheme="minorEastAsia" w:eastAsiaTheme="minorEastAsia" w:cstheme="minorEastAsia"/>
          <w:b/>
          <w:bCs w:val="0"/>
          <w:sz w:val="24"/>
          <w:highlight w:val="none"/>
        </w:rPr>
      </w:pPr>
      <w:r>
        <w:rPr>
          <w:rFonts w:hint="eastAsia" w:asciiTheme="minorEastAsia" w:hAnsiTheme="minorEastAsia" w:cstheme="minorEastAsia"/>
          <w:b/>
          <w:bCs w:val="0"/>
          <w:sz w:val="24"/>
          <w:highlight w:val="none"/>
          <w:lang w:val="en-US" w:eastAsia="zh-CN"/>
        </w:rPr>
        <w:t>报价人若为</w:t>
      </w:r>
      <w:r>
        <w:rPr>
          <w:rFonts w:hint="eastAsia" w:asciiTheme="minorEastAsia" w:hAnsiTheme="minorEastAsia" w:eastAsiaTheme="minorEastAsia" w:cstheme="minorEastAsia"/>
          <w:b/>
          <w:bCs w:val="0"/>
          <w:sz w:val="24"/>
          <w:highlight w:val="none"/>
        </w:rPr>
        <w:t>依法允许经营的事业单位，</w:t>
      </w:r>
      <w:r>
        <w:rPr>
          <w:rFonts w:hint="eastAsia" w:asciiTheme="minorEastAsia" w:hAnsiTheme="minorEastAsia" w:cstheme="minorEastAsia"/>
          <w:b/>
          <w:bCs w:val="0"/>
          <w:sz w:val="24"/>
          <w:highlight w:val="none"/>
          <w:lang w:val="en-US" w:eastAsia="zh-CN"/>
        </w:rPr>
        <w:t>应附</w:t>
      </w:r>
      <w:r>
        <w:rPr>
          <w:rFonts w:hint="eastAsia" w:asciiTheme="minorEastAsia" w:hAnsiTheme="minorEastAsia" w:eastAsiaTheme="minorEastAsia" w:cstheme="minorEastAsia"/>
          <w:b/>
          <w:bCs w:val="0"/>
          <w:sz w:val="24"/>
          <w:highlight w:val="none"/>
        </w:rPr>
        <w:t>事业单位法人证书</w:t>
      </w:r>
      <w:r>
        <w:rPr>
          <w:rFonts w:hint="eastAsia" w:asciiTheme="minorEastAsia" w:hAnsiTheme="minorEastAsia" w:cstheme="minorEastAsia"/>
          <w:b/>
          <w:bCs w:val="0"/>
          <w:sz w:val="24"/>
          <w:highlight w:val="none"/>
          <w:lang w:eastAsia="zh-CN"/>
        </w:rPr>
        <w:t>、</w:t>
      </w:r>
      <w:r>
        <w:rPr>
          <w:rFonts w:hint="eastAsia" w:asciiTheme="minorEastAsia" w:hAnsiTheme="minorEastAsia" w:eastAsiaTheme="minorEastAsia" w:cstheme="minorEastAsia"/>
          <w:b/>
          <w:bCs w:val="0"/>
          <w:sz w:val="24"/>
          <w:highlight w:val="none"/>
        </w:rPr>
        <w:t>基本账户开户许可证的加盖公章的复印件(证书封面、封底、空白页除外)</w:t>
      </w:r>
      <w:r>
        <w:rPr>
          <w:rFonts w:hint="eastAsia" w:asciiTheme="minorEastAsia" w:hAnsiTheme="minorEastAsia" w:cstheme="minorEastAsia"/>
          <w:b/>
          <w:bCs w:val="0"/>
          <w:sz w:val="24"/>
          <w:highlight w:val="none"/>
          <w:lang w:eastAsia="zh-CN"/>
        </w:rPr>
        <w:t>。</w:t>
      </w:r>
    </w:p>
    <w:p w14:paraId="43C7426F">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2" w:firstLineChars="200"/>
        <w:jc w:val="both"/>
        <w:textAlignment w:val="auto"/>
        <w:rPr>
          <w:rFonts w:hint="eastAsia" w:asciiTheme="minorEastAsia" w:hAnsiTheme="minorEastAsia" w:eastAsiaTheme="minorEastAsia" w:cstheme="minorEastAsia"/>
          <w:b/>
          <w:bCs w:val="0"/>
          <w:sz w:val="24"/>
          <w:highlight w:val="none"/>
        </w:rPr>
      </w:pPr>
      <w:r>
        <w:rPr>
          <w:rFonts w:hint="eastAsia" w:asciiTheme="minorEastAsia" w:hAnsiTheme="minorEastAsia" w:cstheme="minorEastAsia"/>
          <w:b/>
          <w:bCs w:val="0"/>
          <w:sz w:val="24"/>
          <w:highlight w:val="none"/>
          <w:lang w:val="en-US" w:eastAsia="zh-CN"/>
        </w:rPr>
        <w:t>注：（1）</w:t>
      </w:r>
      <w:r>
        <w:rPr>
          <w:rFonts w:hint="eastAsia" w:asciiTheme="minorEastAsia" w:hAnsiTheme="minorEastAsia" w:eastAsiaTheme="minorEastAsia" w:cstheme="minorEastAsia"/>
          <w:b/>
          <w:bCs w:val="0"/>
          <w:sz w:val="24"/>
          <w:highlight w:val="none"/>
        </w:rPr>
        <w:t>对于取消企业银行账户许可地区范围内的</w:t>
      </w:r>
      <w:r>
        <w:rPr>
          <w:rFonts w:hint="eastAsia" w:asciiTheme="minorEastAsia" w:hAnsiTheme="minorEastAsia" w:eastAsiaTheme="minorEastAsia" w:cstheme="minorEastAsia"/>
          <w:b/>
          <w:bCs w:val="0"/>
          <w:sz w:val="24"/>
          <w:highlight w:val="none"/>
          <w:lang w:val="en-US" w:eastAsia="zh-CN"/>
        </w:rPr>
        <w:t>报价</w:t>
      </w:r>
      <w:r>
        <w:rPr>
          <w:rFonts w:hint="eastAsia" w:asciiTheme="minorEastAsia" w:hAnsiTheme="minorEastAsia" w:eastAsiaTheme="minorEastAsia" w:cstheme="minorEastAsia"/>
          <w:b/>
          <w:bCs w:val="0"/>
          <w:sz w:val="24"/>
          <w:highlight w:val="none"/>
        </w:rPr>
        <w:t>人，其基本账户开户许可证可采用《基本存款账户信息》代替。</w:t>
      </w:r>
    </w:p>
    <w:p w14:paraId="7DC44558">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2" w:firstLineChars="200"/>
        <w:jc w:val="both"/>
        <w:textAlignment w:val="auto"/>
        <w:rPr>
          <w:rFonts w:hint="eastAsia" w:asciiTheme="minorEastAsia" w:hAnsiTheme="minorEastAsia" w:eastAsiaTheme="minorEastAsia" w:cstheme="minorEastAsia"/>
          <w:b/>
          <w:bCs w:val="0"/>
          <w:sz w:val="24"/>
          <w:highlight w:val="none"/>
        </w:rPr>
      </w:pPr>
      <w:r>
        <w:rPr>
          <w:rFonts w:hint="eastAsia" w:asciiTheme="minorEastAsia" w:hAnsiTheme="minorEastAsia" w:cstheme="minorEastAsia"/>
          <w:b/>
          <w:bCs w:val="0"/>
          <w:sz w:val="24"/>
          <w:highlight w:val="none"/>
          <w:lang w:eastAsia="zh-CN"/>
        </w:rPr>
        <w:t>（</w:t>
      </w:r>
      <w:r>
        <w:rPr>
          <w:rFonts w:hint="eastAsia" w:asciiTheme="minorEastAsia" w:hAnsiTheme="minorEastAsia" w:cstheme="minorEastAsia"/>
          <w:b/>
          <w:bCs w:val="0"/>
          <w:sz w:val="24"/>
          <w:highlight w:val="none"/>
          <w:lang w:val="en-US" w:eastAsia="zh-CN"/>
        </w:rPr>
        <w:t>2</w:t>
      </w:r>
      <w:r>
        <w:rPr>
          <w:rFonts w:hint="eastAsia" w:asciiTheme="minorEastAsia" w:hAnsiTheme="minorEastAsia" w:cstheme="minorEastAsia"/>
          <w:b/>
          <w:bCs w:val="0"/>
          <w:sz w:val="24"/>
          <w:highlight w:val="none"/>
          <w:lang w:eastAsia="zh-CN"/>
        </w:rPr>
        <w:t>）</w:t>
      </w:r>
      <w:r>
        <w:rPr>
          <w:rFonts w:hint="eastAsia" w:asciiTheme="minorEastAsia" w:hAnsiTheme="minorEastAsia" w:eastAsiaTheme="minorEastAsia" w:cstheme="minorEastAsia"/>
          <w:b/>
          <w:bCs w:val="0"/>
          <w:sz w:val="24"/>
          <w:highlight w:val="none"/>
        </w:rPr>
        <w:t>如近年来，</w:t>
      </w:r>
      <w:r>
        <w:rPr>
          <w:rFonts w:hint="eastAsia" w:asciiTheme="minorEastAsia" w:hAnsiTheme="minorEastAsia" w:eastAsiaTheme="minorEastAsia" w:cstheme="minorEastAsia"/>
          <w:b/>
          <w:bCs w:val="0"/>
          <w:sz w:val="24"/>
          <w:highlight w:val="none"/>
          <w:lang w:val="en-US" w:eastAsia="zh-CN"/>
        </w:rPr>
        <w:t>报价人</w:t>
      </w:r>
      <w:r>
        <w:rPr>
          <w:rFonts w:hint="eastAsia" w:asciiTheme="minorEastAsia" w:hAnsiTheme="minorEastAsia" w:eastAsiaTheme="minorEastAsia" w:cstheme="minorEastAsia"/>
          <w:b/>
          <w:bCs w:val="0"/>
          <w:sz w:val="24"/>
          <w:highlight w:val="none"/>
        </w:rPr>
        <w:t>法人机构发生合法变更或重组或法人名称变更时，应提供相关部门的合法批件或其他相关证明材料。</w:t>
      </w:r>
    </w:p>
    <w:p w14:paraId="52D43EDC">
      <w:pPr>
        <w:keepNext w:val="0"/>
        <w:keepLines w:val="0"/>
        <w:pageBreakBefore w:val="0"/>
        <w:widowControl w:val="0"/>
        <w:numPr>
          <w:ilvl w:val="0"/>
          <w:numId w:val="11"/>
        </w:numPr>
        <w:kinsoku/>
        <w:wordWrap/>
        <w:overflowPunct/>
        <w:topLinePunct w:val="0"/>
        <w:autoSpaceDE/>
        <w:autoSpaceDN/>
        <w:bidi w:val="0"/>
        <w:adjustRightInd/>
        <w:snapToGrid/>
        <w:spacing w:after="157" w:afterLines="50"/>
        <w:ind w:left="0" w:leftChars="0" w:firstLine="482" w:firstLineChars="200"/>
        <w:jc w:val="both"/>
        <w:textAlignment w:val="auto"/>
        <w:rPr>
          <w:rFonts w:hint="eastAsia" w:asciiTheme="minorEastAsia" w:hAnsiTheme="minorEastAsia" w:cstheme="minorEastAsia"/>
          <w:b/>
          <w:bCs w:val="0"/>
          <w:sz w:val="24"/>
          <w:highlight w:val="none"/>
          <w:lang w:val="en-US" w:eastAsia="zh-CN"/>
        </w:rPr>
      </w:pPr>
      <w:r>
        <w:rPr>
          <w:rFonts w:hint="eastAsia" w:asciiTheme="minorEastAsia" w:hAnsiTheme="minorEastAsia" w:cstheme="minorEastAsia"/>
          <w:b/>
          <w:bCs w:val="0"/>
          <w:sz w:val="24"/>
          <w:highlight w:val="none"/>
          <w:lang w:val="en-US" w:eastAsia="zh-CN"/>
        </w:rPr>
        <w:t>业绩要求相关证明材料：</w:t>
      </w:r>
    </w:p>
    <w:p w14:paraId="79A12178">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2" w:firstLineChars="200"/>
        <w:jc w:val="both"/>
        <w:textAlignment w:val="auto"/>
        <w:rPr>
          <w:rFonts w:hint="eastAsia" w:asciiTheme="minorEastAsia" w:hAnsiTheme="minorEastAsia" w:cstheme="minorEastAsia"/>
          <w:b/>
          <w:bCs w:val="0"/>
          <w:sz w:val="24"/>
          <w:highlight w:val="none"/>
          <w:lang w:val="en-US" w:eastAsia="zh-CN"/>
        </w:rPr>
      </w:pPr>
      <w:r>
        <w:rPr>
          <w:rFonts w:hint="eastAsia" w:asciiTheme="minorEastAsia" w:hAnsiTheme="minorEastAsia" w:cstheme="minorEastAsia"/>
          <w:b/>
          <w:bCs w:val="0"/>
          <w:sz w:val="24"/>
          <w:highlight w:val="none"/>
          <w:lang w:val="en-US" w:eastAsia="zh-CN"/>
        </w:rPr>
        <w:t>（1）应提供地级市及以上国有企业以国资委等政府网站或股权查询网站查询截图，截图内容清晰可辨，如提供的截图无法反映评审信息，该业绩将不予认可；</w:t>
      </w:r>
    </w:p>
    <w:p w14:paraId="6D57298A">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2" w:firstLineChars="200"/>
        <w:jc w:val="both"/>
        <w:textAlignment w:val="auto"/>
        <w:rPr>
          <w:rFonts w:hint="eastAsia" w:asciiTheme="minorEastAsia" w:hAnsiTheme="minorEastAsia" w:cstheme="minorEastAsia"/>
          <w:b/>
          <w:bCs w:val="0"/>
          <w:sz w:val="24"/>
          <w:highlight w:val="none"/>
          <w:lang w:val="en-US" w:eastAsia="zh-CN"/>
        </w:rPr>
      </w:pPr>
      <w:r>
        <w:rPr>
          <w:rFonts w:hint="eastAsia" w:asciiTheme="minorEastAsia" w:hAnsiTheme="minorEastAsia" w:cstheme="minorEastAsia"/>
          <w:b/>
          <w:bCs w:val="0"/>
          <w:sz w:val="24"/>
          <w:highlight w:val="none"/>
          <w:lang w:val="en-US" w:eastAsia="zh-CN"/>
        </w:rPr>
        <w:t>（2）应提供中标通知书或成交通知书或合同协议书关键页（须以合同中载明的单位名称、项目类型、签订时间作为证明材料）的加盖公章的复印件，若中标通知书或成交通知书或合同协议书关键页不能反映评审所需信息的，还需由发包人出具证明材料或说明；</w:t>
      </w:r>
    </w:p>
    <w:p w14:paraId="05610609">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2" w:firstLineChars="200"/>
        <w:jc w:val="both"/>
        <w:textAlignment w:val="auto"/>
        <w:rPr>
          <w:rFonts w:hint="default" w:asciiTheme="minorEastAsia" w:hAnsiTheme="minorEastAsia" w:cstheme="minorEastAsia"/>
          <w:b/>
          <w:bCs w:val="0"/>
          <w:sz w:val="24"/>
          <w:highlight w:val="none"/>
          <w:lang w:val="en-US" w:eastAsia="zh-CN"/>
        </w:rPr>
      </w:pPr>
      <w:r>
        <w:rPr>
          <w:rFonts w:hint="eastAsia" w:asciiTheme="minorEastAsia" w:hAnsiTheme="minorEastAsia" w:cstheme="minorEastAsia"/>
          <w:b/>
          <w:bCs w:val="0"/>
          <w:sz w:val="24"/>
          <w:highlight w:val="none"/>
          <w:lang w:val="en-US" w:eastAsia="zh-CN"/>
        </w:rPr>
        <w:t>注：以上两项材料缺一不可。</w:t>
      </w:r>
    </w:p>
    <w:p w14:paraId="33529A04">
      <w:pPr>
        <w:keepNext w:val="0"/>
        <w:keepLines w:val="0"/>
        <w:pageBreakBefore w:val="0"/>
        <w:widowControl w:val="0"/>
        <w:numPr>
          <w:ilvl w:val="0"/>
          <w:numId w:val="11"/>
        </w:numPr>
        <w:kinsoku/>
        <w:wordWrap/>
        <w:overflowPunct/>
        <w:topLinePunct w:val="0"/>
        <w:autoSpaceDE/>
        <w:autoSpaceDN/>
        <w:bidi w:val="0"/>
        <w:adjustRightInd/>
        <w:snapToGrid/>
        <w:spacing w:after="157" w:afterLines="50"/>
        <w:ind w:left="0" w:leftChars="0" w:firstLine="482" w:firstLineChars="200"/>
        <w:jc w:val="both"/>
        <w:textAlignment w:val="auto"/>
        <w:rPr>
          <w:rFonts w:hint="eastAsia" w:asciiTheme="minorEastAsia" w:hAnsiTheme="minorEastAsia" w:cstheme="minorEastAsia"/>
          <w:b/>
          <w:bCs w:val="0"/>
          <w:sz w:val="24"/>
          <w:highlight w:val="none"/>
          <w:lang w:val="en-US" w:eastAsia="zh-CN"/>
        </w:rPr>
      </w:pPr>
      <w:r>
        <w:rPr>
          <w:rFonts w:hint="eastAsia" w:asciiTheme="minorEastAsia" w:hAnsiTheme="minorEastAsia" w:cstheme="minorEastAsia"/>
          <w:b/>
          <w:bCs w:val="0"/>
          <w:sz w:val="24"/>
          <w:highlight w:val="none"/>
          <w:lang w:val="en-US" w:eastAsia="zh-CN"/>
        </w:rPr>
        <w:t>以上资料提供复印件并逐页加盖公章。</w:t>
      </w:r>
    </w:p>
    <w:p w14:paraId="6EA20F1B">
      <w:pPr>
        <w:jc w:val="center"/>
        <w:rPr>
          <w:rFonts w:hint="eastAsia" w:ascii="黑体" w:hAnsi="黑体" w:eastAsia="黑体"/>
          <w:b/>
          <w:bCs w:val="0"/>
          <w:sz w:val="32"/>
          <w:szCs w:val="30"/>
          <w:highlight w:val="none"/>
        </w:rPr>
      </w:pPr>
    </w:p>
    <w:p w14:paraId="5A241F57">
      <w:pPr>
        <w:jc w:val="center"/>
        <w:rPr>
          <w:rFonts w:hint="eastAsia" w:ascii="黑体" w:hAnsi="黑体" w:eastAsia="黑体"/>
          <w:bCs/>
          <w:sz w:val="32"/>
          <w:szCs w:val="30"/>
          <w:highlight w:val="none"/>
        </w:rPr>
      </w:pPr>
    </w:p>
    <w:p w14:paraId="097E767D">
      <w:pPr>
        <w:jc w:val="center"/>
        <w:rPr>
          <w:rFonts w:hint="eastAsia" w:ascii="黑体" w:hAnsi="黑体" w:eastAsia="黑体"/>
          <w:bCs/>
          <w:sz w:val="32"/>
          <w:szCs w:val="30"/>
          <w:highlight w:val="none"/>
        </w:rPr>
      </w:pPr>
    </w:p>
    <w:p w14:paraId="76341DBC">
      <w:pPr>
        <w:jc w:val="center"/>
        <w:rPr>
          <w:rFonts w:hint="eastAsia" w:ascii="黑体" w:hAnsi="黑体" w:eastAsia="黑体"/>
          <w:bCs/>
          <w:sz w:val="32"/>
          <w:szCs w:val="30"/>
          <w:highlight w:val="none"/>
        </w:rPr>
      </w:pPr>
    </w:p>
    <w:p w14:paraId="61CEB7A4">
      <w:pPr>
        <w:jc w:val="center"/>
        <w:rPr>
          <w:rFonts w:hint="eastAsia" w:ascii="黑体" w:hAnsi="黑体" w:eastAsia="黑体"/>
          <w:bCs/>
          <w:sz w:val="32"/>
          <w:szCs w:val="30"/>
          <w:highlight w:val="none"/>
        </w:rPr>
      </w:pPr>
    </w:p>
    <w:p w14:paraId="228EC953">
      <w:pPr>
        <w:jc w:val="center"/>
        <w:rPr>
          <w:rFonts w:hint="eastAsia" w:ascii="黑体" w:hAnsi="黑体" w:eastAsia="黑体"/>
          <w:bCs/>
          <w:sz w:val="32"/>
          <w:szCs w:val="30"/>
          <w:highlight w:val="none"/>
        </w:rPr>
      </w:pPr>
    </w:p>
    <w:p w14:paraId="04AF33D6">
      <w:pPr>
        <w:jc w:val="center"/>
        <w:rPr>
          <w:rFonts w:hint="eastAsia" w:ascii="黑体" w:hAnsi="黑体" w:eastAsia="黑体"/>
          <w:bCs/>
          <w:sz w:val="32"/>
          <w:szCs w:val="30"/>
          <w:highlight w:val="none"/>
        </w:rPr>
      </w:pPr>
    </w:p>
    <w:p w14:paraId="2B45E63A">
      <w:pPr>
        <w:rPr>
          <w:rFonts w:hint="eastAsia" w:ascii="黑体" w:hAnsi="黑体" w:eastAsia="黑体"/>
          <w:bCs/>
          <w:sz w:val="32"/>
          <w:szCs w:val="30"/>
          <w:highlight w:val="none"/>
        </w:rPr>
      </w:pPr>
      <w:r>
        <w:rPr>
          <w:rFonts w:hint="eastAsia" w:ascii="黑体" w:hAnsi="黑体" w:eastAsia="黑体"/>
          <w:bCs/>
          <w:sz w:val="32"/>
          <w:szCs w:val="30"/>
          <w:highlight w:val="none"/>
        </w:rPr>
        <w:br w:type="page"/>
      </w:r>
    </w:p>
    <w:p w14:paraId="0C6DB31B">
      <w:pPr>
        <w:adjustRightInd w:val="0"/>
        <w:snapToGrid w:val="0"/>
        <w:spacing w:line="480" w:lineRule="exact"/>
        <w:jc w:val="center"/>
        <w:rPr>
          <w:rFonts w:hint="eastAsia" w:eastAsia="黑体"/>
          <w:sz w:val="32"/>
          <w:szCs w:val="32"/>
          <w:highlight w:val="none"/>
        </w:rPr>
      </w:pPr>
      <w:r>
        <w:rPr>
          <w:rFonts w:hint="eastAsia" w:eastAsia="黑体"/>
          <w:sz w:val="32"/>
          <w:szCs w:val="32"/>
          <w:highlight w:val="none"/>
          <w:lang w:val="en-US" w:eastAsia="zh-CN"/>
        </w:rPr>
        <w:t>四、</w:t>
      </w:r>
      <w:r>
        <w:rPr>
          <w:rFonts w:hint="eastAsia" w:eastAsia="黑体"/>
          <w:sz w:val="32"/>
          <w:szCs w:val="32"/>
          <w:highlight w:val="none"/>
        </w:rPr>
        <w:t>拟投入的</w:t>
      </w:r>
      <w:r>
        <w:rPr>
          <w:rFonts w:hint="eastAsia" w:eastAsia="黑体"/>
          <w:sz w:val="32"/>
          <w:szCs w:val="32"/>
          <w:highlight w:val="none"/>
          <w:lang w:val="en-US" w:eastAsia="zh-CN"/>
        </w:rPr>
        <w:t>项目负责人</w:t>
      </w:r>
      <w:r>
        <w:rPr>
          <w:rFonts w:hint="eastAsia" w:eastAsia="黑体"/>
          <w:sz w:val="32"/>
          <w:szCs w:val="32"/>
          <w:highlight w:val="none"/>
        </w:rPr>
        <w:t>资历表</w:t>
      </w:r>
    </w:p>
    <w:tbl>
      <w:tblPr>
        <w:tblStyle w:val="16"/>
        <w:tblpPr w:leftFromText="180" w:rightFromText="180" w:vertAnchor="text" w:horzAnchor="page" w:tblpX="1469" w:tblpY="592"/>
        <w:tblOverlap w:val="never"/>
        <w:tblW w:w="89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703"/>
        <w:gridCol w:w="2740"/>
        <w:gridCol w:w="2025"/>
        <w:gridCol w:w="1841"/>
      </w:tblGrid>
      <w:tr w14:paraId="75E8F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623" w:type="dxa"/>
            <w:vAlign w:val="center"/>
          </w:tcPr>
          <w:p w14:paraId="1DDF60E0">
            <w:pPr>
              <w:pStyle w:val="26"/>
              <w:keepNext w:val="0"/>
              <w:keepLines w:val="0"/>
              <w:pageBreakBefore w:val="0"/>
              <w:widowControl w:val="0"/>
              <w:suppressLineNumbers w:val="0"/>
              <w:tabs>
                <w:tab w:val="left" w:pos="631"/>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highlight w:val="none"/>
                <w:lang w:eastAsia="en-US"/>
              </w:rPr>
            </w:pPr>
            <w:r>
              <w:rPr>
                <w:rFonts w:hint="default"/>
                <w:highlight w:val="none"/>
                <w:lang w:eastAsia="en-US"/>
              </w:rPr>
              <w:t>姓</w:t>
            </w:r>
            <w:r>
              <w:rPr>
                <w:rFonts w:hint="default"/>
                <w:highlight w:val="none"/>
                <w:lang w:eastAsia="en-US"/>
              </w:rPr>
              <w:tab/>
            </w:r>
            <w:r>
              <w:rPr>
                <w:rFonts w:hint="default"/>
                <w:highlight w:val="none"/>
                <w:lang w:eastAsia="en-US"/>
              </w:rPr>
              <w:t>名</w:t>
            </w:r>
          </w:p>
        </w:tc>
        <w:tc>
          <w:tcPr>
            <w:tcW w:w="3443" w:type="dxa"/>
            <w:gridSpan w:val="2"/>
            <w:vAlign w:val="center"/>
          </w:tcPr>
          <w:p w14:paraId="2B4A3D83">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0"/>
                <w:highlight w:val="none"/>
                <w:lang w:eastAsia="en-US"/>
              </w:rPr>
            </w:pPr>
          </w:p>
        </w:tc>
        <w:tc>
          <w:tcPr>
            <w:tcW w:w="2025" w:type="dxa"/>
            <w:vAlign w:val="center"/>
          </w:tcPr>
          <w:p w14:paraId="2AC99AC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highlight w:val="none"/>
              </w:rPr>
            </w:pPr>
            <w:r>
              <w:rPr>
                <w:rFonts w:hint="default"/>
                <w:highlight w:val="none"/>
                <w:lang w:eastAsia="en-US"/>
              </w:rPr>
              <w:t>年</w:t>
            </w:r>
            <w:r>
              <w:rPr>
                <w:rFonts w:hint="default"/>
                <w:highlight w:val="none"/>
                <w:lang w:eastAsia="en-US"/>
              </w:rPr>
              <w:tab/>
            </w:r>
            <w:r>
              <w:rPr>
                <w:rFonts w:hint="default"/>
                <w:highlight w:val="none"/>
                <w:lang w:eastAsia="en-US"/>
              </w:rPr>
              <w:t>龄</w:t>
            </w:r>
          </w:p>
        </w:tc>
        <w:tc>
          <w:tcPr>
            <w:tcW w:w="1841" w:type="dxa"/>
          </w:tcPr>
          <w:p w14:paraId="7372E696">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0"/>
                <w:highlight w:val="none"/>
              </w:rPr>
            </w:pPr>
          </w:p>
        </w:tc>
      </w:tr>
      <w:tr w14:paraId="56B02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623" w:type="dxa"/>
            <w:vAlign w:val="center"/>
          </w:tcPr>
          <w:p w14:paraId="0ECEEB2B">
            <w:pPr>
              <w:pStyle w:val="26"/>
              <w:keepNext w:val="0"/>
              <w:keepLines w:val="0"/>
              <w:suppressLineNumbers w:val="0"/>
              <w:spacing w:before="160" w:beforeAutospacing="0" w:after="0" w:afterAutospacing="0"/>
              <w:ind w:left="0" w:right="13"/>
              <w:jc w:val="center"/>
              <w:rPr>
                <w:rFonts w:hint="default"/>
                <w:highlight w:val="none"/>
                <w:lang w:eastAsia="en-US"/>
              </w:rPr>
            </w:pPr>
            <w:r>
              <w:rPr>
                <w:rFonts w:hint="default"/>
                <w:highlight w:val="none"/>
                <w:lang w:eastAsia="en-US"/>
              </w:rPr>
              <w:t>拟在本</w:t>
            </w:r>
            <w:r>
              <w:rPr>
                <w:rFonts w:hint="eastAsia"/>
                <w:highlight w:val="none"/>
                <w:lang w:val="en-US" w:eastAsia="zh-CN"/>
              </w:rPr>
              <w:t>项目</w:t>
            </w:r>
            <w:r>
              <w:rPr>
                <w:rFonts w:hint="default"/>
                <w:highlight w:val="none"/>
                <w:lang w:eastAsia="en-US"/>
              </w:rPr>
              <w:t>任职</w:t>
            </w:r>
          </w:p>
        </w:tc>
        <w:tc>
          <w:tcPr>
            <w:tcW w:w="3443" w:type="dxa"/>
            <w:gridSpan w:val="2"/>
            <w:vAlign w:val="center"/>
          </w:tcPr>
          <w:p w14:paraId="6C59278A">
            <w:pPr>
              <w:pStyle w:val="26"/>
              <w:keepNext w:val="0"/>
              <w:keepLines w:val="0"/>
              <w:suppressLineNumbers w:val="0"/>
              <w:spacing w:before="0" w:beforeAutospacing="0" w:after="0" w:afterAutospacing="0"/>
              <w:ind w:left="0" w:right="0"/>
              <w:jc w:val="center"/>
              <w:rPr>
                <w:rFonts w:hint="default"/>
                <w:sz w:val="20"/>
                <w:highlight w:val="none"/>
                <w:lang w:eastAsia="en-US"/>
              </w:rPr>
            </w:pPr>
          </w:p>
          <w:p w14:paraId="5E674484">
            <w:pPr>
              <w:pStyle w:val="26"/>
              <w:keepNext w:val="0"/>
              <w:keepLines w:val="0"/>
              <w:suppressLineNumbers w:val="0"/>
              <w:spacing w:before="0" w:beforeAutospacing="0" w:after="0" w:afterAutospacing="0"/>
              <w:ind w:left="0" w:right="0"/>
              <w:jc w:val="center"/>
              <w:rPr>
                <w:rFonts w:hint="default"/>
                <w:sz w:val="20"/>
                <w:highlight w:val="none"/>
                <w:lang w:eastAsia="en-US"/>
              </w:rPr>
            </w:pPr>
          </w:p>
        </w:tc>
        <w:tc>
          <w:tcPr>
            <w:tcW w:w="2025" w:type="dxa"/>
            <w:vAlign w:val="center"/>
          </w:tcPr>
          <w:p w14:paraId="06958D28">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58" w:lineRule="exact"/>
              <w:ind w:left="0" w:right="0" w:firstLine="0"/>
              <w:jc w:val="center"/>
              <w:textAlignment w:val="auto"/>
              <w:rPr>
                <w:rFonts w:hint="default"/>
                <w:highlight w:val="none"/>
                <w:lang w:eastAsia="en-US"/>
              </w:rPr>
            </w:pPr>
            <w:r>
              <w:rPr>
                <w:rFonts w:hint="default"/>
                <w:highlight w:val="none"/>
                <w:lang w:eastAsia="en-US"/>
              </w:rPr>
              <w:t>工作年限</w:t>
            </w:r>
          </w:p>
        </w:tc>
        <w:tc>
          <w:tcPr>
            <w:tcW w:w="1841" w:type="dxa"/>
          </w:tcPr>
          <w:p w14:paraId="18DA0D49">
            <w:pPr>
              <w:pStyle w:val="26"/>
              <w:keepNext w:val="0"/>
              <w:keepLines w:val="0"/>
              <w:suppressLineNumbers w:val="0"/>
              <w:spacing w:before="0" w:beforeAutospacing="0" w:after="0" w:afterAutospacing="0"/>
              <w:ind w:left="0" w:right="0"/>
              <w:rPr>
                <w:rFonts w:hint="default"/>
                <w:sz w:val="20"/>
                <w:highlight w:val="none"/>
                <w:lang w:eastAsia="en-US"/>
              </w:rPr>
            </w:pPr>
          </w:p>
        </w:tc>
      </w:tr>
      <w:tr w14:paraId="575C1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23" w:type="dxa"/>
            <w:vAlign w:val="center"/>
          </w:tcPr>
          <w:p w14:paraId="339A6FFD">
            <w:pPr>
              <w:pStyle w:val="26"/>
              <w:keepNext w:val="0"/>
              <w:keepLines w:val="0"/>
              <w:suppressLineNumbers w:val="0"/>
              <w:spacing w:before="0" w:beforeAutospacing="0" w:after="0" w:afterAutospacing="0"/>
              <w:ind w:left="0" w:right="13"/>
              <w:jc w:val="center"/>
              <w:rPr>
                <w:rFonts w:hint="default"/>
                <w:highlight w:val="none"/>
                <w:lang w:eastAsia="en-US"/>
              </w:rPr>
            </w:pPr>
            <w:r>
              <w:rPr>
                <w:rFonts w:hint="default"/>
                <w:highlight w:val="none"/>
                <w:lang w:eastAsia="en-US"/>
              </w:rPr>
              <w:t>从事</w:t>
            </w:r>
            <w:r>
              <w:rPr>
                <w:rFonts w:hint="eastAsia"/>
                <w:highlight w:val="none"/>
                <w:lang w:eastAsia="en-US"/>
              </w:rPr>
              <w:t>战略规划编制</w:t>
            </w:r>
            <w:r>
              <w:rPr>
                <w:rFonts w:hint="default"/>
                <w:highlight w:val="none"/>
                <w:lang w:eastAsia="en-US"/>
              </w:rPr>
              <w:t>工作年限</w:t>
            </w:r>
          </w:p>
        </w:tc>
        <w:tc>
          <w:tcPr>
            <w:tcW w:w="7309" w:type="dxa"/>
            <w:gridSpan w:val="4"/>
            <w:vAlign w:val="center"/>
          </w:tcPr>
          <w:p w14:paraId="4B8F76EB">
            <w:pPr>
              <w:pStyle w:val="26"/>
              <w:keepNext w:val="0"/>
              <w:keepLines w:val="0"/>
              <w:suppressLineNumbers w:val="0"/>
              <w:spacing w:before="0" w:beforeAutospacing="0" w:after="0" w:afterAutospacing="0"/>
              <w:ind w:left="0" w:right="0"/>
              <w:rPr>
                <w:rFonts w:hint="default"/>
                <w:sz w:val="20"/>
                <w:highlight w:val="none"/>
                <w:lang w:eastAsia="en-US"/>
              </w:rPr>
            </w:pPr>
          </w:p>
        </w:tc>
      </w:tr>
      <w:tr w14:paraId="24F10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23" w:type="dxa"/>
            <w:vAlign w:val="center"/>
          </w:tcPr>
          <w:p w14:paraId="3C789CBE">
            <w:pPr>
              <w:pStyle w:val="26"/>
              <w:keepNext w:val="0"/>
              <w:keepLines w:val="0"/>
              <w:suppressLineNumbers w:val="0"/>
              <w:spacing w:before="0" w:beforeAutospacing="0" w:after="0" w:afterAutospacing="0"/>
              <w:ind w:left="0" w:right="10"/>
              <w:jc w:val="center"/>
              <w:rPr>
                <w:rFonts w:hint="default"/>
                <w:highlight w:val="none"/>
                <w:lang w:eastAsia="en-US"/>
              </w:rPr>
            </w:pPr>
            <w:r>
              <w:rPr>
                <w:rFonts w:hint="default"/>
                <w:highlight w:val="none"/>
                <w:lang w:eastAsia="en-US"/>
              </w:rPr>
              <w:t>毕业学校</w:t>
            </w:r>
          </w:p>
        </w:tc>
        <w:tc>
          <w:tcPr>
            <w:tcW w:w="7309" w:type="dxa"/>
            <w:gridSpan w:val="4"/>
          </w:tcPr>
          <w:p w14:paraId="68070588">
            <w:pPr>
              <w:pStyle w:val="26"/>
              <w:keepNext w:val="0"/>
              <w:keepLines w:val="0"/>
              <w:pageBreakBefore w:val="0"/>
              <w:widowControl w:val="0"/>
              <w:suppressLineNumbers w:val="0"/>
              <w:tabs>
                <w:tab w:val="left" w:pos="555"/>
                <w:tab w:val="left" w:pos="1081"/>
                <w:tab w:val="left" w:pos="3916"/>
                <w:tab w:val="left" w:pos="5491"/>
                <w:tab w:val="left" w:pos="7169"/>
              </w:tabs>
              <w:kinsoku/>
              <w:wordWrap w:val="0"/>
              <w:overflowPunct/>
              <w:topLinePunct/>
              <w:autoSpaceDE/>
              <w:autoSpaceDN/>
              <w:bidi w:val="0"/>
              <w:adjustRightInd/>
              <w:snapToGrid/>
              <w:spacing w:before="0" w:beforeAutospacing="0" w:after="0" w:afterAutospacing="0"/>
              <w:ind w:left="105" w:leftChars="50" w:right="105" w:rightChars="50"/>
              <w:textAlignment w:val="auto"/>
              <w:rPr>
                <w:rFonts w:hint="default"/>
                <w:highlight w:val="none"/>
              </w:rPr>
            </w:pPr>
            <w:r>
              <w:rPr>
                <w:rFonts w:hint="default" w:asciiTheme="minorAscii" w:hAnsiTheme="minorAscii" w:eastAsiaTheme="minorEastAsia"/>
                <w:spacing w:val="0"/>
                <w:sz w:val="21"/>
                <w:highlight w:val="none"/>
                <w:u w:val="single"/>
              </w:rPr>
              <w:t xml:space="preserve"> </w:t>
            </w:r>
            <w:r>
              <w:rPr>
                <w:rFonts w:hint="default" w:asciiTheme="minorAscii" w:hAnsiTheme="minorAscii" w:eastAsiaTheme="minorEastAsia"/>
                <w:spacing w:val="0"/>
                <w:sz w:val="21"/>
                <w:highlight w:val="none"/>
                <w:u w:val="single"/>
              </w:rPr>
              <w:tab/>
            </w:r>
            <w:r>
              <w:rPr>
                <w:rFonts w:hint="default" w:asciiTheme="minorAscii" w:hAnsiTheme="minorAscii" w:eastAsiaTheme="minorEastAsia"/>
                <w:spacing w:val="0"/>
                <w:sz w:val="21"/>
                <w:highlight w:val="none"/>
              </w:rPr>
              <w:t>年</w:t>
            </w:r>
            <w:r>
              <w:rPr>
                <w:rFonts w:hint="default" w:asciiTheme="minorAscii" w:hAnsiTheme="minorAscii" w:eastAsiaTheme="minorEastAsia"/>
                <w:spacing w:val="0"/>
                <w:sz w:val="21"/>
                <w:highlight w:val="none"/>
                <w:u w:val="single"/>
              </w:rPr>
              <w:t xml:space="preserve"> </w:t>
            </w:r>
            <w:r>
              <w:rPr>
                <w:rFonts w:hint="default" w:asciiTheme="minorAscii" w:hAnsiTheme="minorAscii" w:eastAsiaTheme="minorEastAsia"/>
                <w:spacing w:val="0"/>
                <w:sz w:val="21"/>
                <w:highlight w:val="none"/>
                <w:u w:val="single"/>
              </w:rPr>
              <w:tab/>
            </w:r>
            <w:r>
              <w:rPr>
                <w:rFonts w:hint="default" w:asciiTheme="minorAscii" w:hAnsiTheme="minorAscii" w:eastAsiaTheme="minorEastAsia"/>
                <w:spacing w:val="0"/>
                <w:sz w:val="21"/>
                <w:highlight w:val="none"/>
              </w:rPr>
              <w:t>月毕业于</w:t>
            </w:r>
            <w:r>
              <w:rPr>
                <w:rFonts w:hint="default" w:asciiTheme="minorAscii" w:hAnsiTheme="minorAscii" w:eastAsiaTheme="minorEastAsia"/>
                <w:spacing w:val="0"/>
                <w:sz w:val="21"/>
                <w:highlight w:val="none"/>
                <w:u w:val="single"/>
              </w:rPr>
              <w:t xml:space="preserve"> </w:t>
            </w:r>
            <w:r>
              <w:rPr>
                <w:rFonts w:hint="default" w:asciiTheme="minorAscii" w:hAnsiTheme="minorAscii" w:eastAsiaTheme="minorEastAsia"/>
                <w:spacing w:val="0"/>
                <w:sz w:val="21"/>
                <w:highlight w:val="none"/>
                <w:u w:val="single"/>
              </w:rPr>
              <w:tab/>
            </w:r>
            <w:r>
              <w:rPr>
                <w:rFonts w:hint="default" w:asciiTheme="minorAscii" w:hAnsiTheme="minorAscii" w:eastAsiaTheme="minorEastAsia"/>
                <w:spacing w:val="0"/>
                <w:sz w:val="21"/>
                <w:highlight w:val="none"/>
              </w:rPr>
              <w:t>学校</w:t>
            </w:r>
            <w:r>
              <w:rPr>
                <w:rFonts w:hint="default" w:asciiTheme="minorAscii" w:hAnsiTheme="minorAscii" w:eastAsiaTheme="minorEastAsia"/>
                <w:spacing w:val="0"/>
                <w:sz w:val="21"/>
                <w:highlight w:val="none"/>
                <w:u w:val="single"/>
              </w:rPr>
              <w:t xml:space="preserve"> </w:t>
            </w:r>
            <w:r>
              <w:rPr>
                <w:rFonts w:hint="default" w:asciiTheme="minorAscii" w:hAnsiTheme="minorAscii" w:eastAsiaTheme="minorEastAsia"/>
                <w:spacing w:val="0"/>
                <w:sz w:val="21"/>
                <w:highlight w:val="none"/>
                <w:u w:val="single"/>
              </w:rPr>
              <w:tab/>
            </w:r>
            <w:r>
              <w:rPr>
                <w:rFonts w:hint="default" w:asciiTheme="minorAscii" w:hAnsiTheme="minorAscii" w:eastAsiaTheme="minorEastAsia"/>
                <w:spacing w:val="0"/>
                <w:sz w:val="21"/>
                <w:highlight w:val="none"/>
              </w:rPr>
              <w:t>专业，学制</w:t>
            </w:r>
            <w:r>
              <w:rPr>
                <w:rFonts w:hint="default" w:asciiTheme="minorAscii" w:hAnsiTheme="minorAscii" w:eastAsiaTheme="minorEastAsia"/>
                <w:spacing w:val="0"/>
                <w:sz w:val="21"/>
                <w:highlight w:val="none"/>
                <w:u w:val="single"/>
              </w:rPr>
              <w:t xml:space="preserve"> </w:t>
            </w:r>
            <w:r>
              <w:rPr>
                <w:rFonts w:hint="default" w:asciiTheme="minorAscii" w:hAnsiTheme="minorAscii" w:eastAsiaTheme="minorEastAsia"/>
                <w:spacing w:val="0"/>
                <w:sz w:val="21"/>
                <w:highlight w:val="none"/>
                <w:u w:val="single"/>
              </w:rPr>
              <w:tab/>
            </w:r>
            <w:r>
              <w:rPr>
                <w:rFonts w:hint="default" w:asciiTheme="minorAscii" w:hAnsiTheme="minorAscii" w:eastAsiaTheme="minorEastAsia"/>
                <w:spacing w:val="0"/>
                <w:sz w:val="21"/>
                <w:highlight w:val="none"/>
              </w:rPr>
              <w:t>年</w:t>
            </w:r>
          </w:p>
        </w:tc>
      </w:tr>
      <w:tr w14:paraId="70051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932" w:type="dxa"/>
            <w:gridSpan w:val="5"/>
            <w:vAlign w:val="center"/>
          </w:tcPr>
          <w:p w14:paraId="54710AEC">
            <w:pPr>
              <w:pStyle w:val="26"/>
              <w:keepNext w:val="0"/>
              <w:keepLines w:val="0"/>
              <w:suppressLineNumbers w:val="0"/>
              <w:tabs>
                <w:tab w:val="left" w:pos="1166"/>
              </w:tabs>
              <w:spacing w:before="0" w:beforeAutospacing="0" w:after="0" w:afterAutospacing="0"/>
              <w:ind w:left="9" w:right="0"/>
              <w:jc w:val="center"/>
              <w:rPr>
                <w:rFonts w:hint="default"/>
                <w:highlight w:val="none"/>
                <w:lang w:eastAsia="en-US"/>
              </w:rPr>
            </w:pPr>
            <w:r>
              <w:rPr>
                <w:rFonts w:hint="default"/>
                <w:highlight w:val="none"/>
                <w:lang w:eastAsia="en-US"/>
              </w:rPr>
              <w:t>经</w:t>
            </w:r>
            <w:r>
              <w:rPr>
                <w:rFonts w:hint="eastAsia"/>
                <w:highlight w:val="none"/>
                <w:lang w:val="en-US" w:eastAsia="zh-CN"/>
              </w:rPr>
              <w:t xml:space="preserve">  </w:t>
            </w:r>
            <w:r>
              <w:rPr>
                <w:rFonts w:hint="default"/>
                <w:highlight w:val="none"/>
                <w:lang w:eastAsia="en-US"/>
              </w:rPr>
              <w:t>历</w:t>
            </w:r>
          </w:p>
        </w:tc>
      </w:tr>
      <w:tr w14:paraId="19643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623" w:type="dxa"/>
            <w:vAlign w:val="center"/>
          </w:tcPr>
          <w:p w14:paraId="0A68FE5B">
            <w:pPr>
              <w:pStyle w:val="26"/>
              <w:keepNext w:val="0"/>
              <w:keepLines w:val="0"/>
              <w:pageBreakBefore w:val="0"/>
              <w:widowControl w:val="0"/>
              <w:suppressLineNumbers w:val="0"/>
              <w:tabs>
                <w:tab w:val="left" w:pos="459"/>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highlight w:val="none"/>
                <w:lang w:eastAsia="en-US"/>
              </w:rPr>
            </w:pPr>
            <w:r>
              <w:rPr>
                <w:rFonts w:hint="default"/>
                <w:highlight w:val="none"/>
                <w:lang w:eastAsia="en-US"/>
              </w:rPr>
              <w:t>时</w:t>
            </w:r>
            <w:r>
              <w:rPr>
                <w:rFonts w:hint="default"/>
                <w:highlight w:val="none"/>
                <w:lang w:eastAsia="en-US"/>
              </w:rPr>
              <w:tab/>
            </w:r>
            <w:r>
              <w:rPr>
                <w:rFonts w:hint="default"/>
                <w:highlight w:val="none"/>
                <w:lang w:eastAsia="en-US"/>
              </w:rPr>
              <w:t>间</w:t>
            </w:r>
          </w:p>
        </w:tc>
        <w:tc>
          <w:tcPr>
            <w:tcW w:w="3443" w:type="dxa"/>
            <w:gridSpan w:val="2"/>
            <w:vAlign w:val="center"/>
          </w:tcPr>
          <w:p w14:paraId="686720D8">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highlight w:val="none"/>
              </w:rPr>
            </w:pPr>
            <w:r>
              <w:rPr>
                <w:rFonts w:hint="default"/>
                <w:highlight w:val="none"/>
              </w:rPr>
              <w:t>参加过的类似</w:t>
            </w:r>
            <w:r>
              <w:rPr>
                <w:rFonts w:hint="eastAsia"/>
                <w:highlight w:val="none"/>
                <w:lang w:val="en-US" w:eastAsia="zh-CN"/>
              </w:rPr>
              <w:t>战略规划编制</w:t>
            </w:r>
            <w:r>
              <w:rPr>
                <w:rFonts w:hint="default"/>
                <w:highlight w:val="none"/>
              </w:rPr>
              <w:t>项目名称</w:t>
            </w:r>
          </w:p>
        </w:tc>
        <w:tc>
          <w:tcPr>
            <w:tcW w:w="2025" w:type="dxa"/>
            <w:vAlign w:val="center"/>
          </w:tcPr>
          <w:p w14:paraId="7391010E">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highlight w:val="none"/>
                <w:lang w:eastAsia="en-US"/>
              </w:rPr>
            </w:pPr>
            <w:r>
              <w:rPr>
                <w:rFonts w:hint="default"/>
                <w:highlight w:val="none"/>
                <w:lang w:eastAsia="en-US"/>
              </w:rPr>
              <w:t>担任职务</w:t>
            </w:r>
          </w:p>
        </w:tc>
        <w:tc>
          <w:tcPr>
            <w:tcW w:w="1841" w:type="dxa"/>
            <w:vAlign w:val="center"/>
          </w:tcPr>
          <w:p w14:paraId="28BCCA5E">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highlight w:val="none"/>
                <w:lang w:eastAsia="en-US"/>
              </w:rPr>
            </w:pPr>
            <w:r>
              <w:rPr>
                <w:rFonts w:hint="default"/>
                <w:highlight w:val="none"/>
                <w:lang w:eastAsia="en-US"/>
              </w:rPr>
              <w:t>委托人及联系电话</w:t>
            </w:r>
          </w:p>
        </w:tc>
      </w:tr>
      <w:tr w14:paraId="7CE7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23" w:type="dxa"/>
          </w:tcPr>
          <w:p w14:paraId="405BD5A5">
            <w:pPr>
              <w:pStyle w:val="26"/>
              <w:keepNext w:val="0"/>
              <w:keepLines w:val="0"/>
              <w:suppressLineNumbers w:val="0"/>
              <w:spacing w:before="0" w:beforeAutospacing="0" w:after="0" w:afterAutospacing="0"/>
              <w:ind w:left="0" w:right="0"/>
              <w:rPr>
                <w:rFonts w:hint="default"/>
                <w:sz w:val="20"/>
                <w:highlight w:val="none"/>
                <w:lang w:eastAsia="en-US"/>
              </w:rPr>
            </w:pPr>
          </w:p>
        </w:tc>
        <w:tc>
          <w:tcPr>
            <w:tcW w:w="3443" w:type="dxa"/>
            <w:gridSpan w:val="2"/>
          </w:tcPr>
          <w:p w14:paraId="545F7DBF">
            <w:pPr>
              <w:pStyle w:val="26"/>
              <w:keepNext w:val="0"/>
              <w:keepLines w:val="0"/>
              <w:suppressLineNumbers w:val="0"/>
              <w:spacing w:before="0" w:beforeAutospacing="0" w:after="0" w:afterAutospacing="0"/>
              <w:ind w:left="0" w:right="0"/>
              <w:rPr>
                <w:rFonts w:hint="default"/>
                <w:sz w:val="20"/>
                <w:highlight w:val="none"/>
                <w:lang w:eastAsia="en-US"/>
              </w:rPr>
            </w:pPr>
          </w:p>
        </w:tc>
        <w:tc>
          <w:tcPr>
            <w:tcW w:w="2025" w:type="dxa"/>
          </w:tcPr>
          <w:p w14:paraId="715DDCA1">
            <w:pPr>
              <w:pStyle w:val="26"/>
              <w:keepNext w:val="0"/>
              <w:keepLines w:val="0"/>
              <w:suppressLineNumbers w:val="0"/>
              <w:spacing w:before="0" w:beforeAutospacing="0" w:after="0" w:afterAutospacing="0"/>
              <w:ind w:left="0" w:right="0"/>
              <w:rPr>
                <w:rFonts w:hint="default"/>
                <w:sz w:val="20"/>
                <w:highlight w:val="none"/>
                <w:lang w:eastAsia="en-US"/>
              </w:rPr>
            </w:pPr>
          </w:p>
        </w:tc>
        <w:tc>
          <w:tcPr>
            <w:tcW w:w="1841" w:type="dxa"/>
          </w:tcPr>
          <w:p w14:paraId="0449C61B">
            <w:pPr>
              <w:pStyle w:val="26"/>
              <w:keepNext w:val="0"/>
              <w:keepLines w:val="0"/>
              <w:suppressLineNumbers w:val="0"/>
              <w:spacing w:before="0" w:beforeAutospacing="0" w:after="0" w:afterAutospacing="0"/>
              <w:ind w:left="0" w:right="0"/>
              <w:rPr>
                <w:rFonts w:hint="default"/>
                <w:sz w:val="20"/>
                <w:highlight w:val="none"/>
                <w:lang w:eastAsia="en-US"/>
              </w:rPr>
            </w:pPr>
          </w:p>
        </w:tc>
      </w:tr>
      <w:tr w14:paraId="637B7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23" w:type="dxa"/>
          </w:tcPr>
          <w:p w14:paraId="6EBDAD3B">
            <w:pPr>
              <w:pStyle w:val="26"/>
              <w:keepNext w:val="0"/>
              <w:keepLines w:val="0"/>
              <w:suppressLineNumbers w:val="0"/>
              <w:spacing w:before="0" w:beforeAutospacing="0" w:after="0" w:afterAutospacing="0"/>
              <w:ind w:left="0" w:right="0"/>
              <w:rPr>
                <w:rFonts w:hint="default"/>
                <w:sz w:val="20"/>
                <w:highlight w:val="none"/>
                <w:lang w:eastAsia="en-US"/>
              </w:rPr>
            </w:pPr>
          </w:p>
        </w:tc>
        <w:tc>
          <w:tcPr>
            <w:tcW w:w="3443" w:type="dxa"/>
            <w:gridSpan w:val="2"/>
          </w:tcPr>
          <w:p w14:paraId="0C8C09B9">
            <w:pPr>
              <w:pStyle w:val="26"/>
              <w:keepNext w:val="0"/>
              <w:keepLines w:val="0"/>
              <w:suppressLineNumbers w:val="0"/>
              <w:spacing w:before="0" w:beforeAutospacing="0" w:after="0" w:afterAutospacing="0"/>
              <w:ind w:left="0" w:right="0"/>
              <w:rPr>
                <w:rFonts w:hint="default"/>
                <w:sz w:val="20"/>
                <w:highlight w:val="none"/>
                <w:lang w:eastAsia="en-US"/>
              </w:rPr>
            </w:pPr>
          </w:p>
        </w:tc>
        <w:tc>
          <w:tcPr>
            <w:tcW w:w="2025" w:type="dxa"/>
          </w:tcPr>
          <w:p w14:paraId="1AE27B71">
            <w:pPr>
              <w:pStyle w:val="26"/>
              <w:keepNext w:val="0"/>
              <w:keepLines w:val="0"/>
              <w:suppressLineNumbers w:val="0"/>
              <w:spacing w:before="0" w:beforeAutospacing="0" w:after="0" w:afterAutospacing="0"/>
              <w:ind w:left="0" w:right="0"/>
              <w:rPr>
                <w:rFonts w:hint="default"/>
                <w:sz w:val="20"/>
                <w:highlight w:val="none"/>
                <w:lang w:eastAsia="en-US"/>
              </w:rPr>
            </w:pPr>
          </w:p>
        </w:tc>
        <w:tc>
          <w:tcPr>
            <w:tcW w:w="1841" w:type="dxa"/>
          </w:tcPr>
          <w:p w14:paraId="61BD86DA">
            <w:pPr>
              <w:pStyle w:val="26"/>
              <w:keepNext w:val="0"/>
              <w:keepLines w:val="0"/>
              <w:suppressLineNumbers w:val="0"/>
              <w:spacing w:before="0" w:beforeAutospacing="0" w:after="0" w:afterAutospacing="0"/>
              <w:ind w:left="0" w:right="0"/>
              <w:rPr>
                <w:rFonts w:hint="default"/>
                <w:sz w:val="20"/>
                <w:highlight w:val="none"/>
                <w:lang w:eastAsia="en-US"/>
              </w:rPr>
            </w:pPr>
          </w:p>
        </w:tc>
      </w:tr>
      <w:tr w14:paraId="7720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23" w:type="dxa"/>
          </w:tcPr>
          <w:p w14:paraId="49CE23F9">
            <w:pPr>
              <w:pStyle w:val="26"/>
              <w:keepNext w:val="0"/>
              <w:keepLines w:val="0"/>
              <w:suppressLineNumbers w:val="0"/>
              <w:spacing w:before="0" w:beforeAutospacing="0" w:after="0" w:afterAutospacing="0"/>
              <w:ind w:left="0" w:right="0"/>
              <w:rPr>
                <w:rFonts w:hint="default"/>
                <w:sz w:val="20"/>
                <w:highlight w:val="none"/>
                <w:lang w:eastAsia="en-US"/>
              </w:rPr>
            </w:pPr>
          </w:p>
        </w:tc>
        <w:tc>
          <w:tcPr>
            <w:tcW w:w="3443" w:type="dxa"/>
            <w:gridSpan w:val="2"/>
          </w:tcPr>
          <w:p w14:paraId="7E183ADB">
            <w:pPr>
              <w:pStyle w:val="26"/>
              <w:keepNext w:val="0"/>
              <w:keepLines w:val="0"/>
              <w:suppressLineNumbers w:val="0"/>
              <w:spacing w:before="0" w:beforeAutospacing="0" w:after="0" w:afterAutospacing="0"/>
              <w:ind w:left="0" w:right="0"/>
              <w:rPr>
                <w:rFonts w:hint="default"/>
                <w:sz w:val="20"/>
                <w:highlight w:val="none"/>
                <w:lang w:eastAsia="en-US"/>
              </w:rPr>
            </w:pPr>
          </w:p>
        </w:tc>
        <w:tc>
          <w:tcPr>
            <w:tcW w:w="2025" w:type="dxa"/>
          </w:tcPr>
          <w:p w14:paraId="153149F1">
            <w:pPr>
              <w:pStyle w:val="26"/>
              <w:keepNext w:val="0"/>
              <w:keepLines w:val="0"/>
              <w:suppressLineNumbers w:val="0"/>
              <w:spacing w:before="0" w:beforeAutospacing="0" w:after="0" w:afterAutospacing="0"/>
              <w:ind w:left="0" w:right="0"/>
              <w:rPr>
                <w:rFonts w:hint="default"/>
                <w:sz w:val="20"/>
                <w:highlight w:val="none"/>
                <w:lang w:eastAsia="en-US"/>
              </w:rPr>
            </w:pPr>
          </w:p>
        </w:tc>
        <w:tc>
          <w:tcPr>
            <w:tcW w:w="1841" w:type="dxa"/>
          </w:tcPr>
          <w:p w14:paraId="2833811D">
            <w:pPr>
              <w:pStyle w:val="26"/>
              <w:keepNext w:val="0"/>
              <w:keepLines w:val="0"/>
              <w:suppressLineNumbers w:val="0"/>
              <w:spacing w:before="0" w:beforeAutospacing="0" w:after="0" w:afterAutospacing="0"/>
              <w:ind w:left="0" w:right="0"/>
              <w:rPr>
                <w:rFonts w:hint="default"/>
                <w:sz w:val="20"/>
                <w:highlight w:val="none"/>
                <w:lang w:eastAsia="en-US"/>
              </w:rPr>
            </w:pPr>
          </w:p>
        </w:tc>
      </w:tr>
      <w:tr w14:paraId="3A901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326" w:type="dxa"/>
            <w:gridSpan w:val="2"/>
            <w:vAlign w:val="center"/>
          </w:tcPr>
          <w:p w14:paraId="26A73084">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highlight w:val="none"/>
                <w:lang w:eastAsia="en-US"/>
              </w:rPr>
            </w:pPr>
            <w:r>
              <w:rPr>
                <w:rFonts w:hint="default"/>
                <w:highlight w:val="none"/>
                <w:lang w:eastAsia="en-US"/>
              </w:rPr>
              <w:t>说明在岗情况</w:t>
            </w:r>
          </w:p>
        </w:tc>
        <w:tc>
          <w:tcPr>
            <w:tcW w:w="6606" w:type="dxa"/>
            <w:gridSpan w:val="3"/>
          </w:tcPr>
          <w:p w14:paraId="64B60A50">
            <w:pPr>
              <w:pStyle w:val="26"/>
              <w:keepNext w:val="0"/>
              <w:keepLines w:val="0"/>
              <w:suppressLineNumbers w:val="0"/>
              <w:tabs>
                <w:tab w:val="left" w:pos="5827"/>
              </w:tabs>
              <w:spacing w:before="90" w:beforeAutospacing="0" w:after="0" w:afterAutospacing="0"/>
              <w:ind w:left="108" w:right="0"/>
              <w:rPr>
                <w:rFonts w:hint="default"/>
                <w:highlight w:val="none"/>
              </w:rPr>
            </w:pPr>
            <w:r>
              <w:rPr>
                <w:rFonts w:hint="default"/>
                <w:highlight w:val="none"/>
              </w:rPr>
              <w:t>□目</w:t>
            </w:r>
            <w:r>
              <w:rPr>
                <w:rFonts w:hint="default"/>
                <w:spacing w:val="-3"/>
                <w:highlight w:val="none"/>
              </w:rPr>
              <w:t>前</w:t>
            </w:r>
            <w:r>
              <w:rPr>
                <w:rFonts w:hint="default"/>
                <w:highlight w:val="none"/>
              </w:rPr>
              <w:t>未</w:t>
            </w:r>
            <w:r>
              <w:rPr>
                <w:rFonts w:hint="default"/>
                <w:spacing w:val="-3"/>
                <w:highlight w:val="none"/>
              </w:rPr>
              <w:t>在</w:t>
            </w:r>
            <w:r>
              <w:rPr>
                <w:rFonts w:hint="default"/>
                <w:highlight w:val="none"/>
              </w:rPr>
              <w:t>其</w:t>
            </w:r>
            <w:r>
              <w:rPr>
                <w:rFonts w:hint="default"/>
                <w:spacing w:val="-3"/>
                <w:highlight w:val="none"/>
              </w:rPr>
              <w:t>他</w:t>
            </w:r>
            <w:r>
              <w:rPr>
                <w:rFonts w:hint="default"/>
                <w:highlight w:val="none"/>
              </w:rPr>
              <w:t>项</w:t>
            </w:r>
            <w:r>
              <w:rPr>
                <w:rFonts w:hint="default"/>
                <w:spacing w:val="-3"/>
                <w:highlight w:val="none"/>
              </w:rPr>
              <w:t>目</w:t>
            </w:r>
            <w:r>
              <w:rPr>
                <w:rFonts w:hint="default"/>
                <w:highlight w:val="none"/>
              </w:rPr>
              <w:t>上</w:t>
            </w:r>
            <w:r>
              <w:rPr>
                <w:rFonts w:hint="default"/>
                <w:spacing w:val="-3"/>
                <w:highlight w:val="none"/>
              </w:rPr>
              <w:t>任</w:t>
            </w:r>
            <w:r>
              <w:rPr>
                <w:rFonts w:hint="default"/>
                <w:highlight w:val="none"/>
              </w:rPr>
              <w:t>职，</w:t>
            </w:r>
            <w:r>
              <w:rPr>
                <w:rFonts w:hint="default"/>
                <w:spacing w:val="-3"/>
                <w:highlight w:val="none"/>
              </w:rPr>
              <w:t>现</w:t>
            </w:r>
            <w:r>
              <w:rPr>
                <w:rFonts w:hint="default"/>
                <w:highlight w:val="none"/>
              </w:rPr>
              <w:t>从</w:t>
            </w:r>
            <w:r>
              <w:rPr>
                <w:rFonts w:hint="default"/>
                <w:spacing w:val="-3"/>
                <w:highlight w:val="none"/>
              </w:rPr>
              <w:t>事</w:t>
            </w:r>
            <w:r>
              <w:rPr>
                <w:rFonts w:hint="default"/>
                <w:highlight w:val="none"/>
              </w:rPr>
              <w:t>工</w:t>
            </w:r>
            <w:r>
              <w:rPr>
                <w:rFonts w:hint="default"/>
                <w:spacing w:val="-3"/>
                <w:highlight w:val="none"/>
              </w:rPr>
              <w:t>作</w:t>
            </w:r>
            <w:r>
              <w:rPr>
                <w:rFonts w:hint="default"/>
                <w:highlight w:val="none"/>
              </w:rPr>
              <w:t>为</w:t>
            </w:r>
            <w:r>
              <w:rPr>
                <w:rFonts w:hint="default"/>
                <w:spacing w:val="-3"/>
                <w:highlight w:val="none"/>
              </w:rPr>
              <w:t>：</w:t>
            </w:r>
            <w:r>
              <w:rPr>
                <w:rFonts w:hint="default"/>
                <w:highlight w:val="none"/>
                <w:u w:val="single"/>
              </w:rPr>
              <w:t xml:space="preserve"> </w:t>
            </w:r>
            <w:r>
              <w:rPr>
                <w:rFonts w:hint="default"/>
                <w:highlight w:val="none"/>
                <w:u w:val="single"/>
              </w:rPr>
              <w:tab/>
            </w:r>
          </w:p>
          <w:p w14:paraId="25F0EBD1">
            <w:pPr>
              <w:pStyle w:val="26"/>
              <w:keepNext w:val="0"/>
              <w:keepLines w:val="0"/>
              <w:suppressLineNumbers w:val="0"/>
              <w:tabs>
                <w:tab w:val="left" w:pos="3365"/>
                <w:tab w:val="left" w:pos="5825"/>
              </w:tabs>
              <w:spacing w:before="18" w:beforeAutospacing="0" w:after="0" w:afterAutospacing="0" w:line="398" w:lineRule="exact"/>
              <w:ind w:left="108" w:right="96"/>
              <w:rPr>
                <w:rFonts w:hint="default"/>
                <w:highlight w:val="none"/>
              </w:rPr>
            </w:pPr>
            <w:r>
              <w:rPr>
                <w:rFonts w:hint="default"/>
                <w:highlight w:val="none"/>
              </w:rPr>
              <w:t>□目前虽在其他项目上</w:t>
            </w:r>
            <w:r>
              <w:rPr>
                <w:rFonts w:hint="default"/>
                <w:spacing w:val="-3"/>
                <w:highlight w:val="none"/>
              </w:rPr>
              <w:t>任</w:t>
            </w:r>
            <w:r>
              <w:rPr>
                <w:rFonts w:hint="default"/>
                <w:highlight w:val="none"/>
              </w:rPr>
              <w:t>职，但本项目中标后能</w:t>
            </w:r>
            <w:r>
              <w:rPr>
                <w:rFonts w:hint="default"/>
                <w:spacing w:val="-3"/>
                <w:highlight w:val="none"/>
              </w:rPr>
              <w:t>够</w:t>
            </w:r>
            <w:r>
              <w:rPr>
                <w:rFonts w:hint="default"/>
                <w:highlight w:val="none"/>
              </w:rPr>
              <w:t>从该项目撤离</w:t>
            </w:r>
            <w:r>
              <w:rPr>
                <w:rFonts w:hint="default"/>
                <w:spacing w:val="-16"/>
                <w:highlight w:val="none"/>
              </w:rPr>
              <w:t xml:space="preserve">， </w:t>
            </w:r>
            <w:r>
              <w:rPr>
                <w:rFonts w:hint="default"/>
                <w:highlight w:val="none"/>
              </w:rPr>
              <w:t>目前</w:t>
            </w:r>
            <w:r>
              <w:rPr>
                <w:rFonts w:hint="default"/>
                <w:spacing w:val="-3"/>
                <w:highlight w:val="none"/>
              </w:rPr>
              <w:t>任</w:t>
            </w:r>
            <w:r>
              <w:rPr>
                <w:rFonts w:hint="default"/>
                <w:highlight w:val="none"/>
              </w:rPr>
              <w:t>职</w:t>
            </w:r>
            <w:r>
              <w:rPr>
                <w:rFonts w:hint="default"/>
                <w:spacing w:val="-3"/>
                <w:highlight w:val="none"/>
              </w:rPr>
              <w:t>项</w:t>
            </w:r>
            <w:r>
              <w:rPr>
                <w:rFonts w:hint="default"/>
                <w:highlight w:val="none"/>
              </w:rPr>
              <w:t>目</w:t>
            </w:r>
            <w:r>
              <w:rPr>
                <w:rFonts w:hint="default"/>
                <w:spacing w:val="-3"/>
                <w:highlight w:val="none"/>
              </w:rPr>
              <w:t>：</w:t>
            </w:r>
            <w:r>
              <w:rPr>
                <w:rFonts w:hint="default"/>
                <w:spacing w:val="-3"/>
                <w:highlight w:val="none"/>
                <w:u w:val="single"/>
              </w:rPr>
              <w:t xml:space="preserve"> </w:t>
            </w:r>
            <w:r>
              <w:rPr>
                <w:rFonts w:hint="default"/>
                <w:spacing w:val="-3"/>
                <w:highlight w:val="none"/>
                <w:u w:val="single"/>
              </w:rPr>
              <w:tab/>
            </w:r>
            <w:r>
              <w:rPr>
                <w:rFonts w:hint="default"/>
                <w:spacing w:val="-3"/>
                <w:highlight w:val="none"/>
              </w:rPr>
              <w:t>，</w:t>
            </w:r>
            <w:r>
              <w:rPr>
                <w:rFonts w:hint="default"/>
                <w:spacing w:val="-1"/>
                <w:highlight w:val="none"/>
              </w:rPr>
              <w:t>担</w:t>
            </w:r>
            <w:r>
              <w:rPr>
                <w:rFonts w:hint="default"/>
                <w:spacing w:val="-3"/>
                <w:highlight w:val="none"/>
              </w:rPr>
              <w:t>任</w:t>
            </w:r>
            <w:r>
              <w:rPr>
                <w:rFonts w:hint="default"/>
                <w:highlight w:val="none"/>
              </w:rPr>
              <w:t>职</w:t>
            </w:r>
            <w:r>
              <w:rPr>
                <w:rFonts w:hint="default"/>
                <w:spacing w:val="-3"/>
                <w:highlight w:val="none"/>
              </w:rPr>
              <w:t>位</w:t>
            </w:r>
            <w:r>
              <w:rPr>
                <w:rFonts w:hint="default"/>
                <w:highlight w:val="none"/>
              </w:rPr>
              <w:t>：</w:t>
            </w:r>
            <w:r>
              <w:rPr>
                <w:rFonts w:hint="default"/>
                <w:highlight w:val="none"/>
                <w:u w:val="single"/>
              </w:rPr>
              <w:t xml:space="preserve"> </w:t>
            </w:r>
            <w:r>
              <w:rPr>
                <w:rFonts w:hint="default"/>
                <w:highlight w:val="none"/>
                <w:u w:val="single"/>
              </w:rPr>
              <w:tab/>
            </w:r>
          </w:p>
        </w:tc>
      </w:tr>
      <w:tr w14:paraId="5329A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326" w:type="dxa"/>
            <w:gridSpan w:val="2"/>
            <w:vAlign w:val="center"/>
          </w:tcPr>
          <w:p w14:paraId="60B89E6F">
            <w:pPr>
              <w:pStyle w:val="26"/>
              <w:keepNext w:val="0"/>
              <w:keepLines w:val="0"/>
              <w:pageBreakBefore w:val="0"/>
              <w:widowControl w:val="0"/>
              <w:suppressLineNumbers w:val="0"/>
              <w:tabs>
                <w:tab w:val="left" w:pos="1490"/>
              </w:tabs>
              <w:kinsoku/>
              <w:wordWrap/>
              <w:overflowPunct/>
              <w:topLinePunct w:val="0"/>
              <w:autoSpaceDE/>
              <w:autoSpaceDN/>
              <w:bidi w:val="0"/>
              <w:adjustRightInd/>
              <w:snapToGrid/>
              <w:spacing w:before="0" w:beforeAutospacing="0" w:after="0" w:afterAutospacing="0"/>
              <w:ind w:left="0" w:right="0"/>
              <w:jc w:val="center"/>
              <w:textAlignment w:val="auto"/>
              <w:rPr>
                <w:rFonts w:hint="default"/>
                <w:highlight w:val="none"/>
                <w:lang w:eastAsia="en-US"/>
              </w:rPr>
            </w:pPr>
            <w:r>
              <w:rPr>
                <w:rFonts w:hint="default"/>
                <w:highlight w:val="none"/>
                <w:lang w:eastAsia="en-US"/>
              </w:rPr>
              <w:t>备</w:t>
            </w:r>
            <w:r>
              <w:rPr>
                <w:rFonts w:hint="eastAsia"/>
                <w:highlight w:val="none"/>
                <w:lang w:val="en-US" w:eastAsia="zh-CN"/>
              </w:rPr>
              <w:t xml:space="preserve">  </w:t>
            </w:r>
            <w:r>
              <w:rPr>
                <w:rFonts w:hint="default"/>
                <w:highlight w:val="none"/>
                <w:lang w:eastAsia="en-US"/>
              </w:rPr>
              <w:t>注</w:t>
            </w:r>
          </w:p>
        </w:tc>
        <w:tc>
          <w:tcPr>
            <w:tcW w:w="6606" w:type="dxa"/>
            <w:gridSpan w:val="3"/>
          </w:tcPr>
          <w:p w14:paraId="47AD4DA9">
            <w:pPr>
              <w:pStyle w:val="26"/>
              <w:keepNext w:val="0"/>
              <w:keepLines w:val="0"/>
              <w:suppressLineNumbers w:val="0"/>
              <w:spacing w:before="0" w:beforeAutospacing="0" w:after="0" w:afterAutospacing="0"/>
              <w:ind w:left="0" w:right="0"/>
              <w:rPr>
                <w:rFonts w:hint="default"/>
                <w:sz w:val="20"/>
                <w:highlight w:val="none"/>
                <w:lang w:eastAsia="en-US"/>
              </w:rPr>
            </w:pPr>
          </w:p>
        </w:tc>
      </w:tr>
    </w:tbl>
    <w:p w14:paraId="0DFE007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bCs/>
          <w:color w:val="C00000"/>
          <w:sz w:val="32"/>
          <w:szCs w:val="30"/>
          <w:highlight w:val="none"/>
          <w:lang w:eastAsia="zh-CN"/>
        </w:rPr>
      </w:pPr>
    </w:p>
    <w:p w14:paraId="33BC3F5D">
      <w:pPr>
        <w:spacing w:before="128"/>
        <w:ind w:firstLine="422" w:firstLineChars="200"/>
        <w:rPr>
          <w:b/>
          <w:bCs/>
          <w:highlight w:val="none"/>
        </w:rPr>
      </w:pPr>
      <w:r>
        <w:rPr>
          <w:rFonts w:hint="eastAsia"/>
          <w:b/>
          <w:bCs/>
          <w:highlight w:val="none"/>
        </w:rPr>
        <w:t>注： 1.本表应按询价文件的“</w:t>
      </w:r>
      <w:r>
        <w:rPr>
          <w:rFonts w:hint="eastAsia"/>
          <w:b/>
          <w:bCs/>
          <w:highlight w:val="none"/>
          <w:lang w:val="en-US" w:eastAsia="zh-CN"/>
        </w:rPr>
        <w:t>项目负责人</w:t>
      </w:r>
      <w:r>
        <w:rPr>
          <w:rFonts w:hint="eastAsia"/>
          <w:b/>
          <w:bCs/>
          <w:highlight w:val="none"/>
        </w:rPr>
        <w:t>要求”逐一填写。</w:t>
      </w:r>
    </w:p>
    <w:p w14:paraId="71566410">
      <w:pPr>
        <w:numPr>
          <w:ilvl w:val="0"/>
          <w:numId w:val="13"/>
        </w:numPr>
        <w:spacing w:before="128"/>
        <w:ind w:left="369" w:firstLine="632" w:firstLineChars="300"/>
        <w:rPr>
          <w:rFonts w:hint="eastAsia"/>
          <w:b/>
          <w:bCs/>
          <w:highlight w:val="none"/>
        </w:rPr>
      </w:pPr>
      <w:r>
        <w:rPr>
          <w:rFonts w:hint="eastAsia"/>
          <w:b/>
          <w:bCs/>
          <w:highlight w:val="none"/>
        </w:rPr>
        <w:t>拟投入</w:t>
      </w:r>
      <w:r>
        <w:rPr>
          <w:rFonts w:hint="eastAsia"/>
          <w:b/>
          <w:bCs/>
          <w:highlight w:val="none"/>
          <w:lang w:val="en-US" w:eastAsia="zh-CN"/>
        </w:rPr>
        <w:t>项目负责人</w:t>
      </w:r>
      <w:r>
        <w:rPr>
          <w:rFonts w:hint="eastAsia"/>
          <w:b/>
          <w:bCs/>
          <w:highlight w:val="none"/>
        </w:rPr>
        <w:t>应提供相关证明材料：</w:t>
      </w:r>
    </w:p>
    <w:p w14:paraId="64F89DE6">
      <w:pPr>
        <w:numPr>
          <w:ilvl w:val="0"/>
          <w:numId w:val="14"/>
        </w:numPr>
        <w:spacing w:before="128"/>
        <w:ind w:firstLine="843" w:firstLineChars="400"/>
        <w:rPr>
          <w:rFonts w:hint="eastAsia"/>
          <w:b/>
          <w:bCs/>
          <w:highlight w:val="none"/>
        </w:rPr>
      </w:pPr>
      <w:r>
        <w:rPr>
          <w:rFonts w:hint="eastAsia"/>
          <w:b/>
          <w:bCs/>
          <w:highlight w:val="none"/>
        </w:rPr>
        <w:t>应附身份证</w:t>
      </w:r>
      <w:r>
        <w:rPr>
          <w:rFonts w:hint="eastAsia"/>
          <w:b/>
          <w:bCs/>
          <w:highlight w:val="none"/>
          <w:lang w:val="en-US" w:eastAsia="zh-CN"/>
        </w:rPr>
        <w:t>以及</w:t>
      </w:r>
      <w:r>
        <w:rPr>
          <w:rFonts w:hint="eastAsia"/>
          <w:b/>
          <w:bCs/>
          <w:highlight w:val="none"/>
        </w:rPr>
        <w:t>在职证明（所属社保机构出具的拟投入的</w:t>
      </w:r>
      <w:r>
        <w:rPr>
          <w:rFonts w:hint="eastAsia"/>
          <w:b/>
          <w:bCs/>
          <w:highlight w:val="none"/>
          <w:lang w:val="en-US" w:eastAsia="zh-CN"/>
        </w:rPr>
        <w:t>项目负责人</w:t>
      </w:r>
      <w:r>
        <w:rPr>
          <w:rFonts w:hint="eastAsia"/>
          <w:b/>
          <w:bCs/>
          <w:highlight w:val="none"/>
        </w:rPr>
        <w:t>近一年内连续三个月以上的社保缴费证明或其他能够证明拟委任</w:t>
      </w:r>
      <w:r>
        <w:rPr>
          <w:rFonts w:hint="eastAsia"/>
          <w:b/>
          <w:bCs/>
          <w:highlight w:val="none"/>
          <w:lang w:val="en-US" w:eastAsia="zh-CN"/>
        </w:rPr>
        <w:t>项目负责人</w:t>
      </w:r>
      <w:r>
        <w:rPr>
          <w:rFonts w:hint="eastAsia"/>
          <w:b/>
          <w:bCs/>
          <w:highlight w:val="none"/>
        </w:rPr>
        <w:t>参加社保的有效证明材料（社保证明材料的社保缴纳单位名称需与报价人单位名称一致）。</w:t>
      </w:r>
    </w:p>
    <w:p w14:paraId="45555BBC">
      <w:pPr>
        <w:numPr>
          <w:ilvl w:val="0"/>
          <w:numId w:val="14"/>
        </w:numPr>
        <w:spacing w:before="128"/>
        <w:ind w:firstLine="843" w:firstLineChars="400"/>
        <w:rPr>
          <w:rFonts w:hint="eastAsia"/>
          <w:b/>
          <w:bCs/>
          <w:highlight w:val="none"/>
        </w:rPr>
      </w:pPr>
      <w:r>
        <w:rPr>
          <w:rFonts w:hint="eastAsia"/>
          <w:b/>
          <w:bCs/>
          <w:highlight w:val="none"/>
        </w:rPr>
        <w:t>拟派项目负责人具有相关业绩的，应提供a.地级市及以上国有企业以国资委等政府网站或股权查询网站查询截图，截图内容清晰可辨，如提供的截图无法反映评审信息，该业绩将不予认可；b.中标通知书或成交通知书或合同协议书关键页（须以合同中载明的项目类型、签订时间、项目负责人）复印件并加盖公章，作为证明材料，若中标通知书或成交通知书或合同协议书关键页不能反映评审所需信息的，还需由发包人出具证明材料或说明。</w:t>
      </w:r>
    </w:p>
    <w:p w14:paraId="4111A1A1">
      <w:pPr>
        <w:spacing w:before="128"/>
        <w:ind w:firstLine="843" w:firstLineChars="400"/>
        <w:rPr>
          <w:rFonts w:hint="eastAsia"/>
          <w:b/>
          <w:bCs/>
          <w:highlight w:val="none"/>
        </w:rPr>
      </w:pPr>
      <w:r>
        <w:rPr>
          <w:rFonts w:hint="eastAsia"/>
          <w:b/>
          <w:bCs/>
          <w:highlight w:val="none"/>
          <w:lang w:eastAsia="zh-CN"/>
        </w:rPr>
        <w:t>（</w:t>
      </w:r>
      <w:r>
        <w:rPr>
          <w:rFonts w:hint="eastAsia"/>
          <w:b/>
          <w:bCs/>
          <w:highlight w:val="none"/>
          <w:lang w:val="en-US" w:eastAsia="zh-CN"/>
        </w:rPr>
        <w:t>3</w:t>
      </w:r>
      <w:r>
        <w:rPr>
          <w:rFonts w:hint="eastAsia"/>
          <w:b/>
          <w:bCs/>
          <w:highlight w:val="none"/>
          <w:lang w:eastAsia="zh-CN"/>
        </w:rPr>
        <w:t>）</w:t>
      </w:r>
      <w:r>
        <w:rPr>
          <w:rFonts w:hint="eastAsia"/>
          <w:b/>
          <w:bCs/>
          <w:highlight w:val="none"/>
        </w:rPr>
        <w:t>以上资料提供复印件并逐页加盖公章。</w:t>
      </w:r>
    </w:p>
    <w:p w14:paraId="22A91E47">
      <w:pPr>
        <w:rPr>
          <w:rFonts w:hint="eastAsia"/>
          <w:b/>
          <w:bCs/>
          <w:highlight w:val="none"/>
        </w:rPr>
      </w:pPr>
      <w:r>
        <w:rPr>
          <w:rFonts w:hint="eastAsia"/>
          <w:b/>
          <w:bCs/>
          <w:highlight w:val="none"/>
        </w:rPr>
        <w:br w:type="page"/>
      </w:r>
    </w:p>
    <w:p w14:paraId="38EF0D5A">
      <w:pPr>
        <w:adjustRightInd w:val="0"/>
        <w:snapToGrid w:val="0"/>
        <w:spacing w:line="480" w:lineRule="exact"/>
        <w:jc w:val="center"/>
        <w:rPr>
          <w:rFonts w:hint="eastAsia" w:eastAsia="黑体"/>
          <w:sz w:val="32"/>
          <w:szCs w:val="32"/>
          <w:highlight w:val="none"/>
          <w:lang w:val="en-US" w:eastAsia="zh-CN"/>
        </w:rPr>
      </w:pPr>
      <w:bookmarkStart w:id="51" w:name="_Toc19511"/>
      <w:bookmarkStart w:id="52" w:name="_Toc11293"/>
      <w:r>
        <w:rPr>
          <w:rFonts w:hint="eastAsia" w:eastAsia="黑体"/>
          <w:sz w:val="32"/>
          <w:szCs w:val="32"/>
          <w:highlight w:val="none"/>
          <w:lang w:val="en-US" w:eastAsia="zh-CN"/>
        </w:rPr>
        <w:t>五、拟投入驻地团队成员承诺函</w:t>
      </w:r>
    </w:p>
    <w:p w14:paraId="30826A51">
      <w:pPr>
        <w:keepNext w:val="0"/>
        <w:keepLines w:val="0"/>
        <w:widowControl w:val="0"/>
        <w:suppressLineNumbers w:val="0"/>
        <w:spacing w:before="0" w:beforeAutospacing="0" w:after="0" w:afterAutospacing="0" w:line="600" w:lineRule="exact"/>
        <w:ind w:left="0" w:right="0"/>
        <w:jc w:val="center"/>
        <w:rPr>
          <w:rFonts w:hint="eastAsia" w:ascii="仿宋_GB2312" w:hAnsi="仿宋_GB2312" w:eastAsia="仿宋_GB2312" w:cs="仿宋_GB2312"/>
          <w:b/>
          <w:bCs w:val="0"/>
          <w:sz w:val="32"/>
          <w:szCs w:val="32"/>
          <w:highlight w:val="none"/>
          <w:lang w:val="en-US"/>
        </w:rPr>
      </w:pPr>
    </w:p>
    <w:p w14:paraId="48919F3D">
      <w:pPr>
        <w:keepNext w:val="0"/>
        <w:keepLines w:val="0"/>
        <w:widowControl w:val="0"/>
        <w:suppressLineNumbers w:val="0"/>
        <w:tabs>
          <w:tab w:val="left" w:pos="2500"/>
        </w:tabs>
        <w:autoSpaceDE w:val="0"/>
        <w:autoSpaceDN w:val="0"/>
        <w:adjustRightInd w:val="0"/>
        <w:spacing w:before="0" w:beforeAutospacing="0" w:after="0" w:afterAutospacing="0"/>
        <w:ind w:left="0" w:right="0"/>
        <w:jc w:val="both"/>
        <w:rPr>
          <w:rFonts w:hint="eastAsia"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kern w:val="2"/>
          <w:sz w:val="28"/>
          <w:szCs w:val="28"/>
          <w:highlight w:val="none"/>
          <w:lang w:val="en-US" w:eastAsia="zh-CN" w:bidi="ar"/>
        </w:rPr>
        <w:t>致：</w:t>
      </w:r>
      <w:r>
        <w:rPr>
          <w:rFonts w:hint="eastAsia" w:asciiTheme="minorEastAsia" w:hAnsiTheme="minorEastAsia" w:eastAsiaTheme="minorEastAsia" w:cstheme="minorEastAsia"/>
          <w:b/>
          <w:bCs w:val="0"/>
          <w:kern w:val="2"/>
          <w:sz w:val="28"/>
          <w:szCs w:val="28"/>
          <w:highlight w:val="none"/>
          <w:u w:val="single"/>
          <w:lang w:val="en-US" w:eastAsia="zh-CN" w:bidi="ar"/>
        </w:rPr>
        <w:t>赣州交通控股集团有限公司</w:t>
      </w:r>
    </w:p>
    <w:p w14:paraId="309CF254">
      <w:pPr>
        <w:pStyle w:val="14"/>
        <w:keepNext w:val="0"/>
        <w:keepLines w:val="0"/>
        <w:widowControl w:val="0"/>
        <w:suppressLineNumbers w:val="0"/>
        <w:autoSpaceDE w:val="0"/>
        <w:autoSpaceDN w:val="0"/>
        <w:adjustRightInd w:val="0"/>
        <w:spacing w:before="0" w:beforeAutospacing="0" w:after="0" w:afterAutospacing="0"/>
        <w:ind w:left="0" w:right="0" w:firstLine="560" w:firstLineChars="200"/>
        <w:jc w:val="both"/>
        <w:rPr>
          <w:rFonts w:hint="eastAsia"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color w:val="000000"/>
          <w:kern w:val="0"/>
          <w:sz w:val="28"/>
          <w:szCs w:val="28"/>
          <w:highlight w:val="none"/>
          <w:lang w:val="en-US" w:eastAsia="zh-CN" w:bidi="ar"/>
        </w:rPr>
        <w:t>如我方中选，我方承诺在收到成交通知书后15日内，按照发包人在询价文件附件1中规定的驻地团队成员配置最低标准投入人员。拟投入人员的具体人选由发包人和中选人在合同谈判阶段确定，且经发包人审批后作为派驻本项目的驻地团队成员。如中选人拟投入的人员数量和资格条件不满足本项目询价文件要求，发包人有权取消我方中选资格，且可以不予退还我方递交的询价保证金。</w:t>
      </w:r>
    </w:p>
    <w:p w14:paraId="559FD300">
      <w:pPr>
        <w:keepNext w:val="0"/>
        <w:keepLines w:val="0"/>
        <w:widowControl w:val="0"/>
        <w:suppressLineNumbers w:val="0"/>
        <w:spacing w:before="0" w:beforeAutospacing="0" w:after="0" w:afterAutospacing="0" w:line="600" w:lineRule="exact"/>
        <w:ind w:left="0" w:right="0"/>
        <w:jc w:val="both"/>
        <w:rPr>
          <w:rFonts w:hint="eastAsia" w:asciiTheme="minorEastAsia" w:hAnsiTheme="minorEastAsia" w:eastAsiaTheme="minorEastAsia" w:cstheme="minorEastAsia"/>
          <w:sz w:val="28"/>
          <w:szCs w:val="28"/>
          <w:highlight w:val="none"/>
          <w:lang w:val="en-US"/>
        </w:rPr>
      </w:pPr>
    </w:p>
    <w:p w14:paraId="3F488E33">
      <w:pPr>
        <w:keepNext w:val="0"/>
        <w:keepLines w:val="0"/>
        <w:widowControl w:val="0"/>
        <w:suppressLineNumbers w:val="0"/>
        <w:tabs>
          <w:tab w:val="left" w:pos="7460"/>
          <w:tab w:val="left" w:pos="8080"/>
          <w:tab w:val="left" w:pos="8800"/>
        </w:tabs>
        <w:autoSpaceDE w:val="0"/>
        <w:autoSpaceDN w:val="0"/>
        <w:adjustRightInd w:val="0"/>
        <w:spacing w:before="0" w:beforeAutospacing="0" w:after="0" w:afterAutospacing="0" w:line="360" w:lineRule="auto"/>
        <w:ind w:left="0" w:right="-1050" w:firstLine="5040" w:firstLineChars="1800"/>
        <w:jc w:val="both"/>
        <w:rPr>
          <w:rFonts w:hint="eastAsia" w:asciiTheme="minorEastAsia" w:hAnsiTheme="minorEastAsia" w:eastAsiaTheme="minorEastAsia" w:cstheme="minorEastAsia"/>
          <w:sz w:val="28"/>
          <w:szCs w:val="28"/>
          <w:highlight w:val="none"/>
          <w:lang w:val="en-US"/>
        </w:rPr>
      </w:pPr>
    </w:p>
    <w:p w14:paraId="07E618CF">
      <w:pPr>
        <w:keepNext w:val="0"/>
        <w:keepLines w:val="0"/>
        <w:widowControl w:val="0"/>
        <w:suppressLineNumbers w:val="0"/>
        <w:tabs>
          <w:tab w:val="left" w:pos="7460"/>
          <w:tab w:val="left" w:pos="8080"/>
          <w:tab w:val="left" w:pos="8800"/>
        </w:tabs>
        <w:autoSpaceDE w:val="0"/>
        <w:autoSpaceDN w:val="0"/>
        <w:adjustRightInd w:val="0"/>
        <w:spacing w:before="0" w:beforeAutospacing="0" w:after="0" w:afterAutospacing="0" w:line="360" w:lineRule="auto"/>
        <w:ind w:left="0" w:right="-1050" w:firstLine="5040" w:firstLineChars="1800"/>
        <w:jc w:val="both"/>
        <w:rPr>
          <w:rFonts w:hint="eastAsia" w:asciiTheme="minorEastAsia" w:hAnsiTheme="minorEastAsia" w:eastAsiaTheme="minorEastAsia" w:cstheme="minorEastAsia"/>
          <w:color w:val="000000"/>
          <w:sz w:val="28"/>
          <w:szCs w:val="28"/>
          <w:highlight w:val="none"/>
          <w:lang w:val="en-US"/>
        </w:rPr>
      </w:pPr>
      <w:r>
        <w:rPr>
          <w:rFonts w:hint="eastAsia" w:asciiTheme="minorEastAsia" w:hAnsiTheme="minorEastAsia" w:eastAsiaTheme="minorEastAsia" w:cstheme="minorEastAsia"/>
          <w:kern w:val="2"/>
          <w:sz w:val="28"/>
          <w:szCs w:val="28"/>
          <w:highlight w:val="none"/>
          <w:lang w:val="en-US" w:eastAsia="zh-CN" w:bidi="ar"/>
        </w:rPr>
        <w:t>单位名称：(盖单位章)</w:t>
      </w:r>
    </w:p>
    <w:p w14:paraId="45FE373C">
      <w:pPr>
        <w:keepNext w:val="0"/>
        <w:keepLines w:val="0"/>
        <w:widowControl w:val="0"/>
        <w:suppressLineNumbers w:val="0"/>
        <w:tabs>
          <w:tab w:val="left" w:pos="7460"/>
          <w:tab w:val="left" w:pos="8080"/>
          <w:tab w:val="left" w:pos="8800"/>
        </w:tabs>
        <w:autoSpaceDE w:val="0"/>
        <w:autoSpaceDN w:val="0"/>
        <w:adjustRightInd w:val="0"/>
        <w:spacing w:before="0" w:beforeAutospacing="0" w:after="0" w:afterAutospacing="0" w:line="360" w:lineRule="auto"/>
        <w:ind w:left="0" w:right="-1050" w:firstLine="3920" w:firstLineChars="1400"/>
        <w:jc w:val="both"/>
        <w:rPr>
          <w:rFonts w:hint="eastAsia"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kern w:val="2"/>
          <w:sz w:val="28"/>
          <w:szCs w:val="28"/>
          <w:highlight w:val="none"/>
          <w:lang w:val="en-US" w:eastAsia="zh-CN" w:bidi="ar"/>
        </w:rPr>
        <w:t xml:space="preserve">法定代表人或其委托代理人：(签字) </w:t>
      </w:r>
    </w:p>
    <w:p w14:paraId="3FCA445D">
      <w:pPr>
        <w:keepNext w:val="0"/>
        <w:keepLines w:val="0"/>
        <w:widowControl w:val="0"/>
        <w:suppressLineNumbers w:val="0"/>
        <w:tabs>
          <w:tab w:val="left" w:pos="7460"/>
          <w:tab w:val="left" w:pos="8080"/>
          <w:tab w:val="left" w:pos="8800"/>
        </w:tabs>
        <w:autoSpaceDE w:val="0"/>
        <w:autoSpaceDN w:val="0"/>
        <w:adjustRightInd w:val="0"/>
        <w:spacing w:before="0" w:beforeAutospacing="0" w:after="0" w:afterAutospacing="0" w:line="360" w:lineRule="auto"/>
        <w:ind w:left="0" w:right="-1050" w:firstLine="5040" w:firstLineChars="1800"/>
        <w:jc w:val="both"/>
        <w:rPr>
          <w:rFonts w:hint="eastAsia"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kern w:val="2"/>
          <w:sz w:val="28"/>
          <w:szCs w:val="28"/>
          <w:highlight w:val="none"/>
          <w:lang w:val="en-US" w:eastAsia="zh-CN" w:bidi="ar"/>
        </w:rPr>
        <w:t xml:space="preserve">             </w:t>
      </w:r>
    </w:p>
    <w:p w14:paraId="0F528F5F">
      <w:pPr>
        <w:keepNext w:val="0"/>
        <w:keepLines w:val="0"/>
        <w:widowControl/>
        <w:suppressLineNumbers w:val="0"/>
        <w:ind w:firstLine="5880" w:firstLineChars="2100"/>
        <w:jc w:val="both"/>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kern w:val="2"/>
          <w:sz w:val="28"/>
          <w:szCs w:val="28"/>
          <w:highlight w:val="none"/>
          <w:lang w:val="en-US" w:eastAsia="zh-CN" w:bidi="ar"/>
        </w:rPr>
        <w:t>年   月  日</w:t>
      </w:r>
    </w:p>
    <w:p w14:paraId="53946D2E">
      <w:pPr>
        <w:numPr>
          <w:ilvl w:val="0"/>
          <w:numId w:val="0"/>
        </w:numPr>
        <w:spacing w:before="240" w:beforeLines="100" w:after="240" w:afterLines="100"/>
        <w:jc w:val="both"/>
        <w:outlineLvl w:val="1"/>
        <w:rPr>
          <w:rFonts w:hint="eastAsia" w:eastAsia="黑体"/>
          <w:bCs/>
          <w:sz w:val="32"/>
          <w:szCs w:val="32"/>
          <w:highlight w:val="none"/>
        </w:rPr>
      </w:pPr>
    </w:p>
    <w:p w14:paraId="56CBA87F">
      <w:pPr>
        <w:numPr>
          <w:ilvl w:val="0"/>
          <w:numId w:val="0"/>
        </w:numPr>
        <w:spacing w:before="240" w:beforeLines="100" w:after="240" w:afterLines="100"/>
        <w:jc w:val="both"/>
        <w:outlineLvl w:val="1"/>
        <w:rPr>
          <w:rFonts w:hint="eastAsia" w:eastAsia="黑体"/>
          <w:bCs/>
          <w:sz w:val="32"/>
          <w:szCs w:val="32"/>
          <w:highlight w:val="none"/>
        </w:rPr>
      </w:pPr>
    </w:p>
    <w:p w14:paraId="4A53BD86">
      <w:pPr>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br w:type="page"/>
      </w:r>
    </w:p>
    <w:p w14:paraId="552CABC0">
      <w:pPr>
        <w:keepNext w:val="0"/>
        <w:keepLines w:val="0"/>
        <w:pageBreakBefore w:val="0"/>
        <w:widowControl w:val="0"/>
        <w:numPr>
          <w:ilvl w:val="0"/>
          <w:numId w:val="0"/>
        </w:numPr>
        <w:kinsoku/>
        <w:wordWrap/>
        <w:overflowPunct/>
        <w:topLinePunct w:val="0"/>
        <w:autoSpaceDE/>
        <w:autoSpaceDN/>
        <w:bidi w:val="0"/>
        <w:adjustRightInd w:val="0"/>
        <w:snapToGrid w:val="0"/>
        <w:spacing w:after="313" w:afterLines="100" w:line="480" w:lineRule="exact"/>
        <w:jc w:val="center"/>
        <w:textAlignment w:val="auto"/>
        <w:rPr>
          <w:rFonts w:hint="eastAsia" w:eastAsia="黑体"/>
          <w:sz w:val="32"/>
          <w:szCs w:val="32"/>
          <w:highlight w:val="none"/>
          <w:lang w:val="en-US" w:eastAsia="zh-CN"/>
        </w:rPr>
      </w:pPr>
      <w:r>
        <w:rPr>
          <w:rFonts w:hint="eastAsia" w:eastAsia="黑体"/>
          <w:sz w:val="32"/>
          <w:szCs w:val="32"/>
          <w:highlight w:val="none"/>
          <w:lang w:val="en-US" w:eastAsia="zh-CN"/>
        </w:rPr>
        <w:t>六、技术文件</w:t>
      </w:r>
    </w:p>
    <w:p w14:paraId="011ACE54">
      <w:pPr>
        <w:keepNext w:val="0"/>
        <w:keepLines w:val="0"/>
        <w:pageBreakBefore w:val="0"/>
        <w:widowControl w:val="0"/>
        <w:numPr>
          <w:ilvl w:val="0"/>
          <w:numId w:val="15"/>
        </w:numPr>
        <w:kinsoku/>
        <w:wordWrap/>
        <w:overflowPunct/>
        <w:topLinePunct w:val="0"/>
        <w:autoSpaceDE/>
        <w:autoSpaceDN/>
        <w:bidi w:val="0"/>
        <w:adjustRightInd/>
        <w:snapToGrid/>
        <w:spacing w:line="540" w:lineRule="exact"/>
        <w:ind w:leftChars="0" w:firstLine="480" w:firstLineChars="200"/>
        <w:jc w:val="both"/>
        <w:textAlignment w:val="auto"/>
        <w:outlineLvl w:val="9"/>
        <w:rPr>
          <w:rFonts w:hint="eastAsia" w:asciiTheme="minorEastAsia" w:hAnsiTheme="minorEastAsia" w:eastAsiaTheme="minorEastAsia" w:cstheme="minorEastAsia"/>
          <w:b w:val="0"/>
          <w:bCs/>
          <w:sz w:val="24"/>
          <w:szCs w:val="24"/>
          <w:highlight w:val="none"/>
          <w:lang w:val="en-US" w:eastAsia="zh-CN"/>
        </w:rPr>
      </w:pPr>
      <w:r>
        <w:rPr>
          <w:rFonts w:hint="eastAsia" w:ascii="宋体" w:hAnsi="宋体" w:eastAsia="宋体" w:cs="宋体"/>
          <w:sz w:val="24"/>
          <w:szCs w:val="24"/>
          <w:highlight w:val="none"/>
        </w:rPr>
        <w:t>项目背景、形势分析</w:t>
      </w:r>
    </w:p>
    <w:p w14:paraId="2CAEA7E4">
      <w:pPr>
        <w:keepNext w:val="0"/>
        <w:keepLines w:val="0"/>
        <w:pageBreakBefore w:val="0"/>
        <w:widowControl w:val="0"/>
        <w:numPr>
          <w:ilvl w:val="0"/>
          <w:numId w:val="15"/>
        </w:numPr>
        <w:kinsoku/>
        <w:wordWrap/>
        <w:overflowPunct/>
        <w:topLinePunct w:val="0"/>
        <w:autoSpaceDE/>
        <w:autoSpaceDN/>
        <w:bidi w:val="0"/>
        <w:adjustRightInd/>
        <w:snapToGrid/>
        <w:spacing w:line="540" w:lineRule="exact"/>
        <w:ind w:leftChars="0" w:firstLine="480" w:firstLineChars="200"/>
        <w:jc w:val="both"/>
        <w:textAlignment w:val="auto"/>
        <w:outlineLvl w:val="9"/>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bidi="ar"/>
        </w:rPr>
        <w:t>服务方案；</w:t>
      </w:r>
    </w:p>
    <w:p w14:paraId="69450A58">
      <w:pPr>
        <w:keepNext w:val="0"/>
        <w:keepLines w:val="0"/>
        <w:pageBreakBefore w:val="0"/>
        <w:widowControl w:val="0"/>
        <w:numPr>
          <w:ilvl w:val="0"/>
          <w:numId w:val="16"/>
        </w:numPr>
        <w:kinsoku/>
        <w:wordWrap/>
        <w:overflowPunct/>
        <w:topLinePunct w:val="0"/>
        <w:autoSpaceDE/>
        <w:autoSpaceDN/>
        <w:bidi w:val="0"/>
        <w:adjustRightInd/>
        <w:snapToGrid/>
        <w:spacing w:line="540" w:lineRule="exact"/>
        <w:ind w:leftChars="200"/>
        <w:jc w:val="both"/>
        <w:textAlignment w:val="auto"/>
        <w:outlineLvl w:val="9"/>
        <w:rPr>
          <w:rFonts w:hint="eastAsia" w:asciiTheme="minorEastAsia" w:hAnsiTheme="minorEastAsia" w:cstheme="minorEastAsia"/>
          <w:b w:val="0"/>
          <w:bCs/>
          <w:color w:val="000000"/>
          <w:kern w:val="0"/>
          <w:sz w:val="24"/>
          <w:szCs w:val="24"/>
          <w:highlight w:val="none"/>
          <w:lang w:val="en-US" w:eastAsia="zh-CN" w:bidi="ar"/>
        </w:rPr>
      </w:pPr>
      <w:r>
        <w:rPr>
          <w:rFonts w:hint="eastAsia" w:asciiTheme="minorEastAsia" w:hAnsiTheme="minorEastAsia" w:cstheme="minorEastAsia"/>
          <w:b w:val="0"/>
          <w:bCs/>
          <w:color w:val="000000"/>
          <w:kern w:val="0"/>
          <w:sz w:val="24"/>
          <w:szCs w:val="24"/>
          <w:highlight w:val="none"/>
          <w:lang w:val="en-US" w:eastAsia="zh-CN" w:bidi="ar"/>
        </w:rPr>
        <w:t>项目总体思路及整体设计；</w:t>
      </w:r>
    </w:p>
    <w:p w14:paraId="1A0CF363">
      <w:pPr>
        <w:keepNext w:val="0"/>
        <w:keepLines w:val="0"/>
        <w:pageBreakBefore w:val="0"/>
        <w:widowControl w:val="0"/>
        <w:numPr>
          <w:ilvl w:val="0"/>
          <w:numId w:val="16"/>
        </w:numPr>
        <w:kinsoku/>
        <w:wordWrap/>
        <w:overflowPunct/>
        <w:topLinePunct w:val="0"/>
        <w:autoSpaceDE/>
        <w:autoSpaceDN/>
        <w:bidi w:val="0"/>
        <w:adjustRightInd/>
        <w:snapToGrid/>
        <w:spacing w:line="540" w:lineRule="exact"/>
        <w:ind w:leftChars="200"/>
        <w:jc w:val="both"/>
        <w:textAlignment w:val="auto"/>
        <w:outlineLvl w:val="9"/>
        <w:rPr>
          <w:rFonts w:hint="eastAsia" w:asciiTheme="minorEastAsia" w:hAnsiTheme="minorEastAsia" w:cstheme="minorEastAsia"/>
          <w:b w:val="0"/>
          <w:bCs/>
          <w:color w:val="000000"/>
          <w:kern w:val="0"/>
          <w:sz w:val="24"/>
          <w:szCs w:val="24"/>
          <w:highlight w:val="none"/>
          <w:lang w:val="en-US" w:eastAsia="zh-CN" w:bidi="ar"/>
        </w:rPr>
      </w:pPr>
      <w:r>
        <w:rPr>
          <w:rFonts w:hint="eastAsia" w:asciiTheme="minorEastAsia" w:hAnsiTheme="minorEastAsia" w:cstheme="minorEastAsia"/>
          <w:b w:val="0"/>
          <w:bCs/>
          <w:color w:val="000000"/>
          <w:kern w:val="0"/>
          <w:sz w:val="24"/>
          <w:szCs w:val="24"/>
          <w:highlight w:val="none"/>
          <w:lang w:val="en-US" w:eastAsia="zh-CN" w:bidi="ar"/>
        </w:rPr>
        <w:t>跟踪辅导方案；</w:t>
      </w:r>
    </w:p>
    <w:p w14:paraId="58E03E48">
      <w:pPr>
        <w:keepNext w:val="0"/>
        <w:keepLines w:val="0"/>
        <w:pageBreakBefore w:val="0"/>
        <w:widowControl w:val="0"/>
        <w:numPr>
          <w:ilvl w:val="0"/>
          <w:numId w:val="16"/>
        </w:numPr>
        <w:kinsoku/>
        <w:wordWrap/>
        <w:overflowPunct/>
        <w:topLinePunct w:val="0"/>
        <w:autoSpaceDE/>
        <w:autoSpaceDN/>
        <w:bidi w:val="0"/>
        <w:adjustRightInd/>
        <w:snapToGrid/>
        <w:spacing w:line="540" w:lineRule="exact"/>
        <w:ind w:leftChars="200"/>
        <w:jc w:val="both"/>
        <w:textAlignment w:val="auto"/>
        <w:outlineLvl w:val="9"/>
        <w:rPr>
          <w:rFonts w:hint="eastAsia" w:asciiTheme="minorEastAsia" w:hAnsiTheme="minorEastAsia" w:cstheme="minorEastAsia"/>
          <w:b w:val="0"/>
          <w:bCs/>
          <w:color w:val="000000"/>
          <w:kern w:val="0"/>
          <w:sz w:val="24"/>
          <w:szCs w:val="24"/>
          <w:highlight w:val="none"/>
          <w:lang w:val="en-US" w:eastAsia="zh-CN" w:bidi="ar"/>
        </w:rPr>
      </w:pPr>
      <w:r>
        <w:rPr>
          <w:rFonts w:hint="eastAsia" w:asciiTheme="minorEastAsia" w:hAnsiTheme="minorEastAsia" w:cstheme="minorEastAsia"/>
          <w:b w:val="0"/>
          <w:bCs/>
          <w:color w:val="000000"/>
          <w:kern w:val="0"/>
          <w:sz w:val="24"/>
          <w:szCs w:val="24"/>
          <w:highlight w:val="none"/>
          <w:lang w:val="en-US" w:eastAsia="zh-CN" w:bidi="ar"/>
        </w:rPr>
        <w:t>时间进度安排方案。</w:t>
      </w:r>
    </w:p>
    <w:p w14:paraId="08613086">
      <w:pPr>
        <w:spacing w:before="240" w:beforeLines="100" w:after="240" w:afterLines="100"/>
        <w:jc w:val="center"/>
        <w:outlineLvl w:val="1"/>
        <w:rPr>
          <w:rFonts w:hint="eastAsia" w:eastAsia="黑体"/>
          <w:bCs/>
          <w:sz w:val="32"/>
          <w:szCs w:val="32"/>
          <w:highlight w:val="none"/>
          <w:lang w:val="en-US" w:eastAsia="zh-CN"/>
        </w:rPr>
      </w:pPr>
    </w:p>
    <w:p w14:paraId="404CC971">
      <w:pPr>
        <w:spacing w:before="240" w:beforeLines="100" w:after="240" w:afterLines="100"/>
        <w:jc w:val="center"/>
        <w:outlineLvl w:val="1"/>
        <w:rPr>
          <w:rFonts w:hint="eastAsia" w:eastAsia="黑体"/>
          <w:bCs/>
          <w:sz w:val="32"/>
          <w:szCs w:val="32"/>
          <w:highlight w:val="none"/>
          <w:lang w:val="en-US" w:eastAsia="zh-CN"/>
        </w:rPr>
      </w:pPr>
    </w:p>
    <w:p w14:paraId="5C07C448">
      <w:pPr>
        <w:spacing w:before="240" w:beforeLines="100" w:after="240" w:afterLines="100"/>
        <w:jc w:val="center"/>
        <w:outlineLvl w:val="1"/>
        <w:rPr>
          <w:rFonts w:hint="eastAsia" w:eastAsia="黑体"/>
          <w:bCs/>
          <w:sz w:val="32"/>
          <w:szCs w:val="32"/>
          <w:highlight w:val="none"/>
          <w:lang w:val="en-US" w:eastAsia="zh-CN"/>
        </w:rPr>
      </w:pPr>
    </w:p>
    <w:p w14:paraId="351961DC">
      <w:pPr>
        <w:spacing w:before="240" w:beforeLines="100" w:after="240" w:afterLines="100"/>
        <w:jc w:val="center"/>
        <w:outlineLvl w:val="1"/>
        <w:rPr>
          <w:rFonts w:hint="eastAsia" w:eastAsia="黑体"/>
          <w:bCs/>
          <w:sz w:val="32"/>
          <w:szCs w:val="32"/>
          <w:highlight w:val="none"/>
          <w:lang w:val="en-US" w:eastAsia="zh-CN"/>
        </w:rPr>
      </w:pPr>
    </w:p>
    <w:p w14:paraId="36B4D09D">
      <w:pPr>
        <w:spacing w:before="240" w:beforeLines="100" w:after="240" w:afterLines="100"/>
        <w:jc w:val="center"/>
        <w:outlineLvl w:val="1"/>
        <w:rPr>
          <w:rFonts w:hint="eastAsia" w:eastAsia="黑体"/>
          <w:bCs/>
          <w:sz w:val="32"/>
          <w:szCs w:val="32"/>
          <w:highlight w:val="none"/>
          <w:lang w:val="en-US" w:eastAsia="zh-CN"/>
        </w:rPr>
      </w:pPr>
    </w:p>
    <w:p w14:paraId="7355C3A1">
      <w:pPr>
        <w:spacing w:before="240" w:beforeLines="100" w:after="240" w:afterLines="100"/>
        <w:jc w:val="center"/>
        <w:outlineLvl w:val="1"/>
        <w:rPr>
          <w:rFonts w:hint="eastAsia" w:eastAsia="黑体"/>
          <w:bCs/>
          <w:sz w:val="32"/>
          <w:szCs w:val="32"/>
          <w:highlight w:val="none"/>
          <w:lang w:val="en-US" w:eastAsia="zh-CN"/>
        </w:rPr>
      </w:pPr>
    </w:p>
    <w:p w14:paraId="158B7D7B">
      <w:pPr>
        <w:spacing w:before="240" w:beforeLines="100" w:after="240" w:afterLines="100"/>
        <w:jc w:val="center"/>
        <w:outlineLvl w:val="1"/>
        <w:rPr>
          <w:rFonts w:hint="eastAsia" w:eastAsia="黑体"/>
          <w:bCs/>
          <w:sz w:val="32"/>
          <w:szCs w:val="32"/>
          <w:highlight w:val="none"/>
          <w:lang w:val="en-US" w:eastAsia="zh-CN"/>
        </w:rPr>
      </w:pPr>
    </w:p>
    <w:p w14:paraId="7E458AE9">
      <w:pPr>
        <w:spacing w:before="240" w:beforeLines="100" w:after="240" w:afterLines="100"/>
        <w:jc w:val="center"/>
        <w:outlineLvl w:val="1"/>
        <w:rPr>
          <w:rFonts w:hint="eastAsia" w:eastAsia="黑体"/>
          <w:bCs/>
          <w:sz w:val="32"/>
          <w:szCs w:val="32"/>
          <w:highlight w:val="none"/>
          <w:lang w:val="en-US" w:eastAsia="zh-CN"/>
        </w:rPr>
      </w:pPr>
    </w:p>
    <w:p w14:paraId="78899922">
      <w:pPr>
        <w:spacing w:before="240" w:beforeLines="100" w:after="240" w:afterLines="100"/>
        <w:jc w:val="center"/>
        <w:outlineLvl w:val="1"/>
        <w:rPr>
          <w:rFonts w:hint="eastAsia" w:eastAsia="黑体"/>
          <w:bCs/>
          <w:sz w:val="32"/>
          <w:szCs w:val="32"/>
          <w:highlight w:val="none"/>
          <w:lang w:val="en-US" w:eastAsia="zh-CN"/>
        </w:rPr>
      </w:pPr>
    </w:p>
    <w:p w14:paraId="6A741FDD">
      <w:pPr>
        <w:rPr>
          <w:rFonts w:hint="eastAsia" w:eastAsia="黑体"/>
          <w:bCs/>
          <w:sz w:val="32"/>
          <w:szCs w:val="32"/>
          <w:highlight w:val="none"/>
          <w:lang w:val="en-US" w:eastAsia="zh-CN"/>
        </w:rPr>
      </w:pPr>
      <w:r>
        <w:rPr>
          <w:rFonts w:hint="eastAsia" w:eastAsia="黑体"/>
          <w:bCs/>
          <w:sz w:val="32"/>
          <w:szCs w:val="32"/>
          <w:highlight w:val="none"/>
          <w:lang w:val="en-US" w:eastAsia="zh-CN"/>
        </w:rPr>
        <w:br w:type="page"/>
      </w:r>
    </w:p>
    <w:p w14:paraId="121FED59">
      <w:pPr>
        <w:numPr>
          <w:ilvl w:val="0"/>
          <w:numId w:val="0"/>
        </w:numPr>
        <w:adjustRightInd w:val="0"/>
        <w:snapToGrid w:val="0"/>
        <w:spacing w:line="480" w:lineRule="exact"/>
        <w:jc w:val="center"/>
        <w:rPr>
          <w:rFonts w:hint="eastAsia" w:eastAsia="黑体"/>
          <w:sz w:val="32"/>
          <w:szCs w:val="32"/>
          <w:highlight w:val="none"/>
          <w:lang w:val="en-US" w:eastAsia="zh-CN"/>
        </w:rPr>
      </w:pPr>
      <w:r>
        <w:rPr>
          <w:rFonts w:hint="eastAsia" w:eastAsia="黑体"/>
          <w:sz w:val="32"/>
          <w:szCs w:val="32"/>
          <w:highlight w:val="none"/>
          <w:lang w:val="en-US" w:eastAsia="zh-CN"/>
        </w:rPr>
        <w:t>七、其它资料</w:t>
      </w:r>
      <w:bookmarkEnd w:id="51"/>
      <w:bookmarkEnd w:id="52"/>
    </w:p>
    <w:p w14:paraId="273EEE4A">
      <w:pPr>
        <w:spacing w:line="560" w:lineRule="exact"/>
        <w:rPr>
          <w:rFonts w:ascii="宋体" w:hAnsi="宋体"/>
          <w:sz w:val="24"/>
          <w:highlight w:val="none"/>
        </w:rPr>
      </w:pPr>
    </w:p>
    <w:p w14:paraId="013D6797">
      <w:pPr>
        <w:spacing w:line="560" w:lineRule="exact"/>
        <w:rPr>
          <w:rFonts w:ascii="宋体" w:hAnsi="宋体"/>
          <w:sz w:val="24"/>
          <w:highlight w:val="none"/>
        </w:rPr>
      </w:pPr>
    </w:p>
    <w:p w14:paraId="593D49DA">
      <w:pPr>
        <w:spacing w:line="560" w:lineRule="exact"/>
        <w:rPr>
          <w:rFonts w:ascii="宋体" w:hAnsi="宋体"/>
          <w:sz w:val="24"/>
          <w:highlight w:val="none"/>
        </w:rPr>
      </w:pPr>
    </w:p>
    <w:p w14:paraId="5D0BFE9D">
      <w:pPr>
        <w:spacing w:line="560" w:lineRule="exact"/>
        <w:rPr>
          <w:rFonts w:ascii="宋体" w:hAnsi="宋体"/>
          <w:sz w:val="24"/>
          <w:highlight w:val="none"/>
        </w:rPr>
      </w:pPr>
    </w:p>
    <w:p w14:paraId="584E16BB">
      <w:pPr>
        <w:spacing w:line="560" w:lineRule="exact"/>
        <w:rPr>
          <w:rFonts w:ascii="宋体" w:hAnsi="宋体"/>
          <w:sz w:val="24"/>
          <w:highlight w:val="none"/>
        </w:rPr>
      </w:pPr>
    </w:p>
    <w:p w14:paraId="3BAB48D8">
      <w:pPr>
        <w:spacing w:line="560" w:lineRule="exact"/>
        <w:rPr>
          <w:rFonts w:ascii="宋体" w:hAnsi="宋体"/>
          <w:sz w:val="24"/>
          <w:highlight w:val="none"/>
        </w:rPr>
      </w:pPr>
    </w:p>
    <w:p w14:paraId="66BA9BC5">
      <w:pPr>
        <w:spacing w:line="560" w:lineRule="exact"/>
        <w:rPr>
          <w:rFonts w:ascii="宋体" w:hAnsi="宋体"/>
          <w:sz w:val="24"/>
          <w:highlight w:val="none"/>
        </w:rPr>
      </w:pPr>
    </w:p>
    <w:p w14:paraId="6DEE8417">
      <w:pPr>
        <w:spacing w:line="560" w:lineRule="exact"/>
        <w:rPr>
          <w:rFonts w:ascii="宋体" w:hAnsi="宋体"/>
          <w:sz w:val="24"/>
          <w:highlight w:val="none"/>
        </w:rPr>
      </w:pPr>
    </w:p>
    <w:p w14:paraId="4E3BCBA8">
      <w:pPr>
        <w:spacing w:line="560" w:lineRule="exact"/>
        <w:rPr>
          <w:rFonts w:ascii="宋体" w:hAnsi="宋体"/>
          <w:sz w:val="24"/>
          <w:highlight w:val="none"/>
        </w:rPr>
      </w:pPr>
    </w:p>
    <w:p w14:paraId="7E3320EF">
      <w:pPr>
        <w:spacing w:line="560" w:lineRule="exact"/>
        <w:rPr>
          <w:rFonts w:ascii="宋体" w:hAnsi="宋体"/>
          <w:sz w:val="24"/>
          <w:highlight w:val="none"/>
        </w:rPr>
      </w:pPr>
    </w:p>
    <w:p w14:paraId="07DD3D4A">
      <w:pPr>
        <w:spacing w:line="560" w:lineRule="exact"/>
        <w:rPr>
          <w:rFonts w:ascii="宋体" w:hAnsi="宋体"/>
          <w:sz w:val="24"/>
          <w:highlight w:val="none"/>
        </w:rPr>
      </w:pPr>
    </w:p>
    <w:p w14:paraId="4A9F62EE">
      <w:pPr>
        <w:spacing w:line="560" w:lineRule="exact"/>
        <w:rPr>
          <w:rFonts w:ascii="宋体" w:hAnsi="宋体"/>
          <w:sz w:val="24"/>
          <w:highlight w:val="none"/>
        </w:rPr>
      </w:pPr>
    </w:p>
    <w:p w14:paraId="4F38ED70">
      <w:pPr>
        <w:spacing w:line="560" w:lineRule="exact"/>
        <w:rPr>
          <w:rFonts w:ascii="宋体" w:hAnsi="宋体"/>
          <w:sz w:val="24"/>
          <w:highlight w:val="none"/>
        </w:rPr>
      </w:pPr>
    </w:p>
    <w:p w14:paraId="7E88140E">
      <w:pPr>
        <w:spacing w:line="560" w:lineRule="exact"/>
        <w:rPr>
          <w:rFonts w:ascii="宋体" w:hAnsi="宋体"/>
          <w:sz w:val="24"/>
          <w:highlight w:val="none"/>
        </w:rPr>
      </w:pPr>
    </w:p>
    <w:p w14:paraId="15E28E74">
      <w:pPr>
        <w:spacing w:line="560" w:lineRule="exact"/>
        <w:rPr>
          <w:rFonts w:ascii="宋体" w:hAnsi="宋体"/>
          <w:sz w:val="24"/>
          <w:highlight w:val="none"/>
        </w:rPr>
      </w:pPr>
    </w:p>
    <w:p w14:paraId="1CAF9493">
      <w:pPr>
        <w:spacing w:line="560" w:lineRule="exact"/>
        <w:rPr>
          <w:rFonts w:ascii="宋体" w:hAnsi="宋体"/>
          <w:sz w:val="24"/>
          <w:highlight w:val="none"/>
        </w:rPr>
      </w:pPr>
    </w:p>
    <w:p w14:paraId="7D7C8912">
      <w:pPr>
        <w:spacing w:line="560" w:lineRule="exact"/>
        <w:rPr>
          <w:rFonts w:ascii="宋体" w:hAnsi="宋体"/>
          <w:sz w:val="24"/>
          <w:highlight w:val="none"/>
        </w:rPr>
      </w:pPr>
    </w:p>
    <w:p w14:paraId="05A49E0D">
      <w:pPr>
        <w:spacing w:line="560" w:lineRule="exact"/>
        <w:rPr>
          <w:rFonts w:ascii="宋体" w:hAnsi="宋体"/>
          <w:sz w:val="24"/>
          <w:highlight w:val="none"/>
        </w:rPr>
      </w:pPr>
    </w:p>
    <w:p w14:paraId="44E30FA4">
      <w:pPr>
        <w:spacing w:line="560" w:lineRule="exact"/>
        <w:rPr>
          <w:rFonts w:ascii="宋体" w:hAnsi="宋体"/>
          <w:sz w:val="24"/>
          <w:highlight w:val="none"/>
        </w:rPr>
      </w:pPr>
    </w:p>
    <w:p w14:paraId="35B6A4B9">
      <w:pPr>
        <w:spacing w:line="560" w:lineRule="exact"/>
        <w:rPr>
          <w:rFonts w:ascii="宋体" w:hAnsi="宋体"/>
          <w:sz w:val="24"/>
          <w:highlight w:val="none"/>
        </w:rPr>
      </w:pPr>
    </w:p>
    <w:p w14:paraId="271B8A8D">
      <w:pPr>
        <w:spacing w:line="560" w:lineRule="exact"/>
        <w:rPr>
          <w:rFonts w:ascii="宋体" w:hAnsi="宋体"/>
          <w:sz w:val="24"/>
          <w:highlight w:val="none"/>
        </w:rPr>
      </w:pPr>
    </w:p>
    <w:p w14:paraId="6D5131E6">
      <w:pPr>
        <w:spacing w:line="560" w:lineRule="exact"/>
        <w:rPr>
          <w:rFonts w:ascii="宋体" w:hAnsi="宋体"/>
          <w:sz w:val="24"/>
          <w:highlight w:val="none"/>
        </w:rPr>
      </w:pPr>
    </w:p>
    <w:p w14:paraId="30769367">
      <w:pPr>
        <w:spacing w:line="560" w:lineRule="exact"/>
        <w:rPr>
          <w:rFonts w:ascii="宋体" w:hAnsi="宋体"/>
          <w:sz w:val="24"/>
          <w:highlight w:val="none"/>
        </w:rPr>
      </w:pPr>
    </w:p>
    <w:p w14:paraId="164FD765">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黑体" w:hAnsi="黑体" w:eastAsia="黑体" w:cs="黑体"/>
          <w:b w:val="0"/>
          <w:bCs/>
          <w:color w:val="000000"/>
          <w:spacing w:val="8"/>
          <w:sz w:val="52"/>
          <w:szCs w:val="52"/>
          <w:highlight w:val="none"/>
        </w:rPr>
      </w:pPr>
      <w:r>
        <w:rPr>
          <w:rFonts w:hint="eastAsia" w:ascii="黑体" w:hAnsi="黑体" w:eastAsia="黑体" w:cs="黑体"/>
          <w:b w:val="0"/>
          <w:bCs/>
          <w:color w:val="000000"/>
          <w:spacing w:val="8"/>
          <w:sz w:val="52"/>
          <w:szCs w:val="52"/>
          <w:highlight w:val="none"/>
        </w:rPr>
        <w:t>赣州交控“十五五”规划编制服务</w:t>
      </w:r>
    </w:p>
    <w:p w14:paraId="4298D600">
      <w:pPr>
        <w:spacing w:line="660" w:lineRule="exact"/>
        <w:jc w:val="center"/>
        <w:rPr>
          <w:rFonts w:hint="eastAsia" w:ascii="黑体" w:hAnsi="黑体" w:eastAsia="黑体" w:cs="黑体"/>
          <w:b w:val="0"/>
          <w:bCs/>
          <w:color w:val="000000"/>
          <w:spacing w:val="8"/>
          <w:sz w:val="72"/>
          <w:szCs w:val="72"/>
          <w:highlight w:val="none"/>
        </w:rPr>
      </w:pPr>
    </w:p>
    <w:p w14:paraId="27DF745B">
      <w:pPr>
        <w:jc w:val="center"/>
        <w:rPr>
          <w:rFonts w:hint="eastAsia" w:ascii="黑体" w:hAnsi="黑体" w:eastAsia="黑体" w:cs="黑体"/>
          <w:b w:val="0"/>
          <w:bCs/>
          <w:color w:val="000000"/>
          <w:spacing w:val="8"/>
          <w:sz w:val="84"/>
          <w:szCs w:val="84"/>
          <w:highlight w:val="none"/>
          <w:lang w:val="en-US" w:eastAsia="zh-CN"/>
        </w:rPr>
      </w:pPr>
    </w:p>
    <w:p w14:paraId="065C7A56">
      <w:pPr>
        <w:jc w:val="center"/>
        <w:rPr>
          <w:rFonts w:hint="eastAsia" w:ascii="黑体" w:hAnsi="黑体" w:eastAsia="黑体" w:cs="黑体"/>
          <w:b w:val="0"/>
          <w:bCs/>
          <w:color w:val="000000"/>
          <w:spacing w:val="8"/>
          <w:sz w:val="84"/>
          <w:szCs w:val="84"/>
          <w:highlight w:val="none"/>
          <w:lang w:val="en-US" w:eastAsia="zh-CN"/>
        </w:rPr>
      </w:pPr>
      <w:r>
        <w:rPr>
          <w:rFonts w:hint="eastAsia" w:ascii="黑体" w:hAnsi="黑体" w:eastAsia="黑体" w:cs="黑体"/>
          <w:b w:val="0"/>
          <w:bCs/>
          <w:color w:val="000000"/>
          <w:spacing w:val="8"/>
          <w:sz w:val="84"/>
          <w:szCs w:val="84"/>
          <w:highlight w:val="none"/>
          <w:lang w:val="en-US" w:eastAsia="zh-CN"/>
        </w:rPr>
        <w:t>报</w:t>
      </w:r>
    </w:p>
    <w:p w14:paraId="482898A1">
      <w:pPr>
        <w:jc w:val="center"/>
        <w:rPr>
          <w:rFonts w:hint="eastAsia" w:ascii="黑体" w:hAnsi="黑体" w:eastAsia="黑体" w:cs="黑体"/>
          <w:b w:val="0"/>
          <w:bCs/>
          <w:color w:val="000000"/>
          <w:spacing w:val="8"/>
          <w:sz w:val="84"/>
          <w:szCs w:val="84"/>
          <w:highlight w:val="none"/>
          <w:lang w:eastAsia="zh-CN"/>
        </w:rPr>
      </w:pPr>
      <w:r>
        <w:rPr>
          <w:rFonts w:hint="eastAsia" w:ascii="黑体" w:hAnsi="黑体" w:eastAsia="黑体" w:cs="黑体"/>
          <w:b w:val="0"/>
          <w:bCs/>
          <w:color w:val="000000"/>
          <w:spacing w:val="8"/>
          <w:sz w:val="84"/>
          <w:szCs w:val="84"/>
          <w:highlight w:val="none"/>
          <w:lang w:val="en-US" w:eastAsia="zh-CN"/>
        </w:rPr>
        <w:t>价</w:t>
      </w:r>
    </w:p>
    <w:p w14:paraId="6F635D66">
      <w:pPr>
        <w:jc w:val="center"/>
        <w:rPr>
          <w:rFonts w:hint="eastAsia" w:ascii="黑体" w:hAnsi="黑体" w:eastAsia="黑体" w:cs="黑体"/>
          <w:b w:val="0"/>
          <w:bCs/>
          <w:color w:val="000000"/>
          <w:spacing w:val="8"/>
          <w:sz w:val="84"/>
          <w:szCs w:val="84"/>
          <w:highlight w:val="none"/>
        </w:rPr>
      </w:pPr>
      <w:r>
        <w:rPr>
          <w:rFonts w:hint="eastAsia" w:ascii="黑体" w:hAnsi="黑体" w:eastAsia="黑体" w:cs="黑体"/>
          <w:b w:val="0"/>
          <w:bCs/>
          <w:color w:val="000000"/>
          <w:spacing w:val="8"/>
          <w:sz w:val="84"/>
          <w:szCs w:val="84"/>
          <w:highlight w:val="none"/>
        </w:rPr>
        <w:t>文</w:t>
      </w:r>
    </w:p>
    <w:p w14:paraId="7A301E38">
      <w:pPr>
        <w:jc w:val="center"/>
        <w:rPr>
          <w:rFonts w:hint="eastAsia" w:ascii="黑体" w:hAnsi="黑体" w:eastAsia="黑体" w:cs="黑体"/>
          <w:b w:val="0"/>
          <w:bCs/>
          <w:color w:val="000000"/>
          <w:spacing w:val="8"/>
          <w:sz w:val="84"/>
          <w:szCs w:val="84"/>
          <w:highlight w:val="none"/>
        </w:rPr>
      </w:pPr>
      <w:r>
        <w:rPr>
          <w:rFonts w:hint="eastAsia" w:ascii="黑体" w:hAnsi="黑体" w:eastAsia="黑体" w:cs="黑体"/>
          <w:b w:val="0"/>
          <w:bCs/>
          <w:color w:val="000000"/>
          <w:spacing w:val="8"/>
          <w:sz w:val="84"/>
          <w:szCs w:val="84"/>
          <w:highlight w:val="none"/>
        </w:rPr>
        <w:t>件</w:t>
      </w:r>
    </w:p>
    <w:p w14:paraId="0DF00555">
      <w:pPr>
        <w:jc w:val="center"/>
        <w:rPr>
          <w:rFonts w:hint="eastAsia" w:ascii="黑体" w:hAnsi="黑体" w:eastAsia="黑体" w:cs="黑体"/>
          <w:b w:val="0"/>
          <w:bCs/>
          <w:color w:val="000000"/>
          <w:sz w:val="36"/>
          <w:szCs w:val="36"/>
          <w:highlight w:val="none"/>
        </w:rPr>
      </w:pPr>
    </w:p>
    <w:p w14:paraId="0202A4B9">
      <w:pPr>
        <w:jc w:val="center"/>
        <w:rPr>
          <w:rFonts w:hint="eastAsia" w:ascii="黑体" w:hAnsi="黑体" w:eastAsia="黑体" w:cs="黑体"/>
          <w:b w:val="0"/>
          <w:bCs/>
          <w:color w:val="000000"/>
          <w:sz w:val="36"/>
          <w:szCs w:val="36"/>
          <w:highlight w:val="none"/>
        </w:rPr>
      </w:pPr>
    </w:p>
    <w:p w14:paraId="76D8CDBF">
      <w:pPr>
        <w:jc w:val="center"/>
        <w:rPr>
          <w:rFonts w:hint="eastAsia" w:ascii="黑体" w:hAnsi="黑体" w:eastAsia="黑体" w:cs="黑体"/>
          <w:b w:val="0"/>
          <w:bCs/>
          <w:color w:val="000000"/>
          <w:sz w:val="36"/>
          <w:szCs w:val="36"/>
          <w:highlight w:val="none"/>
        </w:rPr>
      </w:pPr>
    </w:p>
    <w:p w14:paraId="73F4DC8B">
      <w:pPr>
        <w:jc w:val="center"/>
        <w:rPr>
          <w:rFonts w:hint="eastAsia" w:ascii="黑体" w:hAnsi="黑体" w:eastAsia="黑体" w:cs="黑体"/>
          <w:b w:val="0"/>
          <w:bCs/>
          <w:color w:val="000000"/>
          <w:sz w:val="36"/>
          <w:szCs w:val="36"/>
          <w:highlight w:val="none"/>
        </w:rPr>
      </w:pPr>
    </w:p>
    <w:p w14:paraId="4BEA8C19">
      <w:pPr>
        <w:jc w:val="center"/>
        <w:rPr>
          <w:rFonts w:hint="eastAsia" w:ascii="黑体" w:hAnsi="黑体" w:eastAsia="黑体" w:cs="黑体"/>
          <w:b w:val="0"/>
          <w:bCs/>
          <w:color w:val="000000"/>
          <w:sz w:val="36"/>
          <w:szCs w:val="36"/>
          <w:highlight w:val="none"/>
        </w:rPr>
      </w:pPr>
    </w:p>
    <w:p w14:paraId="5199E7A2">
      <w:pPr>
        <w:ind w:firstLine="720" w:firstLineChars="200"/>
        <w:rPr>
          <w:rFonts w:hint="eastAsia" w:ascii="黑体" w:hAnsi="黑体" w:eastAsia="黑体" w:cs="黑体"/>
          <w:b w:val="0"/>
          <w:bCs/>
          <w:color w:val="000000"/>
          <w:sz w:val="36"/>
          <w:szCs w:val="36"/>
          <w:highlight w:val="none"/>
        </w:rPr>
      </w:pPr>
      <w:r>
        <w:rPr>
          <w:rFonts w:hint="eastAsia" w:ascii="黑体" w:hAnsi="黑体" w:eastAsia="黑体" w:cs="黑体"/>
          <w:b w:val="0"/>
          <w:bCs/>
          <w:color w:val="000000"/>
          <w:sz w:val="36"/>
          <w:szCs w:val="36"/>
          <w:highlight w:val="none"/>
          <w:lang w:val="en-US" w:eastAsia="zh-CN"/>
        </w:rPr>
        <w:t>单位名称</w:t>
      </w:r>
      <w:r>
        <w:rPr>
          <w:rFonts w:hint="eastAsia" w:ascii="黑体" w:hAnsi="黑体" w:eastAsia="黑体" w:cs="黑体"/>
          <w:b w:val="0"/>
          <w:bCs/>
          <w:color w:val="000000"/>
          <w:sz w:val="36"/>
          <w:szCs w:val="36"/>
          <w:highlight w:val="none"/>
        </w:rPr>
        <w:t xml:space="preserve">： </w:t>
      </w:r>
    </w:p>
    <w:p w14:paraId="1550783F">
      <w:pPr>
        <w:spacing w:line="360" w:lineRule="auto"/>
        <w:jc w:val="center"/>
        <w:rPr>
          <w:rFonts w:hint="eastAsia" w:ascii="黑体" w:hAnsi="黑体" w:eastAsia="黑体" w:cs="黑体"/>
          <w:b w:val="0"/>
          <w:bCs/>
          <w:color w:val="000000"/>
          <w:sz w:val="36"/>
          <w:szCs w:val="36"/>
          <w:highlight w:val="none"/>
        </w:rPr>
      </w:pPr>
      <w:r>
        <w:rPr>
          <w:rFonts w:hint="eastAsia" w:ascii="黑体" w:hAnsi="黑体" w:eastAsia="黑体" w:cs="黑体"/>
          <w:b w:val="0"/>
          <w:bCs/>
          <w:color w:val="000000"/>
          <w:sz w:val="36"/>
          <w:szCs w:val="36"/>
          <w:highlight w:val="none"/>
        </w:rPr>
        <w:t>2025年</w:t>
      </w:r>
      <w:r>
        <w:rPr>
          <w:rFonts w:hint="eastAsia" w:ascii="黑体" w:hAnsi="黑体" w:eastAsia="黑体" w:cs="黑体"/>
          <w:b w:val="0"/>
          <w:bCs/>
          <w:color w:val="000000"/>
          <w:sz w:val="36"/>
          <w:szCs w:val="36"/>
          <w:highlight w:val="none"/>
          <w:lang w:val="en-US" w:eastAsia="zh-CN"/>
        </w:rPr>
        <w:t>9</w:t>
      </w:r>
      <w:r>
        <w:rPr>
          <w:rFonts w:hint="eastAsia" w:ascii="黑体" w:hAnsi="黑体" w:eastAsia="黑体" w:cs="黑体"/>
          <w:b w:val="0"/>
          <w:bCs/>
          <w:color w:val="000000"/>
          <w:sz w:val="36"/>
          <w:szCs w:val="36"/>
          <w:highlight w:val="none"/>
        </w:rPr>
        <w:t>月  日</w:t>
      </w:r>
    </w:p>
    <w:p w14:paraId="0737B28C">
      <w:pPr>
        <w:adjustRightInd w:val="0"/>
        <w:snapToGrid w:val="0"/>
        <w:spacing w:line="480" w:lineRule="exact"/>
        <w:jc w:val="center"/>
        <w:rPr>
          <w:rFonts w:hint="eastAsia" w:eastAsia="黑体"/>
          <w:sz w:val="32"/>
          <w:szCs w:val="32"/>
          <w:highlight w:val="none"/>
        </w:rPr>
      </w:pPr>
    </w:p>
    <w:p w14:paraId="0823B144">
      <w:pPr>
        <w:adjustRightInd w:val="0"/>
        <w:snapToGrid w:val="0"/>
        <w:spacing w:line="480" w:lineRule="exact"/>
        <w:jc w:val="center"/>
        <w:rPr>
          <w:rFonts w:hint="eastAsia" w:eastAsia="黑体"/>
          <w:sz w:val="32"/>
          <w:szCs w:val="32"/>
          <w:highlight w:val="none"/>
        </w:rPr>
      </w:pPr>
    </w:p>
    <w:p w14:paraId="7C45EA30">
      <w:pPr>
        <w:adjustRightInd w:val="0"/>
        <w:snapToGrid w:val="0"/>
        <w:spacing w:line="480" w:lineRule="exact"/>
        <w:jc w:val="center"/>
        <w:rPr>
          <w:rFonts w:hint="eastAsia" w:eastAsia="黑体"/>
          <w:sz w:val="32"/>
          <w:szCs w:val="32"/>
          <w:highlight w:val="none"/>
        </w:rPr>
      </w:pPr>
    </w:p>
    <w:p w14:paraId="2B4AA781">
      <w:pPr>
        <w:adjustRightInd w:val="0"/>
        <w:snapToGrid w:val="0"/>
        <w:spacing w:line="480" w:lineRule="exact"/>
        <w:jc w:val="center"/>
        <w:rPr>
          <w:rFonts w:ascii="黑体" w:hAnsi="黑体" w:eastAsia="黑体"/>
          <w:sz w:val="32"/>
          <w:szCs w:val="32"/>
          <w:highlight w:val="none"/>
        </w:rPr>
      </w:pPr>
      <w:r>
        <w:rPr>
          <w:rFonts w:hint="eastAsia" w:eastAsia="黑体"/>
          <w:sz w:val="32"/>
          <w:szCs w:val="32"/>
          <w:highlight w:val="none"/>
          <w:lang w:val="en-US" w:eastAsia="zh-CN"/>
        </w:rPr>
        <w:t>一</w:t>
      </w:r>
      <w:r>
        <w:rPr>
          <w:rFonts w:hint="eastAsia" w:eastAsia="黑体"/>
          <w:sz w:val="32"/>
          <w:szCs w:val="32"/>
          <w:highlight w:val="none"/>
        </w:rPr>
        <w:t>、报价函</w:t>
      </w:r>
      <w:bookmarkEnd w:id="49"/>
      <w:bookmarkEnd w:id="50"/>
    </w:p>
    <w:p w14:paraId="219D4C0E">
      <w:pPr>
        <w:tabs>
          <w:tab w:val="left" w:pos="2500"/>
        </w:tabs>
        <w:autoSpaceDE w:val="0"/>
        <w:autoSpaceDN w:val="0"/>
        <w:adjustRightInd w:val="0"/>
        <w:spacing w:line="560" w:lineRule="exact"/>
        <w:rPr>
          <w:b/>
          <w:position w:val="-4"/>
          <w:sz w:val="28"/>
          <w:szCs w:val="28"/>
          <w:highlight w:val="none"/>
        </w:rPr>
      </w:pPr>
    </w:p>
    <w:p w14:paraId="6E0118A1">
      <w:pPr>
        <w:tabs>
          <w:tab w:val="left" w:pos="2500"/>
        </w:tabs>
        <w:autoSpaceDE w:val="0"/>
        <w:autoSpaceDN w:val="0"/>
        <w:adjustRightInd w:val="0"/>
        <w:spacing w:line="560" w:lineRule="exact"/>
        <w:rPr>
          <w:color w:val="C00000"/>
          <w:sz w:val="24"/>
          <w:highlight w:val="none"/>
        </w:rPr>
      </w:pPr>
      <w:r>
        <w:rPr>
          <w:b/>
          <w:position w:val="-4"/>
          <w:sz w:val="24"/>
          <w:highlight w:val="none"/>
        </w:rPr>
        <w:t>致：</w:t>
      </w:r>
      <w:r>
        <w:rPr>
          <w:rFonts w:hint="eastAsia"/>
          <w:b/>
          <w:position w:val="-4"/>
          <w:sz w:val="24"/>
          <w:highlight w:val="none"/>
        </w:rPr>
        <w:t>赣州交通控股集团有限公司</w:t>
      </w:r>
      <w:r>
        <w:rPr>
          <w:b/>
          <w:position w:val="-4"/>
          <w:sz w:val="24"/>
          <w:highlight w:val="none"/>
        </w:rPr>
        <w:t xml:space="preserve"> </w:t>
      </w:r>
    </w:p>
    <w:p w14:paraId="3E788F1C">
      <w:pPr>
        <w:spacing w:line="560" w:lineRule="exact"/>
        <w:jc w:val="left"/>
        <w:rPr>
          <w:sz w:val="24"/>
          <w:highlight w:val="none"/>
        </w:rPr>
      </w:pPr>
      <w:r>
        <w:rPr>
          <w:rFonts w:hint="eastAsia"/>
          <w:sz w:val="24"/>
          <w:highlight w:val="none"/>
        </w:rPr>
        <w:t xml:space="preserve">     </w:t>
      </w:r>
      <w:r>
        <w:rPr>
          <w:sz w:val="24"/>
          <w:highlight w:val="none"/>
        </w:rPr>
        <w:t>经研究，我方</w:t>
      </w:r>
      <w:r>
        <w:rPr>
          <w:rFonts w:hint="eastAsia" w:ascii="宋体" w:hAnsi="宋体"/>
          <w:sz w:val="24"/>
          <w:highlight w:val="none"/>
        </w:rPr>
        <w:t>同意</w:t>
      </w:r>
      <w:r>
        <w:rPr>
          <w:rFonts w:hint="eastAsia" w:ascii="宋体" w:hAnsi="宋体"/>
          <w:sz w:val="24"/>
          <w:highlight w:val="none"/>
          <w:u w:val="single"/>
        </w:rPr>
        <w:t>赣州交控“十五五”规划编制服务询价文件</w:t>
      </w:r>
      <w:r>
        <w:rPr>
          <w:rFonts w:hint="eastAsia" w:ascii="宋体" w:hAnsi="宋体"/>
          <w:sz w:val="24"/>
          <w:highlight w:val="none"/>
        </w:rPr>
        <w:t>的所有内容及条款，并就</w:t>
      </w:r>
      <w:r>
        <w:rPr>
          <w:rFonts w:ascii="宋体" w:hAnsi="宋体"/>
          <w:sz w:val="24"/>
          <w:highlight w:val="none"/>
        </w:rPr>
        <w:t>上述</w:t>
      </w:r>
      <w:r>
        <w:rPr>
          <w:rFonts w:hint="eastAsia" w:ascii="宋体" w:hAnsi="宋体"/>
          <w:sz w:val="24"/>
          <w:highlight w:val="none"/>
        </w:rPr>
        <w:t>内容</w:t>
      </w:r>
      <w:r>
        <w:rPr>
          <w:rFonts w:ascii="宋体" w:hAnsi="宋体"/>
          <w:sz w:val="24"/>
          <w:highlight w:val="none"/>
        </w:rPr>
        <w:t>进行</w:t>
      </w:r>
      <w:r>
        <w:rPr>
          <w:rFonts w:hint="eastAsia" w:ascii="宋体" w:hAnsi="宋体"/>
          <w:sz w:val="24"/>
          <w:highlight w:val="none"/>
        </w:rPr>
        <w:t>报价，</w:t>
      </w:r>
      <w:r>
        <w:rPr>
          <w:rFonts w:ascii="宋体" w:hAnsi="宋体"/>
          <w:sz w:val="24"/>
          <w:highlight w:val="none"/>
        </w:rPr>
        <w:t>完成</w:t>
      </w:r>
      <w:r>
        <w:rPr>
          <w:rFonts w:hint="eastAsia" w:ascii="宋体" w:hAnsi="宋体"/>
          <w:sz w:val="24"/>
          <w:highlight w:val="none"/>
        </w:rPr>
        <w:t>贵公司</w:t>
      </w:r>
      <w:r>
        <w:rPr>
          <w:rFonts w:ascii="宋体" w:hAnsi="宋体"/>
          <w:sz w:val="24"/>
          <w:highlight w:val="none"/>
        </w:rPr>
        <w:t>规定的</w:t>
      </w:r>
      <w:r>
        <w:rPr>
          <w:sz w:val="24"/>
          <w:highlight w:val="none"/>
        </w:rPr>
        <w:t>所有工作内容。</w:t>
      </w:r>
    </w:p>
    <w:p w14:paraId="76E28D4B">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sz w:val="24"/>
          <w:highlight w:val="none"/>
        </w:rPr>
      </w:pPr>
      <w:r>
        <w:rPr>
          <w:rFonts w:hint="eastAsia"/>
          <w:sz w:val="24"/>
          <w:highlight w:val="none"/>
        </w:rPr>
        <w:t>根据分析计算，我方愿以总价人民币大写</w:t>
      </w:r>
      <w:r>
        <w:rPr>
          <w:rFonts w:hint="eastAsia"/>
          <w:sz w:val="24"/>
          <w:highlight w:val="none"/>
          <w:u w:val="single"/>
        </w:rPr>
        <w:t xml:space="preserve">              </w:t>
      </w:r>
      <w:r>
        <w:rPr>
          <w:rFonts w:hint="eastAsia"/>
          <w:sz w:val="24"/>
          <w:highlight w:val="none"/>
        </w:rPr>
        <w:t>元（¥</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r>
        <w:rPr>
          <w:rFonts w:hint="eastAsia"/>
          <w:sz w:val="24"/>
          <w:highlight w:val="none"/>
        </w:rPr>
        <w:t>元），完成贵公司</w:t>
      </w:r>
      <w:r>
        <w:rPr>
          <w:rFonts w:hint="eastAsia" w:ascii="宋体" w:hAnsi="宋体"/>
          <w:sz w:val="24"/>
          <w:highlight w:val="none"/>
        </w:rPr>
        <w:t>赣州交控“十五五”规划编制服务服务</w:t>
      </w:r>
      <w:r>
        <w:rPr>
          <w:rFonts w:hint="eastAsia"/>
          <w:sz w:val="24"/>
          <w:highlight w:val="none"/>
        </w:rPr>
        <w:t>询价文件规定的所有工作内容。</w:t>
      </w:r>
    </w:p>
    <w:p w14:paraId="45BABB89">
      <w:pPr>
        <w:autoSpaceDE w:val="0"/>
        <w:autoSpaceDN w:val="0"/>
        <w:adjustRightInd w:val="0"/>
        <w:spacing w:before="10" w:line="560" w:lineRule="exact"/>
        <w:rPr>
          <w:sz w:val="24"/>
          <w:highlight w:val="none"/>
        </w:rPr>
      </w:pPr>
    </w:p>
    <w:p w14:paraId="7C22E34E">
      <w:pPr>
        <w:tabs>
          <w:tab w:val="left" w:pos="7460"/>
          <w:tab w:val="left" w:pos="8080"/>
          <w:tab w:val="left" w:pos="8800"/>
        </w:tabs>
        <w:autoSpaceDE w:val="0"/>
        <w:autoSpaceDN w:val="0"/>
        <w:adjustRightInd w:val="0"/>
        <w:spacing w:line="560" w:lineRule="exact"/>
        <w:ind w:left="3641" w:right="61"/>
        <w:rPr>
          <w:rFonts w:ascii="宋体" w:hAnsi="宋体"/>
          <w:sz w:val="24"/>
          <w:highlight w:val="none"/>
        </w:rPr>
      </w:pPr>
      <w:r>
        <w:rPr>
          <w:rFonts w:hint="eastAsia" w:ascii="宋体" w:hAnsi="宋体"/>
          <w:sz w:val="24"/>
          <w:highlight w:val="none"/>
        </w:rPr>
        <w:t>报价</w:t>
      </w:r>
      <w:r>
        <w:rPr>
          <w:rFonts w:ascii="宋体" w:hAnsi="宋体"/>
          <w:sz w:val="24"/>
          <w:highlight w:val="none"/>
        </w:rPr>
        <w:t>人：</w:t>
      </w:r>
      <w:r>
        <w:rPr>
          <w:rFonts w:ascii="宋体" w:hAnsi="宋体"/>
          <w:sz w:val="24"/>
          <w:highlight w:val="none"/>
          <w:u w:val="single"/>
        </w:rPr>
        <w:t xml:space="preserve">                         </w:t>
      </w:r>
      <w:r>
        <w:rPr>
          <w:rFonts w:ascii="宋体" w:hAnsi="宋体"/>
          <w:sz w:val="24"/>
          <w:highlight w:val="none"/>
        </w:rPr>
        <w:t>(盖</w:t>
      </w:r>
      <w:r>
        <w:rPr>
          <w:rFonts w:ascii="宋体" w:hAnsi="宋体"/>
          <w:spacing w:val="-1"/>
          <w:sz w:val="24"/>
          <w:highlight w:val="none"/>
        </w:rPr>
        <w:t>单</w:t>
      </w:r>
      <w:r>
        <w:rPr>
          <w:rFonts w:ascii="宋体" w:hAnsi="宋体"/>
          <w:sz w:val="24"/>
          <w:highlight w:val="none"/>
        </w:rPr>
        <w:t xml:space="preserve">位章) </w:t>
      </w:r>
    </w:p>
    <w:p w14:paraId="5274966C">
      <w:pPr>
        <w:tabs>
          <w:tab w:val="left" w:pos="7460"/>
          <w:tab w:val="left" w:pos="8080"/>
          <w:tab w:val="left" w:pos="8800"/>
        </w:tabs>
        <w:autoSpaceDE w:val="0"/>
        <w:autoSpaceDN w:val="0"/>
        <w:adjustRightInd w:val="0"/>
        <w:spacing w:line="560" w:lineRule="exact"/>
        <w:ind w:left="3641" w:right="61"/>
        <w:rPr>
          <w:rFonts w:ascii="宋体" w:hAnsi="宋体"/>
          <w:sz w:val="24"/>
          <w:highlight w:val="non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ab/>
      </w:r>
      <w:r>
        <w:rPr>
          <w:rFonts w:ascii="宋体" w:hAnsi="宋体"/>
          <w:sz w:val="24"/>
          <w:highlight w:val="none"/>
        </w:rPr>
        <w:t>(</w:t>
      </w:r>
      <w:r>
        <w:rPr>
          <w:rFonts w:ascii="宋体" w:hAnsi="宋体"/>
          <w:spacing w:val="-1"/>
          <w:sz w:val="24"/>
          <w:highlight w:val="none"/>
        </w:rPr>
        <w:t>签</w:t>
      </w:r>
      <w:r>
        <w:rPr>
          <w:rFonts w:ascii="宋体" w:hAnsi="宋体"/>
          <w:sz w:val="24"/>
          <w:highlight w:val="none"/>
        </w:rPr>
        <w:t xml:space="preserve">字) </w:t>
      </w:r>
    </w:p>
    <w:p w14:paraId="529E204B">
      <w:pPr>
        <w:spacing w:line="560" w:lineRule="exact"/>
        <w:ind w:firstLine="3600" w:firstLineChars="1500"/>
        <w:rPr>
          <w:rFonts w:ascii="宋体" w:hAnsi="宋体"/>
          <w:sz w:val="24"/>
          <w:highlight w:val="none"/>
        </w:rPr>
      </w:pPr>
      <w:r>
        <w:rPr>
          <w:rFonts w:hint="eastAsia" w:ascii="宋体" w:hAnsi="宋体"/>
          <w:sz w:val="24"/>
          <w:highlight w:val="none"/>
        </w:rPr>
        <w:t>报价时间：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744174BF">
      <w:pPr>
        <w:spacing w:line="560" w:lineRule="exact"/>
        <w:rPr>
          <w:rFonts w:ascii="宋体" w:hAnsi="宋体"/>
          <w:sz w:val="24"/>
          <w:highlight w:val="none"/>
        </w:rPr>
      </w:pPr>
    </w:p>
    <w:p w14:paraId="261D0D20">
      <w:pPr>
        <w:pStyle w:val="7"/>
        <w:adjustRightInd w:val="0"/>
        <w:snapToGrid w:val="0"/>
        <w:spacing w:after="0" w:line="460" w:lineRule="exact"/>
        <w:ind w:firstLine="422" w:firstLineChars="200"/>
        <w:rPr>
          <w:rFonts w:ascii="宋体" w:hAnsi="宋体"/>
          <w:b/>
          <w:bCs/>
          <w:szCs w:val="21"/>
          <w:highlight w:val="none"/>
        </w:rPr>
      </w:pPr>
      <w:r>
        <w:rPr>
          <w:rFonts w:hint="eastAsia" w:ascii="宋体" w:hAnsi="宋体"/>
          <w:b/>
          <w:bCs/>
          <w:szCs w:val="21"/>
          <w:highlight w:val="none"/>
        </w:rPr>
        <w:t>注：1、本报价为一次性包干使用，包括但不限于实施本项目</w:t>
      </w:r>
      <w:r>
        <w:rPr>
          <w:rFonts w:hint="eastAsia" w:ascii="宋体" w:hAnsi="宋体"/>
          <w:b/>
          <w:bCs/>
          <w:szCs w:val="21"/>
          <w:highlight w:val="none"/>
          <w:lang w:val="en-US" w:eastAsia="zh-CN"/>
        </w:rPr>
        <w:t>咨询</w:t>
      </w:r>
      <w:r>
        <w:rPr>
          <w:rFonts w:hint="eastAsia" w:ascii="宋体" w:hAnsi="宋体"/>
          <w:b/>
          <w:bCs/>
          <w:szCs w:val="21"/>
          <w:highlight w:val="none"/>
        </w:rPr>
        <w:t>所需的劳务、材料、设备、咨询、专家、会务、交通、通讯、食宿、管理、保险、税费、利润等所有费用，询价人不再另行支付其他费用。</w:t>
      </w:r>
    </w:p>
    <w:p w14:paraId="608F4016">
      <w:pPr>
        <w:adjustRightInd w:val="0"/>
        <w:snapToGrid w:val="0"/>
        <w:spacing w:line="460" w:lineRule="exact"/>
        <w:ind w:firstLine="632" w:firstLineChars="300"/>
        <w:rPr>
          <w:rFonts w:ascii="宋体" w:hAnsi="宋体"/>
          <w:b/>
          <w:bCs/>
          <w:szCs w:val="21"/>
          <w:highlight w:val="none"/>
        </w:rPr>
      </w:pPr>
      <w:r>
        <w:rPr>
          <w:rFonts w:hint="eastAsia" w:ascii="宋体" w:hAnsi="宋体"/>
          <w:b/>
          <w:bCs/>
          <w:szCs w:val="21"/>
          <w:highlight w:val="none"/>
        </w:rPr>
        <w:t>2、本项目报价不设置报价清单，由报价人根据本项目的具体情况自行报价，按总价包干。</w:t>
      </w:r>
    </w:p>
    <w:p w14:paraId="0C052445">
      <w:pPr>
        <w:adjustRightInd w:val="0"/>
        <w:snapToGrid w:val="0"/>
        <w:spacing w:line="460" w:lineRule="exact"/>
        <w:ind w:firstLine="632" w:firstLineChars="300"/>
        <w:rPr>
          <w:color w:val="C00000"/>
          <w:kern w:val="44"/>
          <w:highlight w:val="none"/>
        </w:rPr>
      </w:pPr>
      <w:r>
        <w:rPr>
          <w:rFonts w:hint="eastAsia" w:ascii="宋体" w:hAnsi="宋体"/>
          <w:b/>
          <w:bCs/>
          <w:szCs w:val="21"/>
          <w:highlight w:val="none"/>
        </w:rPr>
        <w:t>3、总价人民币大写金额与小写金额应当一致，不一致时以大写金额为准。</w:t>
      </w:r>
      <w:bookmarkStart w:id="53" w:name="_Toc6995"/>
      <w:bookmarkStart w:id="54" w:name="_Toc21968"/>
      <w:bookmarkStart w:id="55" w:name="_Toc19723"/>
      <w:bookmarkStart w:id="56" w:name="_Toc17780"/>
    </w:p>
    <w:bookmarkEnd w:id="53"/>
    <w:bookmarkEnd w:id="54"/>
    <w:bookmarkEnd w:id="55"/>
    <w:bookmarkEnd w:id="56"/>
    <w:p w14:paraId="286BC8CD">
      <w:pPr>
        <w:spacing w:line="560" w:lineRule="exact"/>
        <w:ind w:firstLine="480" w:firstLineChars="200"/>
        <w:rPr>
          <w:rFonts w:ascii="宋体" w:hAnsi="宋体"/>
          <w:color w:val="C00000"/>
          <w:sz w:val="24"/>
          <w:highlight w:val="none"/>
        </w:rPr>
      </w:pPr>
    </w:p>
    <w:p w14:paraId="0FEC7DD8">
      <w:pPr>
        <w:spacing w:line="560" w:lineRule="exact"/>
        <w:ind w:firstLine="480" w:firstLineChars="200"/>
        <w:rPr>
          <w:rFonts w:ascii="宋体" w:hAnsi="宋体"/>
          <w:color w:val="C00000"/>
          <w:sz w:val="24"/>
          <w:highlight w:val="none"/>
        </w:rPr>
      </w:pPr>
    </w:p>
    <w:p w14:paraId="615D1E51">
      <w:pPr>
        <w:spacing w:line="560" w:lineRule="exact"/>
        <w:ind w:firstLine="480" w:firstLineChars="200"/>
        <w:rPr>
          <w:rFonts w:ascii="宋体" w:hAnsi="宋体"/>
          <w:color w:val="C00000"/>
          <w:sz w:val="24"/>
          <w:highlight w:val="none"/>
        </w:rPr>
      </w:pPr>
    </w:p>
    <w:p w14:paraId="09DA9032">
      <w:pPr>
        <w:spacing w:line="560" w:lineRule="exact"/>
        <w:ind w:firstLine="480" w:firstLineChars="200"/>
        <w:rPr>
          <w:rFonts w:ascii="宋体" w:hAnsi="宋体"/>
          <w:color w:val="C00000"/>
          <w:sz w:val="24"/>
          <w:highlight w:val="none"/>
        </w:rPr>
      </w:pPr>
    </w:p>
    <w:p w14:paraId="7AEECA12">
      <w:pPr>
        <w:spacing w:line="560" w:lineRule="exact"/>
        <w:ind w:firstLine="480" w:firstLineChars="200"/>
        <w:rPr>
          <w:rFonts w:ascii="宋体" w:hAnsi="宋体"/>
          <w:color w:val="C00000"/>
          <w:sz w:val="24"/>
          <w:highlight w:val="none"/>
        </w:rPr>
      </w:pPr>
    </w:p>
    <w:p w14:paraId="492C58A1">
      <w:pPr>
        <w:spacing w:line="560" w:lineRule="exact"/>
        <w:ind w:firstLine="480" w:firstLineChars="200"/>
        <w:rPr>
          <w:rFonts w:ascii="宋体" w:hAnsi="宋体"/>
          <w:color w:val="C00000"/>
          <w:sz w:val="24"/>
          <w:highlight w:val="none"/>
        </w:rPr>
      </w:pPr>
    </w:p>
    <w:p w14:paraId="742EA4A7">
      <w:pPr>
        <w:rPr>
          <w:rFonts w:ascii="宋体" w:hAnsi="宋体"/>
          <w:color w:val="C00000"/>
          <w:sz w:val="24"/>
          <w:highlight w:val="none"/>
        </w:rPr>
      </w:pPr>
      <w:r>
        <w:rPr>
          <w:rFonts w:ascii="宋体" w:hAnsi="宋体"/>
          <w:color w:val="C00000"/>
          <w:sz w:val="24"/>
          <w:highlight w:val="none"/>
        </w:rPr>
        <w:br w:type="page"/>
      </w:r>
    </w:p>
    <w:p w14:paraId="5B28542F">
      <w:pPr>
        <w:spacing w:before="128"/>
        <w:jc w:val="center"/>
        <w:outlineLvl w:val="0"/>
        <w:rPr>
          <w:rFonts w:ascii="黑体" w:hAnsi="黑体" w:eastAsia="黑体" w:cs="黑体"/>
          <w:sz w:val="32"/>
          <w:szCs w:val="32"/>
          <w:highlight w:val="none"/>
        </w:rPr>
      </w:pPr>
      <w:bookmarkStart w:id="57" w:name="_Toc6794"/>
      <w:r>
        <w:rPr>
          <w:rFonts w:hint="eastAsia" w:ascii="黑体" w:hAnsi="黑体" w:eastAsia="黑体" w:cs="黑体"/>
          <w:sz w:val="32"/>
          <w:szCs w:val="32"/>
          <w:highlight w:val="none"/>
          <w:lang w:val="en-US" w:eastAsia="zh-CN"/>
        </w:rPr>
        <w:t xml:space="preserve">第四章 </w:t>
      </w:r>
      <w:r>
        <w:rPr>
          <w:rFonts w:hint="eastAsia" w:ascii="黑体" w:hAnsi="黑体" w:eastAsia="黑体" w:cs="黑体"/>
          <w:sz w:val="32"/>
          <w:szCs w:val="32"/>
          <w:highlight w:val="none"/>
        </w:rPr>
        <w:t>履约保</w:t>
      </w:r>
      <w:r>
        <w:rPr>
          <w:rFonts w:hint="eastAsia" w:ascii="黑体" w:hAnsi="黑体" w:eastAsia="黑体" w:cs="黑体"/>
          <w:spacing w:val="-3"/>
          <w:sz w:val="32"/>
          <w:szCs w:val="32"/>
          <w:highlight w:val="none"/>
        </w:rPr>
        <w:t>证</w:t>
      </w:r>
      <w:r>
        <w:rPr>
          <w:rFonts w:hint="eastAsia" w:ascii="黑体" w:hAnsi="黑体" w:eastAsia="黑体" w:cs="黑体"/>
          <w:sz w:val="32"/>
          <w:szCs w:val="32"/>
          <w:highlight w:val="none"/>
        </w:rPr>
        <w:t>金格式</w:t>
      </w:r>
      <w:bookmarkEnd w:id="57"/>
    </w:p>
    <w:p w14:paraId="060D79CE">
      <w:pPr>
        <w:kinsoku w:val="0"/>
        <w:overflowPunct w:val="0"/>
        <w:spacing w:line="200" w:lineRule="exact"/>
        <w:rPr>
          <w:sz w:val="20"/>
          <w:szCs w:val="20"/>
          <w:highlight w:val="none"/>
        </w:rPr>
      </w:pPr>
    </w:p>
    <w:p w14:paraId="3C2AED09">
      <w:pPr>
        <w:kinsoku w:val="0"/>
        <w:overflowPunct w:val="0"/>
        <w:spacing w:before="12" w:line="200" w:lineRule="exact"/>
        <w:rPr>
          <w:sz w:val="20"/>
          <w:szCs w:val="20"/>
          <w:highlight w:val="none"/>
        </w:rPr>
      </w:pPr>
    </w:p>
    <w:p w14:paraId="28905685">
      <w:pPr>
        <w:kinsoku w:val="0"/>
        <w:overflowPunct w:val="0"/>
        <w:spacing w:line="415" w:lineRule="exact"/>
        <w:ind w:right="78"/>
        <w:jc w:val="center"/>
        <w:rPr>
          <w:rFonts w:ascii="微软雅黑" w:eastAsia="微软雅黑" w:cs="微软雅黑"/>
          <w:sz w:val="28"/>
          <w:szCs w:val="28"/>
          <w:highlight w:val="none"/>
        </w:rPr>
      </w:pPr>
      <w:r>
        <w:rPr>
          <w:rFonts w:hint="eastAsia" w:ascii="微软雅黑" w:eastAsia="微软雅黑" w:cs="微软雅黑"/>
          <w:sz w:val="28"/>
          <w:szCs w:val="28"/>
          <w:highlight w:val="none"/>
        </w:rPr>
        <w:t>履约保</w:t>
      </w:r>
      <w:r>
        <w:rPr>
          <w:rFonts w:hint="eastAsia" w:ascii="微软雅黑" w:eastAsia="微软雅黑" w:cs="微软雅黑"/>
          <w:spacing w:val="-3"/>
          <w:sz w:val="28"/>
          <w:szCs w:val="28"/>
          <w:highlight w:val="none"/>
        </w:rPr>
        <w:t>证</w:t>
      </w:r>
      <w:r>
        <w:rPr>
          <w:rFonts w:hint="eastAsia" w:ascii="微软雅黑" w:eastAsia="微软雅黑" w:cs="微软雅黑"/>
          <w:sz w:val="28"/>
          <w:szCs w:val="28"/>
          <w:highlight w:val="none"/>
        </w:rPr>
        <w:t>金</w:t>
      </w:r>
    </w:p>
    <w:p w14:paraId="51B1BA20">
      <w:pPr>
        <w:kinsoku w:val="0"/>
        <w:overflowPunct w:val="0"/>
        <w:spacing w:line="200" w:lineRule="exact"/>
        <w:rPr>
          <w:sz w:val="20"/>
          <w:szCs w:val="20"/>
          <w:highlight w:val="none"/>
        </w:rPr>
      </w:pPr>
    </w:p>
    <w:p w14:paraId="4EC47E71">
      <w:pPr>
        <w:kinsoku w:val="0"/>
        <w:overflowPunct w:val="0"/>
        <w:spacing w:before="14" w:line="220" w:lineRule="exact"/>
        <w:rPr>
          <w:sz w:val="22"/>
          <w:szCs w:val="22"/>
          <w:highlight w:val="none"/>
        </w:rPr>
      </w:pPr>
    </w:p>
    <w:p w14:paraId="7BCADDD4">
      <w:pPr>
        <w:tabs>
          <w:tab w:val="left" w:pos="2484"/>
        </w:tabs>
        <w:autoSpaceDE w:val="0"/>
        <w:autoSpaceDN w:val="0"/>
        <w:adjustRightInd w:val="0"/>
        <w:spacing w:before="26"/>
        <w:ind w:left="26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color="000000"/>
        </w:rPr>
        <w:t xml:space="preserve"> </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rPr>
        <w:t>（发包人名称</w:t>
      </w:r>
      <w:r>
        <w:rPr>
          <w:rFonts w:hint="eastAsia" w:asciiTheme="minorEastAsia" w:hAnsiTheme="minorEastAsia" w:eastAsiaTheme="minorEastAsia" w:cstheme="minorEastAsia"/>
          <w:color w:val="auto"/>
          <w:spacing w:val="-120"/>
          <w:sz w:val="21"/>
          <w:szCs w:val="21"/>
          <w:highlight w:val="none"/>
        </w:rPr>
        <w:t>）</w:t>
      </w:r>
      <w:r>
        <w:rPr>
          <w:rFonts w:hint="eastAsia" w:asciiTheme="minorEastAsia" w:hAnsiTheme="minorEastAsia" w:eastAsiaTheme="minorEastAsia" w:cstheme="minorEastAsia"/>
          <w:color w:val="auto"/>
          <w:sz w:val="21"/>
          <w:szCs w:val="21"/>
          <w:highlight w:val="none"/>
        </w:rPr>
        <w:t>：</w:t>
      </w:r>
    </w:p>
    <w:p w14:paraId="64701935">
      <w:pPr>
        <w:keepNext w:val="0"/>
        <w:keepLines w:val="0"/>
        <w:pageBreakBefore w:val="0"/>
        <w:widowControl w:val="0"/>
        <w:tabs>
          <w:tab w:val="left" w:pos="1833"/>
          <w:tab w:val="left" w:pos="3130"/>
          <w:tab w:val="left" w:pos="7859"/>
          <w:tab w:val="left" w:pos="8341"/>
        </w:tabs>
        <w:kinsoku/>
        <w:wordWrap/>
        <w:overflowPunct/>
        <w:topLinePunct/>
        <w:autoSpaceDE w:val="0"/>
        <w:autoSpaceDN w:val="0"/>
        <w:bidi w:val="0"/>
        <w:adjustRightInd w:val="0"/>
        <w:snapToGrid/>
        <w:spacing w:line="480" w:lineRule="exact"/>
        <w:ind w:left="0" w:right="0" w:firstLine="420" w:firstLineChars="200"/>
        <w:jc w:val="both"/>
        <w:textAlignment w:val="auto"/>
        <w:rPr>
          <w:rFonts w:hint="eastAsia" w:asciiTheme="minorEastAsia" w:hAnsiTheme="minorEastAsia" w:eastAsiaTheme="minorEastAsia" w:cstheme="minorEastAsia"/>
          <w:color w:val="auto"/>
          <w:spacing w:val="0"/>
          <w:w w:val="100"/>
          <w:sz w:val="21"/>
          <w:szCs w:val="21"/>
          <w:highlight w:val="none"/>
        </w:rPr>
      </w:pPr>
      <w:r>
        <w:rPr>
          <w:rFonts w:hint="eastAsia" w:asciiTheme="minorEastAsia" w:hAnsiTheme="minorEastAsia" w:eastAsiaTheme="minorEastAsia" w:cstheme="minorEastAsia"/>
          <w:color w:val="auto"/>
          <w:spacing w:val="0"/>
          <w:w w:val="100"/>
          <w:sz w:val="21"/>
          <w:szCs w:val="21"/>
          <w:highlight w:val="none"/>
        </w:rPr>
        <w:t>鉴于</w:t>
      </w:r>
      <w:r>
        <w:rPr>
          <w:rFonts w:hint="eastAsia" w:asciiTheme="minorEastAsia" w:hAnsiTheme="minorEastAsia" w:eastAsiaTheme="minorEastAsia" w:cstheme="minorEastAsia"/>
          <w:color w:val="auto"/>
          <w:spacing w:val="0"/>
          <w:w w:val="100"/>
          <w:sz w:val="21"/>
          <w:szCs w:val="21"/>
          <w:highlight w:val="none"/>
          <w:u w:val="single" w:color="000000"/>
        </w:rPr>
        <w:tab/>
      </w:r>
      <w:r>
        <w:rPr>
          <w:rFonts w:hint="eastAsia" w:asciiTheme="minorEastAsia" w:hAnsiTheme="minorEastAsia" w:eastAsiaTheme="minorEastAsia" w:cstheme="minorEastAsia"/>
          <w:color w:val="auto"/>
          <w:spacing w:val="0"/>
          <w:w w:val="100"/>
          <w:sz w:val="21"/>
          <w:szCs w:val="21"/>
          <w:highlight w:val="none"/>
          <w:u w:val="single" w:color="000000"/>
        </w:rPr>
        <w:tab/>
      </w:r>
      <w:r>
        <w:rPr>
          <w:rFonts w:hint="eastAsia" w:asciiTheme="minorEastAsia" w:hAnsiTheme="minorEastAsia" w:eastAsiaTheme="minorEastAsia" w:cstheme="minorEastAsia"/>
          <w:color w:val="auto"/>
          <w:spacing w:val="0"/>
          <w:w w:val="100"/>
          <w:sz w:val="21"/>
          <w:szCs w:val="21"/>
          <w:highlight w:val="none"/>
        </w:rPr>
        <w:t>（</w:t>
      </w:r>
      <w:r>
        <w:rPr>
          <w:rFonts w:hint="eastAsia" w:asciiTheme="minorEastAsia" w:hAnsiTheme="minorEastAsia" w:cstheme="minorEastAsia"/>
          <w:color w:val="auto"/>
          <w:spacing w:val="0"/>
          <w:w w:val="100"/>
          <w:sz w:val="21"/>
          <w:szCs w:val="21"/>
          <w:highlight w:val="none"/>
          <w:lang w:val="en-US" w:eastAsia="zh-CN"/>
        </w:rPr>
        <w:t>甲方</w:t>
      </w:r>
      <w:r>
        <w:rPr>
          <w:rFonts w:hint="eastAsia" w:asciiTheme="minorEastAsia" w:hAnsiTheme="minorEastAsia" w:eastAsiaTheme="minorEastAsia" w:cstheme="minorEastAsia"/>
          <w:color w:val="auto"/>
          <w:spacing w:val="0"/>
          <w:w w:val="100"/>
          <w:sz w:val="21"/>
          <w:szCs w:val="21"/>
          <w:highlight w:val="none"/>
        </w:rPr>
        <w:t>名称，以下简称“</w:t>
      </w:r>
      <w:r>
        <w:rPr>
          <w:rFonts w:hint="eastAsia" w:asciiTheme="minorEastAsia" w:hAnsiTheme="minorEastAsia" w:cstheme="minorEastAsia"/>
          <w:color w:val="auto"/>
          <w:spacing w:val="0"/>
          <w:w w:val="100"/>
          <w:sz w:val="21"/>
          <w:szCs w:val="21"/>
          <w:highlight w:val="none"/>
          <w:lang w:val="en-US" w:eastAsia="zh-CN"/>
        </w:rPr>
        <w:t>甲方</w:t>
      </w:r>
      <w:r>
        <w:rPr>
          <w:rFonts w:hint="eastAsia" w:asciiTheme="minorEastAsia" w:hAnsiTheme="minorEastAsia" w:eastAsiaTheme="minorEastAsia" w:cstheme="minorEastAsia"/>
          <w:color w:val="auto"/>
          <w:spacing w:val="0"/>
          <w:w w:val="100"/>
          <w:sz w:val="21"/>
          <w:szCs w:val="21"/>
          <w:highlight w:val="none"/>
        </w:rPr>
        <w:t>”）接受</w:t>
      </w:r>
      <w:r>
        <w:rPr>
          <w:rFonts w:hint="eastAsia" w:asciiTheme="minorEastAsia" w:hAnsiTheme="minorEastAsia" w:eastAsiaTheme="minorEastAsia" w:cstheme="minorEastAsia"/>
          <w:color w:val="auto"/>
          <w:spacing w:val="0"/>
          <w:w w:val="100"/>
          <w:sz w:val="21"/>
          <w:szCs w:val="21"/>
          <w:highlight w:val="none"/>
          <w:u w:val="single" w:color="000000"/>
        </w:rPr>
        <w:tab/>
      </w:r>
      <w:r>
        <w:rPr>
          <w:rFonts w:hint="eastAsia" w:asciiTheme="minorEastAsia" w:hAnsiTheme="minorEastAsia" w:eastAsiaTheme="minorEastAsia" w:cstheme="minorEastAsia"/>
          <w:color w:val="auto"/>
          <w:spacing w:val="0"/>
          <w:w w:val="100"/>
          <w:sz w:val="21"/>
          <w:szCs w:val="21"/>
          <w:highlight w:val="none"/>
          <w:u w:val="single" w:color="000000"/>
        </w:rPr>
        <w:t xml:space="preserve"> </w:t>
      </w:r>
      <w:r>
        <w:rPr>
          <w:rFonts w:hint="eastAsia" w:asciiTheme="minorEastAsia" w:hAnsiTheme="minorEastAsia" w:eastAsiaTheme="minorEastAsia" w:cstheme="minorEastAsia"/>
          <w:color w:val="auto"/>
          <w:spacing w:val="0"/>
          <w:w w:val="100"/>
          <w:sz w:val="21"/>
          <w:szCs w:val="21"/>
          <w:highlight w:val="none"/>
        </w:rPr>
        <w:t>（</w:t>
      </w:r>
      <w:r>
        <w:rPr>
          <w:rFonts w:hint="eastAsia" w:asciiTheme="minorEastAsia" w:hAnsiTheme="minorEastAsia" w:cstheme="minorEastAsia"/>
          <w:color w:val="auto"/>
          <w:spacing w:val="0"/>
          <w:w w:val="100"/>
          <w:sz w:val="21"/>
          <w:szCs w:val="21"/>
          <w:highlight w:val="none"/>
          <w:lang w:val="en-US" w:eastAsia="zh-CN"/>
        </w:rPr>
        <w:t>乙方</w:t>
      </w:r>
      <w:r>
        <w:rPr>
          <w:rFonts w:hint="eastAsia" w:asciiTheme="minorEastAsia" w:hAnsiTheme="minorEastAsia" w:eastAsiaTheme="minorEastAsia" w:cstheme="minorEastAsia"/>
          <w:color w:val="auto"/>
          <w:spacing w:val="0"/>
          <w:w w:val="100"/>
          <w:sz w:val="21"/>
          <w:szCs w:val="21"/>
          <w:highlight w:val="none"/>
        </w:rPr>
        <w:t>名称，以下简称“</w:t>
      </w:r>
      <w:r>
        <w:rPr>
          <w:rFonts w:hint="eastAsia" w:asciiTheme="minorEastAsia" w:hAnsiTheme="minorEastAsia" w:cstheme="minorEastAsia"/>
          <w:color w:val="auto"/>
          <w:spacing w:val="0"/>
          <w:w w:val="100"/>
          <w:sz w:val="21"/>
          <w:szCs w:val="21"/>
          <w:highlight w:val="none"/>
          <w:lang w:val="en-US" w:eastAsia="zh-CN"/>
        </w:rPr>
        <w:t>乙方</w:t>
      </w:r>
      <w:r>
        <w:rPr>
          <w:rFonts w:hint="eastAsia" w:asciiTheme="minorEastAsia" w:hAnsiTheme="minorEastAsia" w:eastAsiaTheme="minorEastAsia" w:cstheme="minorEastAsia"/>
          <w:color w:val="auto"/>
          <w:spacing w:val="0"/>
          <w:w w:val="100"/>
          <w:sz w:val="21"/>
          <w:szCs w:val="21"/>
          <w:highlight w:val="none"/>
        </w:rPr>
        <w:t>”）于</w:t>
      </w:r>
      <w:r>
        <w:rPr>
          <w:rFonts w:hint="eastAsia" w:asciiTheme="minorEastAsia" w:hAnsiTheme="minorEastAsia" w:eastAsiaTheme="minorEastAsia" w:cstheme="minorEastAsia"/>
          <w:color w:val="auto"/>
          <w:spacing w:val="0"/>
          <w:w w:val="100"/>
          <w:sz w:val="21"/>
          <w:szCs w:val="21"/>
          <w:highlight w:val="none"/>
          <w:u w:val="single"/>
        </w:rPr>
        <w:t xml:space="preserve">     </w:t>
      </w:r>
      <w:r>
        <w:rPr>
          <w:rFonts w:hint="eastAsia" w:asciiTheme="minorEastAsia" w:hAnsiTheme="minorEastAsia" w:eastAsiaTheme="minorEastAsia" w:cstheme="minorEastAsia"/>
          <w:color w:val="auto"/>
          <w:spacing w:val="0"/>
          <w:w w:val="100"/>
          <w:sz w:val="21"/>
          <w:szCs w:val="21"/>
          <w:highlight w:val="none"/>
        </w:rPr>
        <w:t>年</w:t>
      </w:r>
      <w:r>
        <w:rPr>
          <w:rFonts w:hint="eastAsia" w:asciiTheme="minorEastAsia" w:hAnsiTheme="minorEastAsia" w:eastAsiaTheme="minorEastAsia" w:cstheme="minorEastAsia"/>
          <w:color w:val="auto"/>
          <w:spacing w:val="0"/>
          <w:w w:val="100"/>
          <w:sz w:val="21"/>
          <w:szCs w:val="21"/>
          <w:highlight w:val="none"/>
          <w:u w:val="single"/>
        </w:rPr>
        <w:t xml:space="preserve">    </w:t>
      </w:r>
      <w:r>
        <w:rPr>
          <w:rFonts w:hint="eastAsia" w:asciiTheme="minorEastAsia" w:hAnsiTheme="minorEastAsia" w:eastAsiaTheme="minorEastAsia" w:cstheme="minorEastAsia"/>
          <w:color w:val="auto"/>
          <w:spacing w:val="0"/>
          <w:w w:val="100"/>
          <w:sz w:val="21"/>
          <w:szCs w:val="21"/>
          <w:highlight w:val="none"/>
        </w:rPr>
        <w:t>月</w:t>
      </w:r>
      <w:r>
        <w:rPr>
          <w:rFonts w:hint="eastAsia" w:asciiTheme="minorEastAsia" w:hAnsiTheme="minorEastAsia" w:eastAsiaTheme="minorEastAsia" w:cstheme="minorEastAsia"/>
          <w:color w:val="auto"/>
          <w:spacing w:val="0"/>
          <w:w w:val="100"/>
          <w:sz w:val="21"/>
          <w:szCs w:val="21"/>
          <w:highlight w:val="none"/>
          <w:u w:val="single"/>
        </w:rPr>
        <w:t xml:space="preserve">    </w:t>
      </w:r>
      <w:r>
        <w:rPr>
          <w:rFonts w:hint="eastAsia" w:asciiTheme="minorEastAsia" w:hAnsiTheme="minorEastAsia" w:eastAsiaTheme="minorEastAsia" w:cstheme="minorEastAsia"/>
          <w:color w:val="auto"/>
          <w:spacing w:val="0"/>
          <w:w w:val="100"/>
          <w:sz w:val="21"/>
          <w:szCs w:val="21"/>
          <w:highlight w:val="none"/>
        </w:rPr>
        <w:t>日参加</w:t>
      </w:r>
      <w:r>
        <w:rPr>
          <w:rFonts w:hint="eastAsia" w:asciiTheme="minorEastAsia" w:hAnsiTheme="minorEastAsia" w:eastAsiaTheme="minorEastAsia" w:cstheme="minorEastAsia"/>
          <w:color w:val="auto"/>
          <w:spacing w:val="0"/>
          <w:w w:val="100"/>
          <w:sz w:val="21"/>
          <w:szCs w:val="21"/>
          <w:highlight w:val="none"/>
          <w:u w:val="single"/>
        </w:rPr>
        <w:t xml:space="preserve">        </w:t>
      </w:r>
      <w:r>
        <w:rPr>
          <w:rFonts w:hint="eastAsia" w:asciiTheme="minorEastAsia" w:hAnsiTheme="minorEastAsia" w:eastAsiaTheme="minorEastAsia" w:cstheme="minorEastAsia"/>
          <w:color w:val="auto"/>
          <w:spacing w:val="0"/>
          <w:w w:val="100"/>
          <w:sz w:val="21"/>
          <w:szCs w:val="21"/>
          <w:highlight w:val="none"/>
        </w:rPr>
        <w:t>（项目名称）的报价。我方愿意无条件地、不可撤销地就</w:t>
      </w:r>
      <w:r>
        <w:rPr>
          <w:rFonts w:hint="eastAsia" w:asciiTheme="minorEastAsia" w:hAnsiTheme="minorEastAsia" w:cstheme="minorEastAsia"/>
          <w:color w:val="auto"/>
          <w:spacing w:val="0"/>
          <w:w w:val="100"/>
          <w:sz w:val="21"/>
          <w:szCs w:val="21"/>
          <w:highlight w:val="none"/>
          <w:lang w:val="en-US" w:eastAsia="zh-CN"/>
        </w:rPr>
        <w:t>乙方</w:t>
      </w:r>
      <w:r>
        <w:rPr>
          <w:rFonts w:hint="eastAsia" w:asciiTheme="minorEastAsia" w:hAnsiTheme="minorEastAsia" w:eastAsiaTheme="minorEastAsia" w:cstheme="minorEastAsia"/>
          <w:color w:val="auto"/>
          <w:spacing w:val="0"/>
          <w:w w:val="100"/>
          <w:sz w:val="21"/>
          <w:szCs w:val="21"/>
          <w:highlight w:val="none"/>
        </w:rPr>
        <w:t>履行与你方订立的合同，向你方提供担保。</w:t>
      </w:r>
    </w:p>
    <w:p w14:paraId="0CA14289">
      <w:pPr>
        <w:keepNext w:val="0"/>
        <w:keepLines w:val="0"/>
        <w:pageBreakBefore w:val="0"/>
        <w:widowControl w:val="0"/>
        <w:tabs>
          <w:tab w:val="left" w:pos="5540"/>
          <w:tab w:val="left" w:pos="7765"/>
        </w:tabs>
        <w:kinsoku/>
        <w:wordWrap/>
        <w:overflowPunct/>
        <w:topLinePunct/>
        <w:autoSpaceDE w:val="0"/>
        <w:autoSpaceDN w:val="0"/>
        <w:bidi w:val="0"/>
        <w:adjustRightInd w:val="0"/>
        <w:snapToGrid/>
        <w:spacing w:line="480" w:lineRule="exact"/>
        <w:ind w:left="0" w:right="0" w:firstLine="420" w:firstLineChars="200"/>
        <w:jc w:val="both"/>
        <w:textAlignment w:val="auto"/>
        <w:rPr>
          <w:rFonts w:hint="eastAsia" w:asciiTheme="minorEastAsia" w:hAnsiTheme="minorEastAsia" w:eastAsiaTheme="minorEastAsia" w:cstheme="minorEastAsia"/>
          <w:color w:val="auto"/>
          <w:spacing w:val="0"/>
          <w:w w:val="100"/>
          <w:sz w:val="21"/>
          <w:szCs w:val="21"/>
          <w:highlight w:val="none"/>
        </w:rPr>
      </w:pPr>
      <w:r>
        <w:rPr>
          <w:rFonts w:hint="eastAsia" w:asciiTheme="minorEastAsia" w:hAnsiTheme="minorEastAsia" w:eastAsiaTheme="minorEastAsia" w:cstheme="minorEastAsia"/>
          <w:color w:val="auto"/>
          <w:spacing w:val="0"/>
          <w:w w:val="100"/>
          <w:sz w:val="21"/>
          <w:szCs w:val="21"/>
          <w:highlight w:val="none"/>
        </w:rPr>
        <w:t>1. 担保金额人民币（大写）</w:t>
      </w:r>
      <w:r>
        <w:rPr>
          <w:rFonts w:hint="eastAsia" w:asciiTheme="minorEastAsia" w:hAnsiTheme="minorEastAsia" w:eastAsiaTheme="minorEastAsia" w:cstheme="minorEastAsia"/>
          <w:color w:val="auto"/>
          <w:spacing w:val="0"/>
          <w:w w:val="100"/>
          <w:sz w:val="21"/>
          <w:szCs w:val="21"/>
          <w:highlight w:val="none"/>
          <w:u w:val="single" w:color="000000"/>
        </w:rPr>
        <w:tab/>
      </w:r>
      <w:r>
        <w:rPr>
          <w:rFonts w:hint="eastAsia" w:asciiTheme="minorEastAsia" w:hAnsiTheme="minorEastAsia" w:eastAsiaTheme="minorEastAsia" w:cstheme="minorEastAsia"/>
          <w:color w:val="auto"/>
          <w:spacing w:val="0"/>
          <w:w w:val="100"/>
          <w:sz w:val="21"/>
          <w:szCs w:val="21"/>
          <w:highlight w:val="none"/>
        </w:rPr>
        <w:t>元（¥</w:t>
      </w:r>
      <w:r>
        <w:rPr>
          <w:rFonts w:hint="eastAsia" w:asciiTheme="minorEastAsia" w:hAnsiTheme="minorEastAsia" w:eastAsiaTheme="minorEastAsia" w:cstheme="minorEastAsia"/>
          <w:color w:val="auto"/>
          <w:spacing w:val="0"/>
          <w:w w:val="100"/>
          <w:sz w:val="21"/>
          <w:szCs w:val="21"/>
          <w:highlight w:val="none"/>
          <w:u w:val="single" w:color="000000"/>
        </w:rPr>
        <w:tab/>
      </w:r>
      <w:r>
        <w:rPr>
          <w:rFonts w:hint="eastAsia" w:asciiTheme="minorEastAsia" w:hAnsiTheme="minorEastAsia" w:eastAsiaTheme="minorEastAsia" w:cstheme="minorEastAsia"/>
          <w:color w:val="auto"/>
          <w:spacing w:val="0"/>
          <w:w w:val="100"/>
          <w:sz w:val="21"/>
          <w:szCs w:val="21"/>
          <w:highlight w:val="none"/>
        </w:rPr>
        <w:t>）。</w:t>
      </w:r>
    </w:p>
    <w:p w14:paraId="5B99B2B6">
      <w:pPr>
        <w:keepNext w:val="0"/>
        <w:keepLines w:val="0"/>
        <w:pageBreakBefore w:val="0"/>
        <w:widowControl w:val="0"/>
        <w:kinsoku/>
        <w:wordWrap/>
        <w:overflowPunct/>
        <w:topLinePunct/>
        <w:autoSpaceDE w:val="0"/>
        <w:autoSpaceDN w:val="0"/>
        <w:bidi w:val="0"/>
        <w:adjustRightInd w:val="0"/>
        <w:snapToGrid/>
        <w:spacing w:line="480" w:lineRule="exact"/>
        <w:ind w:left="0" w:right="0" w:firstLine="420" w:firstLineChars="200"/>
        <w:jc w:val="both"/>
        <w:textAlignment w:val="auto"/>
        <w:rPr>
          <w:rFonts w:hint="eastAsia" w:asciiTheme="minorEastAsia" w:hAnsiTheme="minorEastAsia" w:eastAsiaTheme="minorEastAsia" w:cstheme="minorEastAsia"/>
          <w:color w:val="auto"/>
          <w:spacing w:val="0"/>
          <w:w w:val="100"/>
          <w:sz w:val="21"/>
          <w:szCs w:val="21"/>
          <w:highlight w:val="none"/>
        </w:rPr>
      </w:pPr>
      <w:r>
        <w:rPr>
          <w:rFonts w:hint="eastAsia" w:asciiTheme="minorEastAsia" w:hAnsiTheme="minorEastAsia" w:eastAsiaTheme="minorEastAsia" w:cstheme="minorEastAsia"/>
          <w:color w:val="auto"/>
          <w:spacing w:val="0"/>
          <w:w w:val="100"/>
          <w:sz w:val="21"/>
          <w:szCs w:val="21"/>
          <w:highlight w:val="none"/>
        </w:rPr>
        <w:t>2. 担保有效期自</w:t>
      </w:r>
      <w:r>
        <w:rPr>
          <w:rFonts w:hint="eastAsia" w:asciiTheme="minorEastAsia" w:hAnsiTheme="minorEastAsia" w:cstheme="minorEastAsia"/>
          <w:color w:val="auto"/>
          <w:spacing w:val="0"/>
          <w:w w:val="100"/>
          <w:sz w:val="21"/>
          <w:szCs w:val="21"/>
          <w:highlight w:val="none"/>
          <w:lang w:val="en-US" w:eastAsia="zh-CN"/>
        </w:rPr>
        <w:t>甲方</w:t>
      </w:r>
      <w:r>
        <w:rPr>
          <w:rFonts w:hint="eastAsia" w:asciiTheme="minorEastAsia" w:hAnsiTheme="minorEastAsia" w:eastAsiaTheme="minorEastAsia" w:cstheme="minorEastAsia"/>
          <w:color w:val="auto"/>
          <w:spacing w:val="0"/>
          <w:w w:val="100"/>
          <w:sz w:val="21"/>
          <w:szCs w:val="21"/>
          <w:highlight w:val="none"/>
        </w:rPr>
        <w:t>与</w:t>
      </w:r>
      <w:r>
        <w:rPr>
          <w:rFonts w:hint="eastAsia" w:asciiTheme="minorEastAsia" w:hAnsiTheme="minorEastAsia" w:cstheme="minorEastAsia"/>
          <w:color w:val="auto"/>
          <w:spacing w:val="0"/>
          <w:w w:val="100"/>
          <w:sz w:val="21"/>
          <w:szCs w:val="21"/>
          <w:highlight w:val="none"/>
          <w:lang w:val="en-US" w:eastAsia="zh-CN"/>
        </w:rPr>
        <w:t>乙方</w:t>
      </w:r>
      <w:r>
        <w:rPr>
          <w:rFonts w:hint="eastAsia" w:asciiTheme="minorEastAsia" w:hAnsiTheme="minorEastAsia" w:eastAsiaTheme="minorEastAsia" w:cstheme="minorEastAsia"/>
          <w:color w:val="auto"/>
          <w:spacing w:val="0"/>
          <w:w w:val="100"/>
          <w:sz w:val="21"/>
          <w:szCs w:val="21"/>
          <w:highlight w:val="none"/>
        </w:rPr>
        <w:t>签订的合同生效之日起至</w:t>
      </w:r>
      <w:r>
        <w:rPr>
          <w:rFonts w:hint="eastAsia" w:asciiTheme="minorEastAsia" w:hAnsiTheme="minorEastAsia" w:cstheme="minorEastAsia"/>
          <w:color w:val="auto"/>
          <w:spacing w:val="0"/>
          <w:w w:val="100"/>
          <w:sz w:val="21"/>
          <w:szCs w:val="21"/>
          <w:highlight w:val="none"/>
          <w:lang w:val="en-US" w:eastAsia="zh-CN"/>
        </w:rPr>
        <w:t>乙方实施完成合同工作内容</w:t>
      </w:r>
      <w:r>
        <w:rPr>
          <w:rFonts w:hint="eastAsia"/>
          <w:highlight w:val="none"/>
        </w:rPr>
        <w:t>之日止</w:t>
      </w:r>
      <w:r>
        <w:rPr>
          <w:rFonts w:hint="eastAsia" w:asciiTheme="minorEastAsia" w:hAnsiTheme="minorEastAsia" w:eastAsiaTheme="minorEastAsia" w:cstheme="minorEastAsia"/>
          <w:color w:val="auto"/>
          <w:spacing w:val="0"/>
          <w:w w:val="100"/>
          <w:sz w:val="21"/>
          <w:szCs w:val="21"/>
          <w:highlight w:val="none"/>
        </w:rPr>
        <w:t>。</w:t>
      </w:r>
    </w:p>
    <w:p w14:paraId="32AEDE0D">
      <w:pPr>
        <w:keepNext w:val="0"/>
        <w:keepLines w:val="0"/>
        <w:pageBreakBefore w:val="0"/>
        <w:widowControl w:val="0"/>
        <w:kinsoku/>
        <w:wordWrap/>
        <w:overflowPunct/>
        <w:topLinePunct/>
        <w:autoSpaceDE w:val="0"/>
        <w:autoSpaceDN w:val="0"/>
        <w:bidi w:val="0"/>
        <w:adjustRightInd w:val="0"/>
        <w:snapToGrid/>
        <w:spacing w:line="480" w:lineRule="exact"/>
        <w:ind w:left="0" w:right="0" w:firstLine="420" w:firstLineChars="200"/>
        <w:jc w:val="both"/>
        <w:textAlignment w:val="auto"/>
        <w:rPr>
          <w:rFonts w:hint="eastAsia" w:asciiTheme="minorEastAsia" w:hAnsiTheme="minorEastAsia" w:eastAsiaTheme="minorEastAsia" w:cstheme="minorEastAsia"/>
          <w:color w:val="auto"/>
          <w:spacing w:val="0"/>
          <w:w w:val="100"/>
          <w:sz w:val="21"/>
          <w:szCs w:val="21"/>
          <w:highlight w:val="none"/>
        </w:rPr>
      </w:pPr>
      <w:r>
        <w:rPr>
          <w:rFonts w:hint="eastAsia" w:asciiTheme="minorEastAsia" w:hAnsiTheme="minorEastAsia" w:eastAsiaTheme="minorEastAsia" w:cstheme="minorEastAsia"/>
          <w:color w:val="auto"/>
          <w:spacing w:val="0"/>
          <w:w w:val="100"/>
          <w:sz w:val="21"/>
          <w:szCs w:val="21"/>
          <w:highlight w:val="none"/>
        </w:rPr>
        <w:t>3. 在本担保有效期内，因</w:t>
      </w:r>
      <w:r>
        <w:rPr>
          <w:rFonts w:hint="eastAsia" w:asciiTheme="minorEastAsia" w:hAnsiTheme="minorEastAsia" w:cstheme="minorEastAsia"/>
          <w:color w:val="auto"/>
          <w:spacing w:val="0"/>
          <w:w w:val="100"/>
          <w:sz w:val="21"/>
          <w:szCs w:val="21"/>
          <w:highlight w:val="none"/>
          <w:lang w:val="en-US" w:eastAsia="zh-CN"/>
        </w:rPr>
        <w:t>乙方</w:t>
      </w:r>
      <w:r>
        <w:rPr>
          <w:rFonts w:hint="eastAsia" w:asciiTheme="minorEastAsia" w:hAnsiTheme="minorEastAsia" w:eastAsiaTheme="minorEastAsia" w:cstheme="minorEastAsia"/>
          <w:color w:val="auto"/>
          <w:spacing w:val="0"/>
          <w:w w:val="100"/>
          <w:sz w:val="21"/>
          <w:szCs w:val="21"/>
          <w:highlight w:val="none"/>
        </w:rPr>
        <w:t>违反合同约定的义务给你方造成经济损失时，我方在收到你方以书面形式提出的在担保金额内的赔偿要求后，在 7 日内无条件支付，无须你方出具证明或陈述理由。</w:t>
      </w:r>
    </w:p>
    <w:p w14:paraId="1A885BE2">
      <w:pPr>
        <w:keepNext w:val="0"/>
        <w:keepLines w:val="0"/>
        <w:pageBreakBefore w:val="0"/>
        <w:widowControl w:val="0"/>
        <w:kinsoku/>
        <w:wordWrap/>
        <w:overflowPunct/>
        <w:topLinePunct/>
        <w:autoSpaceDE w:val="0"/>
        <w:autoSpaceDN w:val="0"/>
        <w:bidi w:val="0"/>
        <w:adjustRightInd w:val="0"/>
        <w:snapToGrid/>
        <w:spacing w:line="480" w:lineRule="exact"/>
        <w:ind w:left="0" w:right="0" w:firstLine="420" w:firstLineChars="200"/>
        <w:jc w:val="both"/>
        <w:textAlignment w:val="auto"/>
        <w:rPr>
          <w:rFonts w:hint="eastAsia" w:asciiTheme="minorEastAsia" w:hAnsiTheme="minorEastAsia" w:eastAsiaTheme="minorEastAsia" w:cstheme="minorEastAsia"/>
          <w:color w:val="auto"/>
          <w:spacing w:val="0"/>
          <w:w w:val="100"/>
          <w:sz w:val="21"/>
          <w:szCs w:val="21"/>
          <w:highlight w:val="none"/>
        </w:rPr>
      </w:pPr>
      <w:r>
        <w:rPr>
          <w:rFonts w:hint="eastAsia" w:asciiTheme="minorEastAsia" w:hAnsiTheme="minorEastAsia" w:eastAsiaTheme="minorEastAsia" w:cstheme="minorEastAsia"/>
          <w:color w:val="auto"/>
          <w:spacing w:val="0"/>
          <w:w w:val="100"/>
          <w:sz w:val="21"/>
          <w:szCs w:val="21"/>
          <w:highlight w:val="none"/>
        </w:rPr>
        <w:t xml:space="preserve">4. </w:t>
      </w:r>
      <w:r>
        <w:rPr>
          <w:rFonts w:hint="eastAsia" w:asciiTheme="minorEastAsia" w:hAnsiTheme="minorEastAsia" w:cstheme="minorEastAsia"/>
          <w:color w:val="auto"/>
          <w:spacing w:val="0"/>
          <w:w w:val="100"/>
          <w:sz w:val="21"/>
          <w:szCs w:val="21"/>
          <w:highlight w:val="none"/>
          <w:lang w:val="en-US" w:eastAsia="zh-CN"/>
        </w:rPr>
        <w:t>甲方</w:t>
      </w:r>
      <w:r>
        <w:rPr>
          <w:rFonts w:hint="eastAsia" w:asciiTheme="minorEastAsia" w:hAnsiTheme="minorEastAsia" w:eastAsiaTheme="minorEastAsia" w:cstheme="minorEastAsia"/>
          <w:color w:val="auto"/>
          <w:spacing w:val="0"/>
          <w:w w:val="100"/>
          <w:sz w:val="21"/>
          <w:szCs w:val="21"/>
          <w:highlight w:val="none"/>
        </w:rPr>
        <w:t>和</w:t>
      </w:r>
      <w:r>
        <w:rPr>
          <w:rFonts w:hint="eastAsia" w:asciiTheme="minorEastAsia" w:hAnsiTheme="minorEastAsia" w:cstheme="minorEastAsia"/>
          <w:color w:val="auto"/>
          <w:spacing w:val="0"/>
          <w:w w:val="100"/>
          <w:sz w:val="21"/>
          <w:szCs w:val="21"/>
          <w:highlight w:val="none"/>
          <w:lang w:val="en-US" w:eastAsia="zh-CN"/>
        </w:rPr>
        <w:t>乙方</w:t>
      </w:r>
      <w:r>
        <w:rPr>
          <w:rFonts w:hint="eastAsia" w:asciiTheme="minorEastAsia" w:hAnsiTheme="minorEastAsia" w:eastAsiaTheme="minorEastAsia" w:cstheme="minorEastAsia"/>
          <w:color w:val="auto"/>
          <w:spacing w:val="0"/>
          <w:w w:val="100"/>
          <w:sz w:val="21"/>
          <w:szCs w:val="21"/>
          <w:highlight w:val="none"/>
        </w:rPr>
        <w:t>按合同条款变更合同时，我方承担本担保规定的义务不变。</w:t>
      </w:r>
    </w:p>
    <w:p w14:paraId="06A88DED">
      <w:pPr>
        <w:autoSpaceDE w:val="0"/>
        <w:autoSpaceDN w:val="0"/>
        <w:adjustRightInd w:val="0"/>
        <w:jc w:val="left"/>
        <w:rPr>
          <w:rFonts w:hint="eastAsia" w:asciiTheme="minorEastAsia" w:hAnsiTheme="minorEastAsia" w:eastAsiaTheme="minorEastAsia" w:cstheme="minorEastAsia"/>
          <w:color w:val="auto"/>
          <w:sz w:val="21"/>
          <w:szCs w:val="21"/>
          <w:highlight w:val="none"/>
        </w:rPr>
      </w:pPr>
    </w:p>
    <w:p w14:paraId="12096A8F">
      <w:pPr>
        <w:autoSpaceDE w:val="0"/>
        <w:autoSpaceDN w:val="0"/>
        <w:adjustRightInd w:val="0"/>
        <w:jc w:val="left"/>
        <w:rPr>
          <w:rFonts w:hint="eastAsia" w:asciiTheme="minorEastAsia" w:hAnsiTheme="minorEastAsia" w:eastAsiaTheme="minorEastAsia" w:cstheme="minorEastAsia"/>
          <w:color w:val="auto"/>
          <w:sz w:val="21"/>
          <w:szCs w:val="21"/>
          <w:highlight w:val="none"/>
        </w:rPr>
      </w:pPr>
    </w:p>
    <w:p w14:paraId="6C06F096">
      <w:pPr>
        <w:tabs>
          <w:tab w:val="left" w:pos="4361"/>
          <w:tab w:val="left" w:pos="7501"/>
          <w:tab w:val="left" w:pos="7981"/>
          <w:tab w:val="left" w:pos="8600"/>
        </w:tabs>
        <w:autoSpaceDE w:val="0"/>
        <w:autoSpaceDN w:val="0"/>
        <w:adjustRightInd w:val="0"/>
        <w:spacing w:before="208" w:line="305" w:lineRule="auto"/>
        <w:ind w:right="102" w:firstLine="840" w:firstLineChars="4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担保人名称</w:t>
      </w:r>
      <w:r>
        <w:rPr>
          <w:rFonts w:hint="eastAsia" w:asciiTheme="minorEastAsia" w:hAnsiTheme="minorEastAsia" w:eastAsiaTheme="minorEastAsia" w:cstheme="minorEastAsia"/>
          <w:color w:val="auto"/>
          <w:sz w:val="21"/>
          <w:szCs w:val="21"/>
          <w:highlight w:val="none"/>
          <w:u w:val="single" w:color="000000"/>
        </w:rPr>
        <w:t>：</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cstheme="minorEastAsia"/>
          <w:color w:val="auto"/>
          <w:sz w:val="21"/>
          <w:szCs w:val="21"/>
          <w:highlight w:val="none"/>
          <w:u w:val="single" w:color="000000"/>
          <w:lang w:val="en-US" w:eastAsia="zh-CN"/>
        </w:rPr>
        <w:t xml:space="preserve">  </w:t>
      </w:r>
      <w:r>
        <w:rPr>
          <w:rFonts w:hint="eastAsia" w:asciiTheme="minorEastAsia" w:hAnsiTheme="minorEastAsia" w:eastAsiaTheme="minorEastAsia" w:cstheme="minorEastAsia"/>
          <w:color w:val="auto"/>
          <w:sz w:val="21"/>
          <w:szCs w:val="21"/>
          <w:highlight w:val="none"/>
          <w:u w:val="single" w:color="000000"/>
        </w:rPr>
        <w:t>（</w:t>
      </w:r>
      <w:r>
        <w:rPr>
          <w:rFonts w:hint="eastAsia" w:asciiTheme="minorEastAsia" w:hAnsiTheme="minorEastAsia" w:eastAsiaTheme="minorEastAsia" w:cstheme="minorEastAsia"/>
          <w:color w:val="auto"/>
          <w:sz w:val="21"/>
          <w:szCs w:val="21"/>
          <w:highlight w:val="none"/>
        </w:rPr>
        <w:t xml:space="preserve">盖单位章） </w:t>
      </w:r>
    </w:p>
    <w:p w14:paraId="1E659272">
      <w:pPr>
        <w:tabs>
          <w:tab w:val="left" w:pos="4361"/>
          <w:tab w:val="left" w:pos="7501"/>
          <w:tab w:val="left" w:pos="7981"/>
          <w:tab w:val="left" w:pos="8600"/>
        </w:tabs>
        <w:autoSpaceDE w:val="0"/>
        <w:autoSpaceDN w:val="0"/>
        <w:adjustRightInd w:val="0"/>
        <w:spacing w:before="208" w:line="305" w:lineRule="auto"/>
        <w:ind w:right="102"/>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法定代表人或其委托代理</w:t>
      </w:r>
      <w:r>
        <w:rPr>
          <w:rFonts w:hint="eastAsia" w:asciiTheme="minorEastAsia" w:hAnsiTheme="minorEastAsia" w:eastAsiaTheme="minorEastAsia" w:cstheme="minorEastAsia"/>
          <w:color w:val="auto"/>
          <w:sz w:val="21"/>
          <w:szCs w:val="21"/>
          <w:highlight w:val="none"/>
          <w:u w:val="none" w:color="auto"/>
        </w:rPr>
        <w:t>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w:t>
      </w:r>
      <w:r>
        <w:rPr>
          <w:rFonts w:hint="eastAsia" w:asciiTheme="minorEastAsia" w:hAnsiTheme="minorEastAsia" w:eastAsiaTheme="minorEastAsia" w:cstheme="minorEastAsia"/>
          <w:color w:val="auto"/>
          <w:sz w:val="21"/>
          <w:szCs w:val="21"/>
          <w:highlight w:val="none"/>
        </w:rPr>
        <w:t xml:space="preserve">签字） </w:t>
      </w:r>
    </w:p>
    <w:p w14:paraId="36286558">
      <w:pPr>
        <w:tabs>
          <w:tab w:val="left" w:pos="4361"/>
          <w:tab w:val="left" w:pos="7501"/>
          <w:tab w:val="left" w:pos="7981"/>
          <w:tab w:val="left" w:pos="8600"/>
        </w:tabs>
        <w:autoSpaceDE w:val="0"/>
        <w:autoSpaceDN w:val="0"/>
        <w:adjustRightInd w:val="0"/>
        <w:spacing w:before="208" w:line="305" w:lineRule="auto"/>
        <w:ind w:right="102" w:firstLine="3570" w:firstLineChars="17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址：</w:t>
      </w:r>
      <w:r>
        <w:rPr>
          <w:rFonts w:hint="eastAsia" w:asciiTheme="minorEastAsia" w:hAnsiTheme="minorEastAsia" w:eastAsiaTheme="minorEastAsia" w:cstheme="minorEastAsia"/>
          <w:color w:val="auto"/>
          <w:sz w:val="21"/>
          <w:szCs w:val="21"/>
          <w:highlight w:val="none"/>
          <w:u w:val="single" w:color="000000"/>
        </w:rPr>
        <w:t xml:space="preserve"> </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rPr>
        <w:t xml:space="preserve"> </w:t>
      </w:r>
    </w:p>
    <w:p w14:paraId="727FB0EA">
      <w:pPr>
        <w:tabs>
          <w:tab w:val="left" w:pos="4361"/>
          <w:tab w:val="left" w:pos="7501"/>
          <w:tab w:val="left" w:pos="7981"/>
          <w:tab w:val="left" w:pos="8600"/>
        </w:tabs>
        <w:autoSpaceDE w:val="0"/>
        <w:autoSpaceDN w:val="0"/>
        <w:adjustRightInd w:val="0"/>
        <w:spacing w:before="208" w:line="305" w:lineRule="auto"/>
        <w:ind w:left="3641" w:right="10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color="000000"/>
        </w:rPr>
        <w:t xml:space="preserve"> </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rPr>
        <w:t xml:space="preserve">  </w:t>
      </w:r>
    </w:p>
    <w:p w14:paraId="58A335B4">
      <w:pPr>
        <w:tabs>
          <w:tab w:val="left" w:pos="4361"/>
          <w:tab w:val="left" w:pos="7501"/>
          <w:tab w:val="left" w:pos="7981"/>
          <w:tab w:val="left" w:pos="8600"/>
        </w:tabs>
        <w:autoSpaceDE w:val="0"/>
        <w:autoSpaceDN w:val="0"/>
        <w:adjustRightInd w:val="0"/>
        <w:spacing w:before="208" w:line="305" w:lineRule="auto"/>
        <w:ind w:left="3641" w:right="10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话：</w:t>
      </w:r>
      <w:r>
        <w:rPr>
          <w:rFonts w:hint="eastAsia" w:asciiTheme="minorEastAsia" w:hAnsiTheme="minorEastAsia" w:eastAsiaTheme="minorEastAsia" w:cstheme="minorEastAsia"/>
          <w:color w:val="auto"/>
          <w:sz w:val="21"/>
          <w:szCs w:val="21"/>
          <w:highlight w:val="none"/>
          <w:u w:val="single" w:color="000000"/>
        </w:rPr>
        <w:t xml:space="preserve"> </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w w:val="114"/>
          <w:sz w:val="21"/>
          <w:szCs w:val="21"/>
          <w:highlight w:val="none"/>
          <w:u w:val="single" w:color="000000"/>
        </w:rPr>
        <w:t xml:space="preserve">  </w:t>
      </w:r>
      <w:r>
        <w:rPr>
          <w:rFonts w:hint="eastAsia" w:asciiTheme="minorEastAsia" w:hAnsiTheme="minorEastAsia" w:eastAsiaTheme="minorEastAsia" w:cstheme="minorEastAsia"/>
          <w:color w:val="auto"/>
          <w:sz w:val="21"/>
          <w:szCs w:val="21"/>
          <w:highlight w:val="none"/>
        </w:rPr>
        <w:t xml:space="preserve"> </w:t>
      </w:r>
    </w:p>
    <w:p w14:paraId="1B1DB440">
      <w:pPr>
        <w:tabs>
          <w:tab w:val="left" w:pos="4361"/>
          <w:tab w:val="left" w:pos="7501"/>
          <w:tab w:val="left" w:pos="7981"/>
          <w:tab w:val="left" w:pos="8600"/>
        </w:tabs>
        <w:autoSpaceDE w:val="0"/>
        <w:autoSpaceDN w:val="0"/>
        <w:adjustRightInd w:val="0"/>
        <w:spacing w:before="208" w:line="305" w:lineRule="auto"/>
        <w:ind w:left="3641" w:right="10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真：</w:t>
      </w:r>
      <w:r>
        <w:rPr>
          <w:rFonts w:hint="eastAsia" w:asciiTheme="minorEastAsia" w:hAnsiTheme="minorEastAsia" w:eastAsiaTheme="minorEastAsia" w:cstheme="minorEastAsia"/>
          <w:color w:val="auto"/>
          <w:sz w:val="21"/>
          <w:szCs w:val="21"/>
          <w:highlight w:val="none"/>
          <w:u w:val="single" w:color="000000"/>
        </w:rPr>
        <w:t xml:space="preserve"> </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w w:val="114"/>
          <w:sz w:val="21"/>
          <w:szCs w:val="21"/>
          <w:highlight w:val="none"/>
          <w:u w:val="single" w:color="000000"/>
        </w:rPr>
        <w:t xml:space="preserve">  </w:t>
      </w:r>
    </w:p>
    <w:p w14:paraId="19F4684A">
      <w:pPr>
        <w:tabs>
          <w:tab w:val="left" w:pos="6596"/>
          <w:tab w:val="left" w:pos="7621"/>
          <w:tab w:val="left" w:pos="8581"/>
        </w:tabs>
        <w:autoSpaceDE w:val="0"/>
        <w:autoSpaceDN w:val="0"/>
        <w:adjustRightInd w:val="0"/>
        <w:spacing w:before="21"/>
        <w:ind w:left="570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color="000000"/>
        </w:rPr>
        <w:t xml:space="preserve"> </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color="000000"/>
        </w:rPr>
        <w:tab/>
      </w:r>
      <w:r>
        <w:rPr>
          <w:rFonts w:hint="eastAsia" w:asciiTheme="minorEastAsia" w:hAnsiTheme="minorEastAsia" w:eastAsiaTheme="minorEastAsia" w:cstheme="minorEastAsia"/>
          <w:color w:val="auto"/>
          <w:sz w:val="21"/>
          <w:szCs w:val="21"/>
          <w:highlight w:val="none"/>
        </w:rPr>
        <w:t>日</w:t>
      </w:r>
    </w:p>
    <w:p w14:paraId="7C0568C7">
      <w:pPr>
        <w:pageBreakBefore w:val="0"/>
        <w:tabs>
          <w:tab w:val="left" w:pos="690"/>
          <w:tab w:val="left" w:pos="840"/>
          <w:tab w:val="left" w:pos="1260"/>
          <w:tab w:val="left" w:pos="1680"/>
          <w:tab w:val="left" w:pos="2100"/>
          <w:tab w:val="left" w:pos="6510"/>
        </w:tabs>
        <w:kinsoku/>
        <w:wordWrap/>
        <w:overflowPunct/>
        <w:topLinePunct w:val="0"/>
        <w:bidi w:val="0"/>
        <w:spacing w:line="560" w:lineRule="exact"/>
        <w:jc w:val="center"/>
        <w:textAlignment w:val="auto"/>
        <w:rPr>
          <w:rFonts w:hint="eastAsia" w:ascii="黑体" w:hAnsi="黑体" w:eastAsia="黑体" w:cs="黑体"/>
          <w:b w:val="0"/>
          <w:bCs w:val="0"/>
          <w:sz w:val="32"/>
          <w:szCs w:val="32"/>
          <w:highlight w:val="none"/>
          <w:lang w:val="en-US" w:eastAsia="zh-CN"/>
        </w:rPr>
      </w:pPr>
    </w:p>
    <w:p w14:paraId="55BAD31C">
      <w:pPr>
        <w:pageBreakBefore w:val="0"/>
        <w:tabs>
          <w:tab w:val="left" w:pos="690"/>
          <w:tab w:val="left" w:pos="840"/>
          <w:tab w:val="left" w:pos="1260"/>
          <w:tab w:val="left" w:pos="1680"/>
          <w:tab w:val="left" w:pos="2100"/>
          <w:tab w:val="left" w:pos="6510"/>
        </w:tabs>
        <w:kinsoku/>
        <w:wordWrap/>
        <w:overflowPunct/>
        <w:topLinePunct w:val="0"/>
        <w:bidi w:val="0"/>
        <w:spacing w:line="560" w:lineRule="exact"/>
        <w:jc w:val="center"/>
        <w:textAlignment w:val="auto"/>
        <w:rPr>
          <w:rFonts w:hint="eastAsia" w:ascii="黑体" w:hAnsi="黑体" w:eastAsia="黑体" w:cs="黑体"/>
          <w:b w:val="0"/>
          <w:bCs w:val="0"/>
          <w:sz w:val="32"/>
          <w:szCs w:val="32"/>
          <w:highlight w:val="none"/>
          <w:lang w:val="en-US" w:eastAsia="zh-CN"/>
        </w:rPr>
      </w:pPr>
    </w:p>
    <w:p w14:paraId="67E4D13B">
      <w:p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br w:type="page"/>
      </w:r>
    </w:p>
    <w:p w14:paraId="519313D9">
      <w:pPr>
        <w:pageBreakBefore w:val="0"/>
        <w:tabs>
          <w:tab w:val="left" w:pos="690"/>
          <w:tab w:val="left" w:pos="840"/>
          <w:tab w:val="left" w:pos="1260"/>
          <w:tab w:val="left" w:pos="1680"/>
          <w:tab w:val="left" w:pos="2100"/>
          <w:tab w:val="left" w:pos="6510"/>
        </w:tabs>
        <w:kinsoku/>
        <w:wordWrap/>
        <w:overflowPunct/>
        <w:topLinePunct w:val="0"/>
        <w:bidi w:val="0"/>
        <w:spacing w:line="560" w:lineRule="exact"/>
        <w:jc w:val="center"/>
        <w:textAlignment w:val="auto"/>
        <w:outlineLvl w:val="0"/>
        <w:rPr>
          <w:rFonts w:hint="eastAsia" w:ascii="黑体" w:hAnsi="黑体" w:eastAsia="黑体" w:cs="黑体"/>
          <w:b w:val="0"/>
          <w:bCs w:val="0"/>
          <w:sz w:val="32"/>
          <w:szCs w:val="32"/>
          <w:highlight w:val="none"/>
          <w:lang w:val="en-US" w:eastAsia="zh-CN"/>
        </w:rPr>
      </w:pPr>
      <w:bookmarkStart w:id="58" w:name="_Toc25350"/>
      <w:r>
        <w:rPr>
          <w:rFonts w:hint="eastAsia" w:ascii="黑体" w:hAnsi="黑体" w:eastAsia="黑体" w:cs="黑体"/>
          <w:b w:val="0"/>
          <w:bCs w:val="0"/>
          <w:sz w:val="32"/>
          <w:szCs w:val="32"/>
          <w:highlight w:val="none"/>
          <w:lang w:val="en-US" w:eastAsia="zh-CN"/>
        </w:rPr>
        <w:t>第五章 服务项目合同格式</w:t>
      </w:r>
      <w:bookmarkEnd w:id="58"/>
    </w:p>
    <w:p w14:paraId="5FE9D6BA">
      <w:pPr>
        <w:pageBreakBefore w:val="0"/>
        <w:tabs>
          <w:tab w:val="left" w:pos="690"/>
          <w:tab w:val="left" w:pos="840"/>
          <w:tab w:val="left" w:pos="1260"/>
          <w:tab w:val="left" w:pos="1680"/>
          <w:tab w:val="left" w:pos="6720"/>
        </w:tabs>
        <w:kinsoku/>
        <w:wordWrap/>
        <w:overflowPunct/>
        <w:topLinePunct w:val="0"/>
        <w:bidi w:val="0"/>
        <w:spacing w:line="560" w:lineRule="exact"/>
        <w:textAlignment w:val="auto"/>
        <w:rPr>
          <w:rFonts w:hint="eastAsia"/>
          <w:b/>
          <w:bCs/>
          <w:sz w:val="30"/>
          <w:highlight w:val="none"/>
        </w:rPr>
      </w:pPr>
    </w:p>
    <w:p w14:paraId="688766EA">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委托方（甲方）：</w:t>
      </w:r>
    </w:p>
    <w:p w14:paraId="6475C064">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法定代表人：</w:t>
      </w:r>
    </w:p>
    <w:p w14:paraId="6DF9A698">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公司地址：</w:t>
      </w:r>
    </w:p>
    <w:p w14:paraId="2A7A12C9">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项目联系人：</w:t>
      </w:r>
    </w:p>
    <w:p w14:paraId="6AF523D1">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手机：</w:t>
      </w:r>
    </w:p>
    <w:p w14:paraId="5D83238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电子邮箱：</w:t>
      </w:r>
    </w:p>
    <w:p w14:paraId="6659C0F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p>
    <w:p w14:paraId="645166DD">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受托方（乙方）：</w:t>
      </w:r>
    </w:p>
    <w:p w14:paraId="632026EB">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法定代表人：</w:t>
      </w:r>
    </w:p>
    <w:p w14:paraId="43948B52">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公司地址：</w:t>
      </w:r>
    </w:p>
    <w:p w14:paraId="076D11B5">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项目联系人：</w:t>
      </w:r>
    </w:p>
    <w:p w14:paraId="367BF8FF">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手机：</w:t>
      </w:r>
    </w:p>
    <w:p w14:paraId="025D32C1">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电子邮箱：</w:t>
      </w:r>
    </w:p>
    <w:p w14:paraId="59C62FC9">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u w:val="none"/>
          <w:lang w:val="en-US" w:eastAsia="zh-CN"/>
        </w:rPr>
        <w:t>本合同甲方委托乙方就</w:t>
      </w:r>
      <w:r>
        <w:rPr>
          <w:rFonts w:hint="eastAsia" w:ascii="宋体" w:hAnsi="宋体" w:eastAsia="宋体" w:cs="宋体"/>
          <w:color w:val="auto"/>
          <w:sz w:val="24"/>
          <w:szCs w:val="24"/>
          <w:highlight w:val="none"/>
          <w:u w:val="single"/>
          <w:lang w:val="en-US" w:eastAsia="zh-CN"/>
        </w:rPr>
        <w:t>《赣州交通控股集团有限公司“十五五”发展规划》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提供编制服务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并支付相应的编制费用。双方经过平等协商，在真实、充分地表达各自意愿的基础上，根据《中华人民共和国民法典》的规定，</w:t>
      </w:r>
      <w:r>
        <w:rPr>
          <w:rFonts w:hint="eastAsia" w:ascii="宋体" w:hAnsi="宋体" w:eastAsia="宋体" w:cs="宋体"/>
          <w:color w:val="auto"/>
          <w:sz w:val="24"/>
          <w:szCs w:val="24"/>
          <w:highlight w:val="none"/>
        </w:rPr>
        <w:t>达成如下协议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并由双方共同恪守</w:t>
      </w:r>
      <w:r>
        <w:rPr>
          <w:rFonts w:hint="eastAsia" w:ascii="宋体" w:hAnsi="宋体" w:eastAsia="宋体" w:cs="宋体"/>
          <w:sz w:val="24"/>
          <w:szCs w:val="24"/>
          <w:highlight w:val="none"/>
          <w:lang w:val="en-US" w:eastAsia="zh-CN"/>
        </w:rPr>
        <w:t>。</w:t>
      </w:r>
    </w:p>
    <w:p w14:paraId="6C9D74D7">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第一条 乙方应提交成果报告及要求</w:t>
      </w:r>
    </w:p>
    <w:p w14:paraId="0B2E2F18">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（一）成果内容</w:t>
      </w:r>
    </w:p>
    <w:p w14:paraId="0A07C434">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1.《赣州交通控股集团有限公司“十五五”发展规划报告》</w:t>
      </w:r>
    </w:p>
    <w:p w14:paraId="1250B476">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2.《赣州交通控股集团有限公司“十五五”发展规划中期评估及调整报告》</w:t>
      </w:r>
    </w:p>
    <w:p w14:paraId="2595F42E">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3.《赣州交通控股集团有限公司“十五五”发展规划总结报告》</w:t>
      </w:r>
    </w:p>
    <w:p w14:paraId="28327ED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4.《赣州交通控股集团有限公司物流产业专项规划报告》</w:t>
      </w:r>
    </w:p>
    <w:p w14:paraId="7291720D">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5.《赣州交通控股集团有限公司低空经济产业专项规划报告》</w:t>
      </w:r>
    </w:p>
    <w:p w14:paraId="7D0D8B06">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（二）时间进度要求</w:t>
      </w:r>
    </w:p>
    <w:p w14:paraId="51E465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1.2025年11月底前</w:t>
      </w:r>
      <w:r>
        <w:rPr>
          <w:rFonts w:hint="eastAsia" w:cs="宋体"/>
          <w:b w:val="0"/>
          <w:bCs w:val="0"/>
          <w:i w:val="0"/>
          <w:iCs w:val="0"/>
          <w:caps w:val="0"/>
          <w:color w:val="auto"/>
          <w:spacing w:val="0"/>
          <w:sz w:val="24"/>
          <w:szCs w:val="24"/>
          <w:highlight w:val="none"/>
          <w:shd w:val="clear" w:fill="FFFFFF"/>
          <w:lang w:val="en-US" w:eastAsia="zh-CN"/>
        </w:rPr>
        <w:t>，完成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《赣州交通控股集团有限公司物流产业专项规划报告》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《赣州交通控股集团有限公司低空经济产业专项规划报告》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p>
    <w:p w14:paraId="10FDA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2.2025年12月底前，</w:t>
      </w:r>
      <w:r>
        <w:rPr>
          <w:rFonts w:hint="eastAsia" w:cs="宋体"/>
          <w:b w:val="0"/>
          <w:bCs w:val="0"/>
          <w:i w:val="0"/>
          <w:iCs w:val="0"/>
          <w:caps w:val="0"/>
          <w:color w:val="auto"/>
          <w:spacing w:val="0"/>
          <w:sz w:val="24"/>
          <w:szCs w:val="24"/>
          <w:highlight w:val="none"/>
          <w:shd w:val="clear" w:fill="FFFFFF"/>
          <w:lang w:val="en-US" w:eastAsia="zh-CN"/>
        </w:rPr>
        <w:t>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val="en-US" w:eastAsia="zh-CN"/>
        </w:rPr>
        <w:t>》（报批稿）、</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《赣州交通控股集团有限公司物流产业专项规划报告》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lang w:val="en-US" w:eastAsia="zh-CN"/>
        </w:rPr>
        <w:t>定稿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《赣州交通控股集团有限公司低空经济产业专项规划报告》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lang w:val="en-US" w:eastAsia="zh-CN"/>
        </w:rPr>
        <w:t>定稿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p>
    <w:p w14:paraId="323ED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3.2026年2月底前</w:t>
      </w:r>
      <w:r>
        <w:rPr>
          <w:rFonts w:hint="eastAsia" w:cs="宋体"/>
          <w:b w:val="0"/>
          <w:bCs w:val="0"/>
          <w:i w:val="0"/>
          <w:iCs w:val="0"/>
          <w:caps w:val="0"/>
          <w:color w:val="auto"/>
          <w:spacing w:val="0"/>
          <w:sz w:val="24"/>
          <w:szCs w:val="24"/>
          <w:highlight w:val="none"/>
          <w:shd w:val="clear" w:fill="FFFFFF"/>
          <w:lang w:val="en-US" w:eastAsia="zh-CN"/>
        </w:rPr>
        <w:t>，完成《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val="en-US" w:eastAsia="zh-CN"/>
        </w:rPr>
        <w:t>》（定稿）</w:t>
      </w:r>
      <w:r>
        <w:rPr>
          <w:rFonts w:hint="eastAsia" w:cs="宋体"/>
          <w:b w:val="0"/>
          <w:bCs w:val="0"/>
          <w:i w:val="0"/>
          <w:iCs w:val="0"/>
          <w:caps w:val="0"/>
          <w:color w:val="auto"/>
          <w:spacing w:val="0"/>
          <w:sz w:val="24"/>
          <w:szCs w:val="24"/>
          <w:highlight w:val="none"/>
          <w:shd w:val="clear" w:fill="FFFFFF"/>
          <w:lang w:eastAsia="zh-CN"/>
        </w:rPr>
        <w:t>。</w:t>
      </w:r>
    </w:p>
    <w:p w14:paraId="49962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4.2028年12月底前完成《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ascii="宋体" w:hAnsi="宋体" w:eastAsia="宋体" w:cs="宋体"/>
          <w:b w:val="0"/>
          <w:bCs w:val="0"/>
          <w:i w:val="0"/>
          <w:iCs w:val="0"/>
          <w:caps w:val="0"/>
          <w:color w:val="auto"/>
          <w:spacing w:val="0"/>
          <w:sz w:val="24"/>
          <w:szCs w:val="24"/>
          <w:highlight w:val="none"/>
          <w:shd w:val="clear" w:fill="FFFFFF"/>
          <w:lang w:val="en-US" w:eastAsia="zh-CN"/>
        </w:rPr>
        <w:t>中期评估及调整报告》（定稿）</w:t>
      </w:r>
      <w:r>
        <w:rPr>
          <w:rFonts w:hint="eastAsia" w:cs="宋体"/>
          <w:b w:val="0"/>
          <w:bCs w:val="0"/>
          <w:i w:val="0"/>
          <w:iCs w:val="0"/>
          <w:caps w:val="0"/>
          <w:color w:val="auto"/>
          <w:spacing w:val="0"/>
          <w:sz w:val="24"/>
          <w:szCs w:val="24"/>
          <w:highlight w:val="none"/>
          <w:shd w:val="clear" w:fill="FFFFFF"/>
          <w:lang w:val="en-US" w:eastAsia="zh-CN"/>
        </w:rPr>
        <w:t>。</w:t>
      </w:r>
    </w:p>
    <w:p w14:paraId="71DFE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5.2030年6月底前完成《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ascii="宋体" w:hAnsi="宋体" w:eastAsia="宋体" w:cs="宋体"/>
          <w:b w:val="0"/>
          <w:bCs w:val="0"/>
          <w:i w:val="0"/>
          <w:iCs w:val="0"/>
          <w:caps w:val="0"/>
          <w:color w:val="auto"/>
          <w:spacing w:val="0"/>
          <w:sz w:val="24"/>
          <w:szCs w:val="24"/>
          <w:highlight w:val="none"/>
          <w:shd w:val="clear" w:fill="FFFFFF"/>
          <w:lang w:val="en-US" w:eastAsia="zh-CN"/>
        </w:rPr>
        <w:t>总结报告》（定稿）</w:t>
      </w:r>
      <w:r>
        <w:rPr>
          <w:rFonts w:hint="eastAsia" w:cs="宋体"/>
          <w:b w:val="0"/>
          <w:bCs w:val="0"/>
          <w:i w:val="0"/>
          <w:iCs w:val="0"/>
          <w:caps w:val="0"/>
          <w:color w:val="auto"/>
          <w:spacing w:val="0"/>
          <w:sz w:val="24"/>
          <w:szCs w:val="24"/>
          <w:highlight w:val="none"/>
          <w:shd w:val="clear" w:fill="FFFFFF"/>
          <w:lang w:val="en-US" w:eastAsia="zh-CN"/>
        </w:rPr>
        <w:t>。</w:t>
      </w:r>
    </w:p>
    <w:p w14:paraId="6000A618">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i w:val="0"/>
          <w:iCs w:val="0"/>
          <w:caps w:val="0"/>
          <w:color w:val="auto"/>
          <w:spacing w:val="0"/>
          <w:sz w:val="24"/>
          <w:szCs w:val="24"/>
          <w:highlight w:val="none"/>
          <w:shd w:val="clear" w:fill="FFFFFF"/>
          <w:lang w:val="en-US" w:eastAsia="zh-CN"/>
        </w:rPr>
        <w:t>以上时间节点安排甲方可根据自身实际需要或其上级有关要求等单方进行适度调整，乙方对此不持任何异议。</w:t>
      </w:r>
    </w:p>
    <w:p w14:paraId="400FC2A8">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（三）提交成果形式包括但不限于：</w:t>
      </w:r>
    </w:p>
    <w:p w14:paraId="22530C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PPT和</w:t>
      </w:r>
      <w:r>
        <w:rPr>
          <w:rFonts w:hint="eastAsia" w:cs="宋体"/>
          <w:b w:val="0"/>
          <w:bCs w:val="0"/>
          <w:i w:val="0"/>
          <w:iCs w:val="0"/>
          <w:caps w:val="0"/>
          <w:color w:val="auto"/>
          <w:spacing w:val="0"/>
          <w:sz w:val="24"/>
          <w:szCs w:val="24"/>
          <w:highlight w:val="none"/>
          <w:shd w:val="clear" w:fill="FFFFFF"/>
          <w:lang w:val="en-US" w:eastAsia="zh-CN"/>
        </w:rPr>
        <w:t>WORD</w:t>
      </w:r>
      <w:r>
        <w:rPr>
          <w:rFonts w:hint="eastAsia" w:ascii="宋体" w:hAnsi="宋体" w:eastAsia="宋体" w:cs="宋体"/>
          <w:b w:val="0"/>
          <w:bCs w:val="0"/>
          <w:i w:val="0"/>
          <w:iCs w:val="0"/>
          <w:caps w:val="0"/>
          <w:color w:val="auto"/>
          <w:spacing w:val="0"/>
          <w:sz w:val="24"/>
          <w:szCs w:val="24"/>
          <w:highlight w:val="none"/>
          <w:shd w:val="clear" w:fill="FFFFFF"/>
          <w:lang w:val="en-US" w:eastAsia="zh-CN"/>
        </w:rPr>
        <w:t>版本的电子版成果报告各1套</w:t>
      </w:r>
      <w:r>
        <w:rPr>
          <w:rFonts w:hint="eastAsia" w:cs="宋体"/>
          <w:b w:val="0"/>
          <w:bCs w:val="0"/>
          <w:i w:val="0"/>
          <w:iCs w:val="0"/>
          <w:caps w:val="0"/>
          <w:color w:val="auto"/>
          <w:spacing w:val="0"/>
          <w:sz w:val="24"/>
          <w:szCs w:val="24"/>
          <w:highlight w:val="none"/>
          <w:shd w:val="clear" w:fill="FFFFFF"/>
          <w:lang w:val="en-US" w:eastAsia="zh-CN"/>
        </w:rPr>
        <w:t>；</w:t>
      </w:r>
    </w:p>
    <w:p w14:paraId="6BC04187">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w:t>
      </w:r>
      <w:r>
        <w:rPr>
          <w:rFonts w:hint="eastAsia" w:cs="宋体"/>
          <w:b w:val="0"/>
          <w:bCs w:val="0"/>
          <w:i w:val="0"/>
          <w:iCs w:val="0"/>
          <w:caps w:val="0"/>
          <w:color w:val="auto"/>
          <w:spacing w:val="0"/>
          <w:sz w:val="24"/>
          <w:szCs w:val="24"/>
          <w:highlight w:val="none"/>
          <w:shd w:val="clear" w:fill="FFFFFF"/>
          <w:lang w:val="en-US" w:eastAsia="zh-CN"/>
        </w:rPr>
        <w:t>WORD版本的纸质版成果报告各4套。</w:t>
      </w:r>
    </w:p>
    <w:p w14:paraId="0E02C4E8">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第二条 服务要求</w:t>
      </w:r>
    </w:p>
    <w:p w14:paraId="58AED92A">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甲方的出资监管单位“十五五”发展规划编制要求，并结合甲方实际情况，编制具有前瞻性，发展定位科学、发展目标合理、发展路径和举措具有可行性和可操作性的甲方“十五五”发展规划。报告内容包括但不限于：①发展现状，即企业基本情况、发展基础、发展环境、行业对标及竞争分析等；②总体要求、战略定位、发展目标；③产业布局安排，即发展目标、路径举措、重点任务、重大工程项目等；</w:t>
      </w:r>
      <w:r>
        <w:rPr>
          <w:rFonts w:hint="default"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规划实施保障。</w:t>
      </w:r>
    </w:p>
    <w:p w14:paraId="0873F3D4">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2.“十五五”中期，根据甲方的出资监管单位的工作部署节点要求，应全面、准确、客观总结甲方的“十五五”中期发展情况，提出有效的目标、举措，完成甲方“十五五”发展规划中期评估及调整。</w:t>
      </w:r>
    </w:p>
    <w:p w14:paraId="4CE6E1B9">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3.“十五五”规划期第5年开展总结评估，对甲方的“十五五”规划执行情况、重大工程项目实施情况、重点任务完成情况进行分析，准确客观提出甲方存在的短板及主要问题。</w:t>
      </w:r>
    </w:p>
    <w:p w14:paraId="0CA851D0">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4.结合甲方具体情况，编制物流和低空经济产业专项规划报告，提供能落地的具体有效举措。</w:t>
      </w:r>
    </w:p>
    <w:p w14:paraId="70371A0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5.提供与甲方“十五五”发展规划编制、落地、评价、宣贯等相关跟踪辅导服务，并结合每年发展规划执行情况，形成发展规划年度执行情况报告。</w:t>
      </w:r>
    </w:p>
    <w:p w14:paraId="54A8F84E">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6.各阶段任务完成过程中，根据甲方提出的修改意见或因其他修改的需要，准确高效完成相关修改任务。</w:t>
      </w:r>
    </w:p>
    <w:p w14:paraId="7B7FE61B">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第三条 合同金额</w:t>
      </w:r>
    </w:p>
    <w:p w14:paraId="6A1F2D9B">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本项目合同金额为</w:t>
      </w:r>
      <w:r>
        <w:rPr>
          <w:rFonts w:hint="eastAsia" w:ascii="宋体" w:hAnsi="宋体" w:eastAsia="宋体" w:cs="宋体"/>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（大写）。合同金额</w:t>
      </w:r>
      <w:r>
        <w:rPr>
          <w:rFonts w:hint="eastAsia" w:ascii="宋体" w:hAnsi="宋体" w:eastAsia="宋体" w:cs="宋体"/>
          <w:color w:val="auto"/>
          <w:kern w:val="0"/>
          <w:sz w:val="24"/>
          <w:szCs w:val="24"/>
          <w:highlight w:val="none"/>
          <w:lang w:val="en-US" w:eastAsia="zh-CN"/>
        </w:rPr>
        <w:t>包含但不限于实施和完成项目所含所有服务所需的劳务、咨询、交通、专家、会务、管理、保险、税费、差旅费、利润等所有费用，甲方不再另行支付其他任何费用。</w:t>
      </w:r>
    </w:p>
    <w:p w14:paraId="7C88D0C4">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第四条 结算方式</w:t>
      </w:r>
    </w:p>
    <w:p w14:paraId="7110AAA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1.采用分期支付方式，支付阶段如下：</w:t>
      </w:r>
    </w:p>
    <w:p w14:paraId="36248E0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rPr>
        <w:t>完成《赣州交通控股集团有限公司“十五五”发展规划报告》</w:t>
      </w:r>
      <w:r>
        <w:rPr>
          <w:rFonts w:hint="eastAsia" w:ascii="宋体" w:hAnsi="宋体" w:eastAsia="宋体" w:cs="宋体"/>
          <w:i w:val="0"/>
          <w:iCs w:val="0"/>
          <w:caps w:val="0"/>
          <w:color w:val="auto"/>
          <w:spacing w:val="0"/>
          <w:sz w:val="24"/>
          <w:szCs w:val="24"/>
          <w:highlight w:val="none"/>
          <w:lang w:val="en-US" w:eastAsia="zh-CN"/>
        </w:rPr>
        <w:t>（征求意见稿）、完成</w:t>
      </w:r>
      <w:r>
        <w:rPr>
          <w:rFonts w:hint="eastAsia" w:ascii="宋体" w:hAnsi="宋体" w:eastAsia="宋体" w:cs="宋体"/>
          <w:i w:val="0"/>
          <w:iCs w:val="0"/>
          <w:caps w:val="0"/>
          <w:color w:val="auto"/>
          <w:spacing w:val="0"/>
          <w:sz w:val="24"/>
          <w:szCs w:val="24"/>
          <w:highlight w:val="none"/>
        </w:rPr>
        <w:t>《赣州交通控股集团有限公司物流产业专项规划报告》</w:t>
      </w:r>
      <w:r>
        <w:rPr>
          <w:rFonts w:hint="eastAsia" w:ascii="宋体" w:hAnsi="宋体" w:eastAsia="宋体" w:cs="宋体"/>
          <w:i w:val="0"/>
          <w:iCs w:val="0"/>
          <w:caps w:val="0"/>
          <w:color w:val="auto"/>
          <w:spacing w:val="0"/>
          <w:sz w:val="24"/>
          <w:szCs w:val="24"/>
          <w:highlight w:val="none"/>
          <w:lang w:val="en-US" w:eastAsia="zh-CN"/>
        </w:rPr>
        <w:t>（征求意见稿）、完成</w:t>
      </w:r>
      <w:r>
        <w:rPr>
          <w:rFonts w:hint="eastAsia" w:ascii="宋体" w:hAnsi="宋体" w:eastAsia="宋体" w:cs="宋体"/>
          <w:i w:val="0"/>
          <w:iCs w:val="0"/>
          <w:caps w:val="0"/>
          <w:color w:val="auto"/>
          <w:spacing w:val="0"/>
          <w:sz w:val="24"/>
          <w:szCs w:val="24"/>
          <w:highlight w:val="none"/>
        </w:rPr>
        <w:t>《赣州交通控股集团有限公司低空经济产业专项规划报告》</w:t>
      </w:r>
      <w:r>
        <w:rPr>
          <w:rFonts w:hint="eastAsia" w:ascii="宋体" w:hAnsi="宋体" w:eastAsia="宋体" w:cs="宋体"/>
          <w:i w:val="0"/>
          <w:iCs w:val="0"/>
          <w:caps w:val="0"/>
          <w:color w:val="auto"/>
          <w:spacing w:val="0"/>
          <w:sz w:val="24"/>
          <w:szCs w:val="24"/>
          <w:highlight w:val="none"/>
          <w:lang w:val="en-US" w:eastAsia="zh-CN"/>
        </w:rPr>
        <w:t>（征求意见稿）后支付规划编制费用总额的40%</w:t>
      </w:r>
      <w:r>
        <w:rPr>
          <w:rFonts w:hint="eastAsia" w:ascii="宋体" w:hAnsi="宋体" w:eastAsia="宋体" w:cs="宋体"/>
          <w:i w:val="0"/>
          <w:iCs w:val="0"/>
          <w:caps w:val="0"/>
          <w:color w:val="auto"/>
          <w:spacing w:val="0"/>
          <w:sz w:val="24"/>
          <w:szCs w:val="24"/>
          <w:highlight w:val="none"/>
        </w:rPr>
        <w:t>；</w:t>
      </w:r>
    </w:p>
    <w:p w14:paraId="39C8FC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乙方完成</w:t>
      </w:r>
      <w:r>
        <w:rPr>
          <w:rFonts w:hint="eastAsia" w:ascii="宋体" w:hAnsi="宋体" w:eastAsia="宋体" w:cs="宋体"/>
          <w:i w:val="0"/>
          <w:iCs w:val="0"/>
          <w:caps w:val="0"/>
          <w:color w:val="auto"/>
          <w:spacing w:val="0"/>
          <w:sz w:val="24"/>
          <w:szCs w:val="24"/>
          <w:highlight w:val="none"/>
        </w:rPr>
        <w:t>《赣州交通控股集团有限公司物流产业专项规划报告》</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完成</w:t>
      </w:r>
      <w:r>
        <w:rPr>
          <w:rFonts w:hint="eastAsia" w:ascii="宋体" w:hAnsi="宋体" w:eastAsia="宋体" w:cs="宋体"/>
          <w:i w:val="0"/>
          <w:iCs w:val="0"/>
          <w:caps w:val="0"/>
          <w:color w:val="auto"/>
          <w:spacing w:val="0"/>
          <w:sz w:val="24"/>
          <w:szCs w:val="24"/>
          <w:highlight w:val="none"/>
        </w:rPr>
        <w:t>《赣州交通控股集团有限公司低空经济产业专项规划报告》</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完成</w:t>
      </w:r>
      <w:r>
        <w:rPr>
          <w:rFonts w:hint="eastAsia" w:ascii="宋体" w:hAnsi="宋体" w:eastAsia="宋体" w:cs="宋体"/>
          <w:i w:val="0"/>
          <w:iCs w:val="0"/>
          <w:caps w:val="0"/>
          <w:color w:val="auto"/>
          <w:spacing w:val="0"/>
          <w:sz w:val="24"/>
          <w:szCs w:val="24"/>
          <w:highlight w:val="none"/>
        </w:rPr>
        <w:t>《赣州交通控股集团有限公司“十五五”发展规划报告》</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并</w:t>
      </w:r>
      <w:r>
        <w:rPr>
          <w:rFonts w:hint="eastAsia" w:ascii="宋体" w:hAnsi="宋体" w:eastAsia="宋体" w:cs="宋体"/>
          <w:i w:val="0"/>
          <w:iCs w:val="0"/>
          <w:caps w:val="0"/>
          <w:color w:val="auto"/>
          <w:spacing w:val="0"/>
          <w:sz w:val="24"/>
          <w:szCs w:val="24"/>
          <w:highlight w:val="none"/>
          <w:lang w:val="en-US" w:eastAsia="zh-CN"/>
        </w:rPr>
        <w:t>经询价人</w:t>
      </w:r>
      <w:r>
        <w:rPr>
          <w:rFonts w:hint="eastAsia" w:ascii="宋体" w:hAnsi="宋体" w:eastAsia="宋体" w:cs="宋体"/>
          <w:i w:val="0"/>
          <w:iCs w:val="0"/>
          <w:caps w:val="0"/>
          <w:color w:val="auto"/>
          <w:spacing w:val="0"/>
          <w:sz w:val="24"/>
          <w:szCs w:val="24"/>
          <w:highlight w:val="none"/>
        </w:rPr>
        <w:t>验收合格后支付规划编制费用总额的</w:t>
      </w:r>
      <w:r>
        <w:rPr>
          <w:rFonts w:hint="eastAsia" w:ascii="宋体" w:hAnsi="宋体" w:eastAsia="宋体" w:cs="宋体"/>
          <w:i w:val="0"/>
          <w:iCs w:val="0"/>
          <w:caps w:val="0"/>
          <w:color w:val="auto"/>
          <w:spacing w:val="0"/>
          <w:sz w:val="24"/>
          <w:szCs w:val="24"/>
          <w:highlight w:val="none"/>
          <w:lang w:val="en-US" w:eastAsia="zh-CN"/>
        </w:rPr>
        <w:t>40</w:t>
      </w:r>
      <w:r>
        <w:rPr>
          <w:rFonts w:hint="eastAsia" w:ascii="宋体" w:hAnsi="宋体" w:eastAsia="宋体" w:cs="宋体"/>
          <w:i w:val="0"/>
          <w:iCs w:val="0"/>
          <w:caps w:val="0"/>
          <w:color w:val="auto"/>
          <w:spacing w:val="0"/>
          <w:sz w:val="24"/>
          <w:szCs w:val="24"/>
          <w:highlight w:val="none"/>
        </w:rPr>
        <w:t>%；</w:t>
      </w:r>
    </w:p>
    <w:p w14:paraId="2E8397E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rPr>
        <w:t>完成《赣州交通控股集团有限公司“十五五”发展规划中期评估及调整报告》</w:t>
      </w:r>
      <w:r>
        <w:rPr>
          <w:rFonts w:hint="eastAsia" w:ascii="宋体" w:hAnsi="宋体" w:eastAsia="宋体" w:cs="宋体"/>
          <w:i w:val="0"/>
          <w:iCs w:val="0"/>
          <w:caps w:val="0"/>
          <w:color w:val="auto"/>
          <w:spacing w:val="0"/>
          <w:sz w:val="24"/>
          <w:szCs w:val="24"/>
          <w:highlight w:val="none"/>
          <w:lang w:val="en-US" w:eastAsia="zh-CN"/>
        </w:rPr>
        <w:t>（定稿）</w:t>
      </w:r>
      <w:r>
        <w:rPr>
          <w:rFonts w:hint="eastAsia" w:ascii="宋体" w:hAnsi="宋体" w:eastAsia="宋体" w:cs="宋体"/>
          <w:i w:val="0"/>
          <w:iCs w:val="0"/>
          <w:caps w:val="0"/>
          <w:color w:val="auto"/>
          <w:spacing w:val="0"/>
          <w:sz w:val="24"/>
          <w:szCs w:val="24"/>
          <w:highlight w:val="none"/>
        </w:rPr>
        <w:t>并</w:t>
      </w:r>
      <w:r>
        <w:rPr>
          <w:rFonts w:hint="eastAsia" w:ascii="宋体" w:hAnsi="宋体" w:eastAsia="宋体" w:cs="宋体"/>
          <w:i w:val="0"/>
          <w:iCs w:val="0"/>
          <w:caps w:val="0"/>
          <w:color w:val="auto"/>
          <w:spacing w:val="0"/>
          <w:sz w:val="24"/>
          <w:szCs w:val="24"/>
          <w:highlight w:val="none"/>
          <w:lang w:val="en-US" w:eastAsia="zh-CN"/>
        </w:rPr>
        <w:t>经</w:t>
      </w:r>
      <w:r>
        <w:rPr>
          <w:rFonts w:hint="eastAsia" w:ascii="宋体" w:hAnsi="宋体" w:eastAsia="宋体" w:cs="宋体"/>
          <w:i w:val="0"/>
          <w:iCs w:val="0"/>
          <w:caps w:val="0"/>
          <w:color w:val="auto"/>
          <w:spacing w:val="0"/>
          <w:sz w:val="24"/>
          <w:szCs w:val="24"/>
          <w:highlight w:val="none"/>
        </w:rPr>
        <w:t>询价人验收合</w:t>
      </w:r>
      <w:r>
        <w:rPr>
          <w:rFonts w:hint="eastAsia" w:ascii="宋体" w:hAnsi="宋体" w:eastAsia="宋体" w:cs="宋体"/>
          <w:i w:val="0"/>
          <w:iCs w:val="0"/>
          <w:caps w:val="0"/>
          <w:color w:val="auto"/>
          <w:spacing w:val="0"/>
          <w:sz w:val="24"/>
          <w:szCs w:val="24"/>
          <w:highlight w:val="none"/>
          <w:lang w:val="en-US" w:eastAsia="zh-CN"/>
        </w:rPr>
        <w:t>格</w:t>
      </w:r>
      <w:r>
        <w:rPr>
          <w:rFonts w:hint="eastAsia" w:ascii="宋体" w:hAnsi="宋体" w:eastAsia="宋体" w:cs="宋体"/>
          <w:i w:val="0"/>
          <w:iCs w:val="0"/>
          <w:caps w:val="0"/>
          <w:color w:val="auto"/>
          <w:spacing w:val="0"/>
          <w:sz w:val="24"/>
          <w:szCs w:val="24"/>
          <w:highlight w:val="none"/>
        </w:rPr>
        <w:t>后，支付规划编制费用总额的</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0%</w:t>
      </w:r>
      <w:r>
        <w:rPr>
          <w:rFonts w:hint="eastAsia" w:ascii="宋体" w:hAnsi="宋体" w:eastAsia="宋体" w:cs="宋体"/>
          <w:i w:val="0"/>
          <w:iCs w:val="0"/>
          <w:caps w:val="0"/>
          <w:color w:val="auto"/>
          <w:spacing w:val="0"/>
          <w:sz w:val="24"/>
          <w:szCs w:val="24"/>
          <w:highlight w:val="none"/>
          <w:lang w:eastAsia="zh-CN"/>
        </w:rPr>
        <w:t>。</w:t>
      </w:r>
    </w:p>
    <w:p w14:paraId="6FE295E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rPr>
        <w:t>完成《赣州交通控股集团有限公司“十五五”发展规划总结报告》（定稿）并经询价人验收合格后，支付规划编制费用总额的10%</w:t>
      </w:r>
      <w:r>
        <w:rPr>
          <w:rFonts w:hint="eastAsia" w:ascii="宋体" w:hAnsi="宋体" w:eastAsia="宋体" w:cs="宋体"/>
          <w:i w:val="0"/>
          <w:iCs w:val="0"/>
          <w:caps w:val="0"/>
          <w:color w:val="auto"/>
          <w:spacing w:val="0"/>
          <w:sz w:val="24"/>
          <w:szCs w:val="24"/>
          <w:highlight w:val="none"/>
          <w:lang w:eastAsia="zh-CN"/>
        </w:rPr>
        <w:t>。</w:t>
      </w:r>
    </w:p>
    <w:p w14:paraId="1021E778">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2.满足支付条件后，在每期费用</w:t>
      </w:r>
      <w:r>
        <w:rPr>
          <w:rFonts w:hint="eastAsia" w:ascii="宋体" w:hAnsi="宋体" w:eastAsia="宋体" w:cs="宋体"/>
          <w:i w:val="0"/>
          <w:iCs w:val="0"/>
          <w:caps w:val="0"/>
          <w:color w:val="auto"/>
          <w:spacing w:val="0"/>
          <w:kern w:val="0"/>
          <w:sz w:val="24"/>
          <w:szCs w:val="24"/>
          <w:highlight w:val="none"/>
          <w:lang w:val="en-US" w:eastAsia="zh-CN" w:bidi="ar"/>
        </w:rPr>
        <w:t>支付前，乙方应将书面支付申请送达至甲方，甲方收到乙方提供的等额有效的增值税专用发票后，由甲方通过银行转账方式付至乙方指定的银行账户，若因票据本身原因造成甲方审计、税务稽查风险，责任和损失全部由乙方承担，因此造成甲方损失的，乙方应对甲方所受损失承担全额赔偿责任。乙方不按要求提供的，甲方</w:t>
      </w:r>
      <w:r>
        <w:rPr>
          <w:rFonts w:hint="eastAsia" w:ascii="宋体" w:hAnsi="宋体" w:eastAsia="宋体" w:cs="宋体"/>
          <w:color w:val="auto"/>
          <w:kern w:val="0"/>
          <w:sz w:val="24"/>
          <w:szCs w:val="24"/>
          <w:highlight w:val="none"/>
          <w:lang w:val="en-US" w:eastAsia="zh-CN"/>
        </w:rPr>
        <w:t>有权拒绝支付费用，且不承担延迟付款的违约责任。</w:t>
      </w:r>
    </w:p>
    <w:p w14:paraId="560CF100">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highlight w:val="none"/>
          <w:lang w:val="en-US" w:eastAsia="zh-CN"/>
        </w:rPr>
        <w:t>3.乙</w:t>
      </w:r>
      <w:r>
        <w:rPr>
          <w:rFonts w:hint="eastAsia" w:ascii="宋体" w:hAnsi="宋体" w:eastAsia="宋体" w:cs="宋体"/>
          <w:sz w:val="24"/>
          <w:szCs w:val="24"/>
          <w:highlight w:val="none"/>
          <w:lang w:eastAsia="zh-CN"/>
        </w:rPr>
        <w:t>方开户银行名称、地址和账号为：</w:t>
      </w:r>
    </w:p>
    <w:p w14:paraId="0EFB7FA8">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开户银行：</w:t>
      </w:r>
      <w:r>
        <w:rPr>
          <w:rFonts w:hint="eastAsia" w:ascii="宋体" w:hAnsi="宋体" w:eastAsia="宋体" w:cs="宋体"/>
          <w:sz w:val="24"/>
          <w:szCs w:val="24"/>
          <w:highlight w:val="none"/>
          <w:u w:val="single"/>
          <w:lang w:val="en-US" w:eastAsia="zh-CN"/>
        </w:rPr>
        <w:t xml:space="preserve">                                         </w:t>
      </w:r>
    </w:p>
    <w:p w14:paraId="60A4BCA3">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银行地址：</w:t>
      </w:r>
      <w:r>
        <w:rPr>
          <w:rFonts w:hint="eastAsia" w:ascii="宋体" w:hAnsi="宋体" w:eastAsia="宋体" w:cs="宋体"/>
          <w:sz w:val="24"/>
          <w:szCs w:val="24"/>
          <w:highlight w:val="none"/>
          <w:u w:val="single"/>
          <w:lang w:val="en-US" w:eastAsia="zh-CN"/>
        </w:rPr>
        <w:t xml:space="preserve">                                         </w:t>
      </w:r>
    </w:p>
    <w:p w14:paraId="363684EA">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帐</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号：</w:t>
      </w:r>
      <w:r>
        <w:rPr>
          <w:rFonts w:hint="eastAsia" w:ascii="宋体" w:hAnsi="宋体" w:eastAsia="宋体" w:cs="宋体"/>
          <w:sz w:val="24"/>
          <w:szCs w:val="24"/>
          <w:highlight w:val="none"/>
          <w:u w:val="single"/>
          <w:lang w:val="en-US" w:eastAsia="zh-CN"/>
        </w:rPr>
        <w:t xml:space="preserve">                                         </w:t>
      </w:r>
    </w:p>
    <w:p w14:paraId="45B671CC">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服务时间</w:t>
      </w:r>
    </w:p>
    <w:p w14:paraId="5AAF0B35">
      <w:pPr>
        <w:pStyle w:val="21"/>
        <w:spacing w:before="156" w:line="354" w:lineRule="auto"/>
        <w:ind w:right="202"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合同签订之日至</w:t>
      </w:r>
      <w:r>
        <w:rPr>
          <w:rFonts w:hint="eastAsia" w:cs="宋体"/>
          <w:color w:val="auto"/>
          <w:kern w:val="0"/>
          <w:sz w:val="24"/>
          <w:szCs w:val="24"/>
          <w:highlight w:val="none"/>
          <w:lang w:val="en-US" w:eastAsia="zh-CN" w:bidi="ar-SA"/>
        </w:rPr>
        <w:t>2030年12月31日</w:t>
      </w:r>
      <w:r>
        <w:rPr>
          <w:rFonts w:hint="eastAsia" w:ascii="宋体" w:hAnsi="宋体" w:eastAsia="宋体" w:cs="宋体"/>
          <w:color w:val="auto"/>
          <w:kern w:val="0"/>
          <w:sz w:val="24"/>
          <w:szCs w:val="24"/>
          <w:highlight w:val="none"/>
          <w:lang w:val="en-US" w:eastAsia="zh-CN" w:bidi="ar-SA"/>
        </w:rPr>
        <w:t>止。</w:t>
      </w:r>
    </w:p>
    <w:p w14:paraId="70D1592F">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第六条 项目驻地团队成员要求</w:t>
      </w:r>
      <w:r>
        <w:rPr>
          <w:rFonts w:hint="eastAsia" w:ascii="宋体" w:hAnsi="宋体" w:eastAsia="宋体" w:cs="宋体"/>
          <w:sz w:val="24"/>
          <w:szCs w:val="24"/>
          <w:highlight w:val="none"/>
          <w:lang w:val="en-US" w:eastAsia="zh-CN"/>
        </w:rPr>
        <w:t>：</w:t>
      </w:r>
    </w:p>
    <w:p w14:paraId="762444B5">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contextualSpacing/>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1.乙方要为赣州交通控股集团“十五五”规划编制项目组建具有不少于</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人的专业化驻地团队，根据甲方要求和项目进度需要安排驻地人员。</w:t>
      </w:r>
    </w:p>
    <w:p w14:paraId="1DCEEDBE">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contextualSpacing/>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2.合同期内，如甲方认为乙方驻地团队人员不够专业或存在不履职的、履职不到位等情况的，甲方有权要求乙方更换合格的驻地人员，乙方应无条件立即更换到位。</w:t>
      </w:r>
    </w:p>
    <w:p w14:paraId="17EE4682">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contextualSpacing/>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3.乙方若中途需替换人员，应经甲方同意。未经甲方同意，乙方擅自更换驻地人员的，乙方应按照合同总额的20%向甲方支付违约金；因此造成甲方损失的，还应对甲方所受损失承担全额赔偿责任。</w:t>
      </w:r>
    </w:p>
    <w:p w14:paraId="36F23F4E">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eastAsia="zh-CN"/>
        </w:rPr>
        <w:t>条</w:t>
      </w:r>
      <w:r>
        <w:rPr>
          <w:rFonts w:hint="eastAsia" w:ascii="宋体" w:hAnsi="宋体" w:eastAsia="宋体" w:cs="宋体"/>
          <w:b/>
          <w:bCs/>
          <w:sz w:val="24"/>
          <w:szCs w:val="24"/>
          <w:highlight w:val="none"/>
          <w:lang w:val="en-US" w:eastAsia="zh-CN"/>
        </w:rPr>
        <w:t xml:space="preserve"> 权利与义务</w:t>
      </w:r>
    </w:p>
    <w:p w14:paraId="7E05235E">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（一）甲方权利与义务</w:t>
      </w:r>
    </w:p>
    <w:p w14:paraId="06ECE6B7">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（1）甲方有权要求乙方按时间进度提交服务成果。</w:t>
      </w:r>
    </w:p>
    <w:p w14:paraId="7F98F9FA">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（2）甲方应当及时向乙方提供项目所需的背景资料、数据及必要协助。</w:t>
      </w:r>
    </w:p>
    <w:p w14:paraId="095EC7F1">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（3）甲方应当按照合同约定的时间和方式向乙方支付服务费用。</w:t>
      </w:r>
    </w:p>
    <w:p w14:paraId="0A74F362">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（4）甲方负责项目开展的组织、协调等，协助乙方开展调研、访谈等必要工作。</w:t>
      </w:r>
    </w:p>
    <w:p w14:paraId="607A7351">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（二）乙方权利与义务</w:t>
      </w:r>
    </w:p>
    <w:p w14:paraId="335C318C">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（1）乙方有权要求甲方按本合同第四条的约定支付服务费用。</w:t>
      </w:r>
    </w:p>
    <w:p w14:paraId="67CBA0B3">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（2）乙方应根据合同约定，按时保质保量完成受托项目所有工作。</w:t>
      </w:r>
    </w:p>
    <w:p w14:paraId="542CF934">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（3）乙方应按合同约定及甲方要求出具各阶段成果报告。</w:t>
      </w:r>
    </w:p>
    <w:p w14:paraId="4ACC711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（4）乙方应当提供包括但不限于必要的成果解读、修改和落地辅导等服务。</w:t>
      </w:r>
    </w:p>
    <w:p w14:paraId="17367796">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（5）乙方应安排具备相应资格资质的专业人员具体负责承办本项目，以确保工作进度和质量。</w:t>
      </w:r>
    </w:p>
    <w:p w14:paraId="49553EF8">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（6）未经甲方书面同意，乙方不得将本合同义务分包给第三方。</w:t>
      </w:r>
    </w:p>
    <w:p w14:paraId="0B7F5A01">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第八条  技术情报和资料的保密</w:t>
      </w:r>
    </w:p>
    <w:p w14:paraId="72E94551">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1、保密信息是指任何基于双方合作关系而向对方提供的信息，包括但不限于企业资料、商业模式信息、企业资源信息、项目合作方案等信息或资料，提供方提供信息时，无须另行注明该信息的保密性。</w:t>
      </w:r>
    </w:p>
    <w:p w14:paraId="0D71A0DE">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双方只能将保密信息用于履行本协议之目的，未经信息披露方事先书面许可的情况下，不得向任何第三方披露，否则应赔偿由此给披露方造成的直接损失（法律、法规规定或应政府部门、司法机关、监管机构要求的情况除外），且应按照本协议约定的总金额的20%向披露方支付违约金。</w:t>
      </w:r>
    </w:p>
    <w:p w14:paraId="4A976145">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3、甲乙双方在履行本合同过程中向对方交付的文件资料等及双方共同签署有关文件资料（包括但不限于本合同内容）等亦适用本条约定的保密义务。</w:t>
      </w:r>
    </w:p>
    <w:p w14:paraId="072CA39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4、本协议保密期限为长期，自协议签订之日起算，不因本合同终止而终止本合同约定的保密义务，否则，应按照本条第2项的相关约定承担违约及赔偿责任。</w:t>
      </w:r>
    </w:p>
    <w:p w14:paraId="7BFC7638">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第九条  知识产权归属</w:t>
      </w:r>
    </w:p>
    <w:p w14:paraId="4545973C">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1、在本合同有效期内，甲方利用乙方提交的技术咨询工作成果所完成的新的技术成果，归甲方所有。</w:t>
      </w:r>
    </w:p>
    <w:p w14:paraId="693FA947">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2、在本合同有效期内，乙方利用甲方提供的技术资料和工作条件所完成的新的技术成果，归甲方所有。</w:t>
      </w:r>
    </w:p>
    <w:p w14:paraId="42CBD791">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3、在本合同有效期内，乙方不得利用甲方提供的技术资料和工作条件进行与本合同约定的委托事项无关的其他任何用途。</w:t>
      </w:r>
    </w:p>
    <w:p w14:paraId="4FF55C2B">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乙方为履行本合同所形成的所有成果及其履行过程不得侵犯他人的合法权益（包括但不限于版权等知识产权）。如存在侵犯他人合法权益的情形，一切后果及赔补偿等责任均由乙方负责承担，与甲方无关；甲方因此遭受损失的，乙方应对甲方所受损失承担全额赔偿责任，且乙方应全额退还甲方已支付的所有费用。</w:t>
      </w:r>
    </w:p>
    <w:p w14:paraId="2C8EF9DC">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第十条  违约责任</w:t>
      </w:r>
    </w:p>
    <w:p w14:paraId="063F5E56">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1、甲方无正当理由未按照约定时间提供必要且甲方实际持有或客观上能够提供的资料，影响工作进度和质量，乙方不承担逾期交付成果的违约责任。</w:t>
      </w:r>
    </w:p>
    <w:p w14:paraId="4B7846B0">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2、甲方无正当理由不接受或者逾期接受乙方提供的合格的工作成果的，已支付的费用不得追回，未支付的费用应当支付。</w:t>
      </w:r>
    </w:p>
    <w:p w14:paraId="3B8860D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乙方未按照合同约定按时保质保量完成服务工作的或完成的服务工作不符合甲方要求或甲方实际需要的，乙方无权要求甲方支付任何费用，已支付费用全额退回甲方且应按照合同总金额的20%向甲方支付违约金。</w:t>
      </w:r>
    </w:p>
    <w:p w14:paraId="6F563CCB">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4、因乙方工作过失或乙方违约导致甲方遭受损失的，乙方应对甲方所遭受的损失承担全额赔偿责任。</w:t>
      </w:r>
    </w:p>
    <w:p w14:paraId="0FECABF6">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5、甲方因向乙方主张违约金、赔偿金等所支出的案件受理费、律师费、鉴定费、保全费、保全保险费等一切合理费用均由乙方承担。</w:t>
      </w:r>
    </w:p>
    <w:p w14:paraId="2BE28802">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第十一条  合同解除</w:t>
      </w:r>
    </w:p>
    <w:p w14:paraId="73E58F31">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因发生不可抗力导致本合同无法继续履行的，双方可协商解除本合同并互不追究对方违约责任。但因一方违约后发生不可抗力事件导致本合同无法继续履行的，违约方仍应按照本协议的相关约定承担相应责任。</w:t>
      </w:r>
    </w:p>
    <w:p w14:paraId="211B6C83">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第</w:t>
      </w:r>
      <w:r>
        <w:rPr>
          <w:rFonts w:hint="eastAsia" w:ascii="宋体" w:hAnsi="宋体" w:eastAsia="宋体" w:cs="宋体"/>
          <w:b/>
          <w:bCs/>
          <w:sz w:val="24"/>
          <w:szCs w:val="24"/>
          <w:highlight w:val="none"/>
          <w:lang w:val="en-US" w:eastAsia="zh-CN"/>
        </w:rPr>
        <w:t>十二</w:t>
      </w:r>
      <w:r>
        <w:rPr>
          <w:rFonts w:hint="eastAsia" w:ascii="宋体" w:hAnsi="宋体" w:eastAsia="宋体" w:cs="宋体"/>
          <w:b/>
          <w:bCs/>
          <w:sz w:val="24"/>
          <w:szCs w:val="24"/>
          <w:highlight w:val="none"/>
          <w:lang w:eastAsia="zh-CN"/>
        </w:rPr>
        <w:t>条</w:t>
      </w:r>
      <w:r>
        <w:rPr>
          <w:rFonts w:hint="eastAsia" w:ascii="宋体" w:hAnsi="宋体" w:eastAsia="宋体" w:cs="宋体"/>
          <w:b/>
          <w:bCs/>
          <w:sz w:val="24"/>
          <w:szCs w:val="24"/>
          <w:highlight w:val="none"/>
          <w:lang w:val="en-US" w:eastAsia="zh-CN"/>
        </w:rPr>
        <w:t xml:space="preserve">  解决合同纠纷的方式</w:t>
      </w:r>
    </w:p>
    <w:p w14:paraId="15FE216A">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双方因履行本合同而发生的争议，应协商、调解解决。协商、调解不成的，</w:t>
      </w:r>
      <w:r>
        <w:rPr>
          <w:rFonts w:hint="eastAsia" w:ascii="宋体" w:hAnsi="宋体" w:eastAsia="宋体" w:cs="宋体"/>
          <w:sz w:val="24"/>
          <w:szCs w:val="24"/>
          <w:highlight w:val="none"/>
          <w:lang w:val="en-US" w:eastAsia="zh-CN"/>
        </w:rPr>
        <w:t>双方均可向甲方所在地人民法院提起诉讼解决。</w:t>
      </w:r>
    </w:p>
    <w:p w14:paraId="28646C8F">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第十</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条</w:t>
      </w:r>
      <w:r>
        <w:rPr>
          <w:rFonts w:hint="eastAsia" w:ascii="宋体" w:hAnsi="宋体" w:eastAsia="宋体" w:cs="宋体"/>
          <w:b/>
          <w:bCs/>
          <w:sz w:val="24"/>
          <w:szCs w:val="24"/>
          <w:highlight w:val="none"/>
          <w:lang w:val="en-US" w:eastAsia="zh-CN"/>
        </w:rPr>
        <w:t xml:space="preserve"> 合同生效及其他</w:t>
      </w:r>
    </w:p>
    <w:p w14:paraId="6538D89B">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1、本合同经双方法定代表人或者委托代理人签名并加盖各方单位公章后生效。如果签名时间不一致的，以最后一方签名的时间为合同生效时间。</w:t>
      </w:r>
    </w:p>
    <w:p w14:paraId="0BF21266">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双方各执</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lang w:val="en-US" w:eastAsia="zh-CN"/>
        </w:rPr>
        <w:t>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具有同等法律效力。</w:t>
      </w:r>
    </w:p>
    <w:p w14:paraId="31D99DAB">
      <w:pPr>
        <w:pageBreakBefore w:val="0"/>
        <w:kinsoku/>
        <w:wordWrap/>
        <w:overflowPunct/>
        <w:topLinePunct w:val="0"/>
        <w:bidi w:val="0"/>
        <w:spacing w:line="560" w:lineRule="exact"/>
        <w:textAlignment w:val="auto"/>
        <w:rPr>
          <w:rFonts w:hint="eastAsia" w:ascii="宋体" w:hAnsi="宋体" w:eastAsia="宋体" w:cs="宋体"/>
          <w:sz w:val="24"/>
          <w:szCs w:val="24"/>
          <w:highlight w:val="none"/>
          <w:lang w:eastAsia="zh-CN"/>
        </w:rPr>
      </w:pPr>
    </w:p>
    <w:p w14:paraId="7E4B8CD2">
      <w:pPr>
        <w:keepNext w:val="0"/>
        <w:keepLines w:val="0"/>
        <w:pageBreakBefore w:val="0"/>
        <w:widowControl w:val="0"/>
        <w:kinsoku/>
        <w:wordWrap/>
        <w:overflowPunct/>
        <w:topLinePunct w:val="0"/>
        <w:bidi w:val="0"/>
        <w:snapToGrid/>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甲方（盖章）：________              乙方（盖章）：________</w:t>
      </w:r>
    </w:p>
    <w:p w14:paraId="646E0939">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p>
    <w:p w14:paraId="2AC6173C">
      <w:pPr>
        <w:keepNext w:val="0"/>
        <w:keepLines w:val="0"/>
        <w:pageBreakBefore w:val="0"/>
        <w:widowControl w:val="0"/>
        <w:kinsoku/>
        <w:wordWrap/>
        <w:overflowPunct/>
        <w:topLinePunct w:val="0"/>
        <w:bidi w:val="0"/>
        <w:snapToGrid/>
        <w:spacing w:line="560" w:lineRule="exact"/>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法定代表人或授权代理人（签字）：____  法定代表人或授权代理人（签字）：_____ </w:t>
      </w:r>
    </w:p>
    <w:p w14:paraId="446DFA2F">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p>
    <w:p w14:paraId="450F109A">
      <w:pPr>
        <w:keepNext w:val="0"/>
        <w:keepLines w:val="0"/>
        <w:pageBreakBefore w:val="0"/>
        <w:widowControl w:val="0"/>
        <w:kinsoku/>
        <w:wordWrap/>
        <w:overflowPunct/>
        <w:topLinePunct w:val="0"/>
        <w:bidi w:val="0"/>
        <w:snapToGrid/>
        <w:spacing w:line="560" w:lineRule="exact"/>
        <w:ind w:firstLine="480" w:firstLineChars="200"/>
        <w:textAlignment w:val="auto"/>
        <w:rPr>
          <w:highlight w:val="none"/>
        </w:rPr>
      </w:pPr>
      <w:r>
        <w:rPr>
          <w:rFonts w:hint="eastAsia" w:ascii="宋体" w:hAnsi="宋体" w:eastAsia="宋体" w:cs="宋体"/>
          <w:sz w:val="24"/>
          <w:szCs w:val="24"/>
          <w:highlight w:val="none"/>
          <w:u w:val="none"/>
          <w:lang w:val="en-US" w:eastAsia="zh-CN"/>
        </w:rPr>
        <w:t xml:space="preserve">________年____月____日               ________年____月____日 </w:t>
      </w:r>
    </w:p>
    <w:sectPr>
      <w:footerReference r:id="rId4" w:type="default"/>
      <w:pgSz w:w="11906" w:h="16838"/>
      <w:pgMar w:top="1440" w:right="1576" w:bottom="1440" w:left="15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885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07A7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807A7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61F7">
    <w:pPr>
      <w:pStyle w:val="11"/>
      <w:ind w:left="52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93E14">
                          <w:pPr>
                            <w:pStyle w:val="11"/>
                            <w:ind w:left="5250"/>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7093E14">
                    <w:pPr>
                      <w:pStyle w:val="11"/>
                      <w:ind w:left="5250"/>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70DDD"/>
    <w:multiLevelType w:val="singleLevel"/>
    <w:tmpl w:val="87270DDD"/>
    <w:lvl w:ilvl="0" w:tentative="0">
      <w:start w:val="5"/>
      <w:numFmt w:val="chineseCounting"/>
      <w:suff w:val="nothing"/>
      <w:lvlText w:val="%1、"/>
      <w:lvlJc w:val="left"/>
      <w:rPr>
        <w:rFonts w:hint="eastAsia"/>
      </w:rPr>
    </w:lvl>
  </w:abstractNum>
  <w:abstractNum w:abstractNumId="1">
    <w:nsid w:val="985D833F"/>
    <w:multiLevelType w:val="singleLevel"/>
    <w:tmpl w:val="985D833F"/>
    <w:lvl w:ilvl="0" w:tentative="0">
      <w:start w:val="1"/>
      <w:numFmt w:val="decimal"/>
      <w:suff w:val="nothing"/>
      <w:lvlText w:val="%1、"/>
      <w:lvlJc w:val="left"/>
    </w:lvl>
  </w:abstractNum>
  <w:abstractNum w:abstractNumId="2">
    <w:nsid w:val="AEB62503"/>
    <w:multiLevelType w:val="singleLevel"/>
    <w:tmpl w:val="AEB62503"/>
    <w:lvl w:ilvl="0" w:tentative="0">
      <w:start w:val="11"/>
      <w:numFmt w:val="chineseCounting"/>
      <w:suff w:val="nothing"/>
      <w:lvlText w:val="%1、"/>
      <w:lvlJc w:val="left"/>
      <w:rPr>
        <w:rFonts w:hint="eastAsia"/>
      </w:rPr>
    </w:lvl>
  </w:abstractNum>
  <w:abstractNum w:abstractNumId="3">
    <w:nsid w:val="B9F5BAE4"/>
    <w:multiLevelType w:val="singleLevel"/>
    <w:tmpl w:val="B9F5BAE4"/>
    <w:lvl w:ilvl="0" w:tentative="0">
      <w:start w:val="1"/>
      <w:numFmt w:val="decimal"/>
      <w:suff w:val="nothing"/>
      <w:lvlText w:val="%1、"/>
      <w:lvlJc w:val="left"/>
    </w:lvl>
  </w:abstractNum>
  <w:abstractNum w:abstractNumId="4">
    <w:nsid w:val="BDE4CD0E"/>
    <w:multiLevelType w:val="singleLevel"/>
    <w:tmpl w:val="BDE4CD0E"/>
    <w:lvl w:ilvl="0" w:tentative="0">
      <w:start w:val="2"/>
      <w:numFmt w:val="chineseCounting"/>
      <w:suff w:val="nothing"/>
      <w:lvlText w:val="%1、"/>
      <w:lvlJc w:val="left"/>
      <w:rPr>
        <w:rFonts w:hint="eastAsia"/>
      </w:rPr>
    </w:lvl>
  </w:abstractNum>
  <w:abstractNum w:abstractNumId="5">
    <w:nsid w:val="C14D7E64"/>
    <w:multiLevelType w:val="singleLevel"/>
    <w:tmpl w:val="C14D7E64"/>
    <w:lvl w:ilvl="0" w:tentative="0">
      <w:start w:val="1"/>
      <w:numFmt w:val="decimal"/>
      <w:suff w:val="nothing"/>
      <w:lvlText w:val="（%1）"/>
      <w:lvlJc w:val="left"/>
    </w:lvl>
  </w:abstractNum>
  <w:abstractNum w:abstractNumId="6">
    <w:nsid w:val="C38B4F20"/>
    <w:multiLevelType w:val="singleLevel"/>
    <w:tmpl w:val="C38B4F20"/>
    <w:lvl w:ilvl="0" w:tentative="0">
      <w:start w:val="1"/>
      <w:numFmt w:val="decimal"/>
      <w:suff w:val="nothing"/>
      <w:lvlText w:val="（%1）"/>
      <w:lvlJc w:val="left"/>
    </w:lvl>
  </w:abstractNum>
  <w:abstractNum w:abstractNumId="7">
    <w:nsid w:val="CC3E4EE8"/>
    <w:multiLevelType w:val="singleLevel"/>
    <w:tmpl w:val="CC3E4EE8"/>
    <w:lvl w:ilvl="0" w:tentative="0">
      <w:start w:val="14"/>
      <w:numFmt w:val="chineseCounting"/>
      <w:suff w:val="nothing"/>
      <w:lvlText w:val="%1、"/>
      <w:lvlJc w:val="left"/>
      <w:rPr>
        <w:rFonts w:hint="eastAsia"/>
      </w:rPr>
    </w:lvl>
  </w:abstractNum>
  <w:abstractNum w:abstractNumId="8">
    <w:nsid w:val="CCBF0EB4"/>
    <w:multiLevelType w:val="singleLevel"/>
    <w:tmpl w:val="CCBF0EB4"/>
    <w:lvl w:ilvl="0" w:tentative="0">
      <w:start w:val="2"/>
      <w:numFmt w:val="chineseCounting"/>
      <w:suff w:val="nothing"/>
      <w:lvlText w:val="%1、"/>
      <w:lvlJc w:val="left"/>
      <w:rPr>
        <w:rFonts w:hint="eastAsia"/>
      </w:rPr>
    </w:lvl>
  </w:abstractNum>
  <w:abstractNum w:abstractNumId="9">
    <w:nsid w:val="E45D3199"/>
    <w:multiLevelType w:val="singleLevel"/>
    <w:tmpl w:val="E45D3199"/>
    <w:lvl w:ilvl="0" w:tentative="0">
      <w:start w:val="1"/>
      <w:numFmt w:val="decimal"/>
      <w:suff w:val="nothing"/>
      <w:lvlText w:val="（%1）"/>
      <w:lvlJc w:val="left"/>
    </w:lvl>
  </w:abstractNum>
  <w:abstractNum w:abstractNumId="10">
    <w:nsid w:val="E46A3EBD"/>
    <w:multiLevelType w:val="singleLevel"/>
    <w:tmpl w:val="E46A3EBD"/>
    <w:lvl w:ilvl="0" w:tentative="0">
      <w:start w:val="4"/>
      <w:numFmt w:val="decimal"/>
      <w:suff w:val="nothing"/>
      <w:lvlText w:val="（%1）"/>
      <w:lvlJc w:val="left"/>
    </w:lvl>
  </w:abstractNum>
  <w:abstractNum w:abstractNumId="11">
    <w:nsid w:val="FCC3DA5B"/>
    <w:multiLevelType w:val="singleLevel"/>
    <w:tmpl w:val="FCC3DA5B"/>
    <w:lvl w:ilvl="0" w:tentative="0">
      <w:start w:val="1"/>
      <w:numFmt w:val="decimal"/>
      <w:suff w:val="nothing"/>
      <w:lvlText w:val="%1、"/>
      <w:lvlJc w:val="left"/>
    </w:lvl>
  </w:abstractNum>
  <w:abstractNum w:abstractNumId="12">
    <w:nsid w:val="086AE765"/>
    <w:multiLevelType w:val="singleLevel"/>
    <w:tmpl w:val="086AE765"/>
    <w:lvl w:ilvl="0" w:tentative="0">
      <w:start w:val="2"/>
      <w:numFmt w:val="decimal"/>
      <w:lvlText w:val="%1."/>
      <w:lvlJc w:val="left"/>
      <w:pPr>
        <w:tabs>
          <w:tab w:val="left" w:pos="312"/>
        </w:tabs>
      </w:pPr>
    </w:lvl>
  </w:abstractNum>
  <w:abstractNum w:abstractNumId="13">
    <w:nsid w:val="65A1A1D3"/>
    <w:multiLevelType w:val="singleLevel"/>
    <w:tmpl w:val="65A1A1D3"/>
    <w:lvl w:ilvl="0" w:tentative="0">
      <w:start w:val="1"/>
      <w:numFmt w:val="decimal"/>
      <w:suff w:val="nothing"/>
      <w:lvlText w:val="（%1）"/>
      <w:lvlJc w:val="left"/>
    </w:lvl>
  </w:abstractNum>
  <w:abstractNum w:abstractNumId="14">
    <w:nsid w:val="6CA59D9A"/>
    <w:multiLevelType w:val="singleLevel"/>
    <w:tmpl w:val="6CA59D9A"/>
    <w:lvl w:ilvl="0" w:tentative="0">
      <w:start w:val="1"/>
      <w:numFmt w:val="decimal"/>
      <w:suff w:val="nothing"/>
      <w:lvlText w:val="（%1）"/>
      <w:lvlJc w:val="left"/>
    </w:lvl>
  </w:abstractNum>
  <w:abstractNum w:abstractNumId="15">
    <w:nsid w:val="6E25849F"/>
    <w:multiLevelType w:val="singleLevel"/>
    <w:tmpl w:val="6E25849F"/>
    <w:lvl w:ilvl="0" w:tentative="0">
      <w:start w:val="1"/>
      <w:numFmt w:val="decimal"/>
      <w:suff w:val="nothing"/>
      <w:lvlText w:val="%1、"/>
      <w:lvlJc w:val="left"/>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11"/>
  </w:num>
  <w:num w:numId="8">
    <w:abstractNumId w:val="14"/>
  </w:num>
  <w:num w:numId="9">
    <w:abstractNumId w:val="3"/>
  </w:num>
  <w:num w:numId="10">
    <w:abstractNumId w:val="10"/>
  </w:num>
  <w:num w:numId="11">
    <w:abstractNumId w:val="1"/>
  </w:num>
  <w:num w:numId="12">
    <w:abstractNumId w:val="9"/>
  </w:num>
  <w:num w:numId="13">
    <w:abstractNumId w:val="12"/>
  </w:num>
  <w:num w:numId="14">
    <w:abstractNumId w:val="1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126D7"/>
    <w:rsid w:val="02247895"/>
    <w:rsid w:val="038F1341"/>
    <w:rsid w:val="03D126D7"/>
    <w:rsid w:val="04670DA9"/>
    <w:rsid w:val="064626F6"/>
    <w:rsid w:val="07490158"/>
    <w:rsid w:val="07756368"/>
    <w:rsid w:val="07C508D3"/>
    <w:rsid w:val="0B0A4D6C"/>
    <w:rsid w:val="0BA13F3D"/>
    <w:rsid w:val="0C2A323F"/>
    <w:rsid w:val="0C9B3243"/>
    <w:rsid w:val="0E757FB9"/>
    <w:rsid w:val="10757746"/>
    <w:rsid w:val="119121E6"/>
    <w:rsid w:val="125651D1"/>
    <w:rsid w:val="134C4D0B"/>
    <w:rsid w:val="138B4932"/>
    <w:rsid w:val="13C92631"/>
    <w:rsid w:val="142D12DD"/>
    <w:rsid w:val="16AE3D5D"/>
    <w:rsid w:val="19C508C5"/>
    <w:rsid w:val="1B100797"/>
    <w:rsid w:val="1B23671D"/>
    <w:rsid w:val="1B3156EF"/>
    <w:rsid w:val="1BA55B05"/>
    <w:rsid w:val="1D44297A"/>
    <w:rsid w:val="1E764DB5"/>
    <w:rsid w:val="1F176598"/>
    <w:rsid w:val="1FEA7809"/>
    <w:rsid w:val="213F16E2"/>
    <w:rsid w:val="228342D5"/>
    <w:rsid w:val="26541E80"/>
    <w:rsid w:val="28043813"/>
    <w:rsid w:val="283A61E2"/>
    <w:rsid w:val="2C0B7B0A"/>
    <w:rsid w:val="2C4F56F2"/>
    <w:rsid w:val="2D8B46DC"/>
    <w:rsid w:val="3065363B"/>
    <w:rsid w:val="337832B4"/>
    <w:rsid w:val="33945FB2"/>
    <w:rsid w:val="347C1074"/>
    <w:rsid w:val="360B282A"/>
    <w:rsid w:val="375B76F4"/>
    <w:rsid w:val="39055720"/>
    <w:rsid w:val="39A9583F"/>
    <w:rsid w:val="3A661D2A"/>
    <w:rsid w:val="3B872CA0"/>
    <w:rsid w:val="3DED69EA"/>
    <w:rsid w:val="3EE843F3"/>
    <w:rsid w:val="40226854"/>
    <w:rsid w:val="40443E3E"/>
    <w:rsid w:val="441A0137"/>
    <w:rsid w:val="444B41D8"/>
    <w:rsid w:val="454C7355"/>
    <w:rsid w:val="4AC40AD3"/>
    <w:rsid w:val="4AE576BB"/>
    <w:rsid w:val="4B88285A"/>
    <w:rsid w:val="4B9B5441"/>
    <w:rsid w:val="4D155616"/>
    <w:rsid w:val="4DC42480"/>
    <w:rsid w:val="507D755A"/>
    <w:rsid w:val="51CB2851"/>
    <w:rsid w:val="529C751C"/>
    <w:rsid w:val="53BF39AC"/>
    <w:rsid w:val="58403518"/>
    <w:rsid w:val="59D10B16"/>
    <w:rsid w:val="59F856B0"/>
    <w:rsid w:val="5A1B3552"/>
    <w:rsid w:val="5A7616BE"/>
    <w:rsid w:val="5B127639"/>
    <w:rsid w:val="5B3B704B"/>
    <w:rsid w:val="5BB61DAA"/>
    <w:rsid w:val="5C141B24"/>
    <w:rsid w:val="5E7B3747"/>
    <w:rsid w:val="61AF0D51"/>
    <w:rsid w:val="634560D1"/>
    <w:rsid w:val="646D582A"/>
    <w:rsid w:val="64D6419F"/>
    <w:rsid w:val="6B8E4417"/>
    <w:rsid w:val="6D6C68EF"/>
    <w:rsid w:val="6F6F69B0"/>
    <w:rsid w:val="701047CA"/>
    <w:rsid w:val="72402BBF"/>
    <w:rsid w:val="72C4042E"/>
    <w:rsid w:val="73A429A0"/>
    <w:rsid w:val="75E5766A"/>
    <w:rsid w:val="76F01523"/>
    <w:rsid w:val="795E4C8F"/>
    <w:rsid w:val="7A981D13"/>
    <w:rsid w:val="7B725FBC"/>
    <w:rsid w:val="7BFA137C"/>
    <w:rsid w:val="7DC02FD6"/>
    <w:rsid w:val="7FB0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spacing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annotation text"/>
    <w:basedOn w:val="1"/>
    <w:unhideWhenUsed/>
    <w:qFormat/>
    <w:uiPriority w:val="99"/>
    <w:pPr>
      <w:jc w:val="left"/>
    </w:pPr>
  </w:style>
  <w:style w:type="paragraph" w:styleId="7">
    <w:name w:val="Body Text"/>
    <w:basedOn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toc 3"/>
    <w:basedOn w:val="1"/>
    <w:next w:val="1"/>
    <w:qFormat/>
    <w:uiPriority w:val="0"/>
    <w:pPr>
      <w:ind w:left="840" w:leftChars="4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next w:val="5"/>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unhideWhenUsed/>
    <w:qFormat/>
    <w:uiPriority w:val="99"/>
    <w:rPr>
      <w:color w:val="0000FF"/>
      <w:u w:val="single"/>
    </w:rPr>
  </w:style>
  <w:style w:type="paragraph" w:customStyle="1" w:styleId="21">
    <w:name w:val="Table Text"/>
    <w:basedOn w:val="1"/>
    <w:semiHidden/>
    <w:qFormat/>
    <w:uiPriority w:val="0"/>
    <w:pPr>
      <w:spacing w:line="240" w:lineRule="auto"/>
      <w:ind w:firstLine="0" w:firstLineChars="0"/>
      <w:jc w:val="center"/>
      <w:textAlignment w:val="center"/>
    </w:pPr>
    <w:rPr>
      <w:rFonts w:ascii="宋体" w:hAnsi="宋体" w:cs="宋体"/>
      <w:szCs w:val="24"/>
    </w:rPr>
  </w:style>
  <w:style w:type="paragraph" w:customStyle="1" w:styleId="22">
    <w:name w:val="首行缩进"/>
    <w:basedOn w:val="1"/>
    <w:qFormat/>
    <w:uiPriority w:val="0"/>
    <w:pPr>
      <w:ind w:firstLine="480"/>
    </w:pPr>
    <w:rPr>
      <w:lang w:val="zh-CN"/>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BodyText1I2"/>
    <w:basedOn w:val="25"/>
    <w:qFormat/>
    <w:uiPriority w:val="0"/>
  </w:style>
  <w:style w:type="paragraph" w:customStyle="1" w:styleId="25">
    <w:name w:val="BodyTextIndent"/>
    <w:basedOn w:val="1"/>
    <w:qFormat/>
    <w:uiPriority w:val="0"/>
    <w:pPr>
      <w:spacing w:after="120"/>
      <w:ind w:left="420" w:leftChars="200"/>
      <w:textAlignment w:val="baseline"/>
    </w:pPr>
  </w:style>
  <w:style w:type="paragraph" w:customStyle="1" w:styleId="26">
    <w:name w:val="Table Paragraph"/>
    <w:basedOn w:val="1"/>
    <w:qFormat/>
    <w:uiPriority w:val="1"/>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招标文件正文"/>
    <w:basedOn w:val="1"/>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styleId="2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16133</Words>
  <Characters>16723</Characters>
  <Lines>0</Lines>
  <Paragraphs>0</Paragraphs>
  <TotalTime>8</TotalTime>
  <ScaleCrop>false</ScaleCrop>
  <LinksUpToDate>false</LinksUpToDate>
  <CharactersWithSpaces>17932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2025-07-28T02:57:00Z</dcterms:created>
  <dc:creator>刘丽</dc:creator>
  <cp:lastModifiedBy>刘丽</cp:lastModifiedBy>
  <cp:lastPrinted>2025-08-01T04:13:00Z</cp:lastPrinted>
  <dcterms:modified xsi:type="dcterms:W3CDTF">2025-09-01T03:42:09Z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BD667BCD63BD49A3AFEBE3D4645AA947_13</vt:lpwstr>
  </property>
  <property fmtid="{D5CDD505-2E9C-101B-9397-08002B2CF9AE}" pid="4" name="KSOTemplateDocerSaveRecord">
    <vt:lpwstr>eyJoZGlkIjoiOWJmM2E5OGIwNWUwNmE1ZTMyZjdjY2U3YTY4NTVjZTAiLCJ1c2VySWQiOiI2MzAwODQyOTUifQ==</vt:lpwstr>
  </property>
</Properties>
</file>