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66418">
      <w:pPr>
        <w:jc w:val="center"/>
        <w:rPr>
          <w:b/>
          <w:sz w:val="36"/>
          <w:szCs w:val="36"/>
        </w:rPr>
      </w:pPr>
    </w:p>
    <w:p w14:paraId="30C664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36"/>
          <w:szCs w:val="36"/>
        </w:rPr>
      </w:pPr>
    </w:p>
    <w:p w14:paraId="335AC0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Ansi="黑体" w:eastAsia="黑体"/>
          <w:bCs/>
          <w:sz w:val="48"/>
          <w:szCs w:val="48"/>
        </w:rPr>
      </w:pPr>
      <w:r>
        <w:rPr>
          <w:rFonts w:hint="eastAsia" w:hAnsi="黑体" w:eastAsia="黑体"/>
          <w:bCs/>
          <w:sz w:val="48"/>
          <w:szCs w:val="48"/>
        </w:rPr>
        <w:t>江西联兴公路工程有限公司</w:t>
      </w:r>
    </w:p>
    <w:p w14:paraId="453095E3">
      <w:pPr>
        <w:jc w:val="center"/>
        <w:rPr>
          <w:rFonts w:hint="default"/>
          <w:b/>
          <w:sz w:val="72"/>
          <w:szCs w:val="72"/>
          <w:lang w:val="en-US"/>
        </w:rPr>
      </w:pPr>
      <w:r>
        <w:rPr>
          <w:rFonts w:hint="eastAsia" w:ascii="宋体" w:hAnsi="宋体"/>
          <w:b/>
          <w:sz w:val="36"/>
          <w:szCs w:val="36"/>
        </w:rPr>
        <w:t>2025年赣定、龙河、龙杨、兴赣高速公路路面病害处治专项工程</w:t>
      </w:r>
      <w:r>
        <w:rPr>
          <w:rFonts w:hint="eastAsia" w:ascii="宋体" w:hAnsi="宋体"/>
          <w:b/>
          <w:sz w:val="36"/>
          <w:szCs w:val="36"/>
          <w:lang w:val="en-US" w:eastAsia="zh-CN"/>
        </w:rPr>
        <w:t>A2标段保</w:t>
      </w:r>
      <w:r>
        <w:rPr>
          <w:rFonts w:hint="eastAsia" w:ascii="宋体" w:hAnsi="宋体"/>
          <w:b/>
          <w:sz w:val="36"/>
          <w:szCs w:val="36"/>
        </w:rPr>
        <w:t>险</w:t>
      </w:r>
      <w:r>
        <w:rPr>
          <w:rFonts w:hint="eastAsia" w:ascii="宋体" w:hAnsi="宋体"/>
          <w:b/>
          <w:sz w:val="36"/>
          <w:szCs w:val="36"/>
          <w:lang w:val="en-US" w:eastAsia="zh-CN"/>
        </w:rPr>
        <w:t>采购项目</w:t>
      </w:r>
    </w:p>
    <w:p w14:paraId="62200CCD">
      <w:pPr>
        <w:jc w:val="center"/>
        <w:rPr>
          <w:b/>
          <w:sz w:val="72"/>
          <w:szCs w:val="72"/>
        </w:rPr>
      </w:pPr>
    </w:p>
    <w:p w14:paraId="1F5C70B3">
      <w:pPr>
        <w:pStyle w:val="2"/>
      </w:pPr>
    </w:p>
    <w:p w14:paraId="3735E18D">
      <w:pPr>
        <w:jc w:val="center"/>
        <w:rPr>
          <w:b/>
          <w:sz w:val="72"/>
          <w:szCs w:val="72"/>
        </w:rPr>
      </w:pPr>
      <w:r>
        <w:rPr>
          <w:rFonts w:hint="eastAsia"/>
          <w:b/>
          <w:sz w:val="72"/>
          <w:szCs w:val="72"/>
        </w:rPr>
        <w:t>询价文件</w:t>
      </w:r>
    </w:p>
    <w:p w14:paraId="6AE6013F">
      <w:pPr>
        <w:jc w:val="center"/>
        <w:rPr>
          <w:b/>
          <w:sz w:val="36"/>
          <w:szCs w:val="36"/>
        </w:rPr>
      </w:pPr>
    </w:p>
    <w:p w14:paraId="0DE0C858">
      <w:pPr>
        <w:jc w:val="center"/>
        <w:rPr>
          <w:b/>
          <w:sz w:val="36"/>
          <w:szCs w:val="36"/>
        </w:rPr>
      </w:pPr>
    </w:p>
    <w:p w14:paraId="2C643FC9">
      <w:pPr>
        <w:jc w:val="center"/>
        <w:rPr>
          <w:b/>
          <w:sz w:val="36"/>
          <w:szCs w:val="36"/>
        </w:rPr>
      </w:pPr>
    </w:p>
    <w:p w14:paraId="76F5F008">
      <w:pPr>
        <w:pStyle w:val="2"/>
      </w:pPr>
    </w:p>
    <w:p w14:paraId="5F90F66B">
      <w:pPr>
        <w:jc w:val="center"/>
        <w:rPr>
          <w:rFonts w:hint="eastAsia"/>
          <w:b/>
          <w:sz w:val="36"/>
          <w:szCs w:val="36"/>
        </w:rPr>
      </w:pPr>
    </w:p>
    <w:p w14:paraId="5F8EAD51">
      <w:pPr>
        <w:jc w:val="center"/>
        <w:rPr>
          <w:rFonts w:hint="eastAsia"/>
          <w:b/>
          <w:sz w:val="36"/>
          <w:szCs w:val="36"/>
        </w:rPr>
      </w:pPr>
    </w:p>
    <w:p w14:paraId="1AC35551">
      <w:pPr>
        <w:jc w:val="center"/>
        <w:rPr>
          <w:rFonts w:hint="eastAsia"/>
          <w:b/>
          <w:sz w:val="36"/>
          <w:szCs w:val="36"/>
        </w:rPr>
      </w:pPr>
    </w:p>
    <w:p w14:paraId="109F3455">
      <w:pPr>
        <w:jc w:val="center"/>
        <w:rPr>
          <w:rFonts w:hint="eastAsia"/>
          <w:b/>
          <w:sz w:val="36"/>
          <w:szCs w:val="36"/>
        </w:rPr>
      </w:pPr>
    </w:p>
    <w:p w14:paraId="72915BCE">
      <w:pPr>
        <w:jc w:val="center"/>
        <w:rPr>
          <w:rFonts w:hint="eastAsia"/>
          <w:b/>
          <w:sz w:val="36"/>
          <w:szCs w:val="36"/>
        </w:rPr>
      </w:pPr>
    </w:p>
    <w:p w14:paraId="72AAA6B0">
      <w:pPr>
        <w:jc w:val="center"/>
        <w:rPr>
          <w:rFonts w:hint="eastAsia"/>
          <w:b/>
          <w:sz w:val="36"/>
          <w:szCs w:val="36"/>
        </w:rPr>
      </w:pPr>
    </w:p>
    <w:p w14:paraId="7A198C9C">
      <w:pPr>
        <w:jc w:val="center"/>
        <w:rPr>
          <w:rFonts w:hint="eastAsia"/>
          <w:b/>
          <w:sz w:val="36"/>
          <w:szCs w:val="36"/>
        </w:rPr>
      </w:pPr>
    </w:p>
    <w:p w14:paraId="2D1D89D3">
      <w:pPr>
        <w:jc w:val="center"/>
        <w:rPr>
          <w:rFonts w:hint="eastAsia"/>
          <w:b/>
          <w:sz w:val="36"/>
          <w:szCs w:val="36"/>
        </w:rPr>
      </w:pPr>
    </w:p>
    <w:p w14:paraId="2DDBB6C7">
      <w:pPr>
        <w:jc w:val="center"/>
        <w:rPr>
          <w:b/>
          <w:sz w:val="36"/>
          <w:szCs w:val="36"/>
        </w:rPr>
      </w:pPr>
      <w:r>
        <w:rPr>
          <w:rFonts w:hint="eastAsia"/>
          <w:b/>
          <w:sz w:val="36"/>
          <w:szCs w:val="36"/>
        </w:rPr>
        <w:drawing>
          <wp:inline distT="0" distB="0" distL="0" distR="0">
            <wp:extent cx="304800" cy="285750"/>
            <wp:effectExtent l="0" t="0" r="0" b="0"/>
            <wp:docPr id="3" name="图片 3" descr="交控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交控司徽"/>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4800" cy="285750"/>
                    </a:xfrm>
                    <a:prstGeom prst="rect">
                      <a:avLst/>
                    </a:prstGeom>
                    <a:noFill/>
                    <a:ln>
                      <a:noFill/>
                    </a:ln>
                  </pic:spPr>
                </pic:pic>
              </a:graphicData>
            </a:graphic>
          </wp:inline>
        </w:drawing>
      </w:r>
      <w:r>
        <w:rPr>
          <w:rFonts w:hint="eastAsia"/>
          <w:b/>
          <w:sz w:val="36"/>
          <w:szCs w:val="36"/>
        </w:rPr>
        <w:t>江西联兴公路工程有限公司</w:t>
      </w:r>
    </w:p>
    <w:p w14:paraId="3B62AC05">
      <w:pPr>
        <w:jc w:val="center"/>
        <w:rPr>
          <w:b/>
          <w:sz w:val="36"/>
          <w:szCs w:val="36"/>
        </w:rPr>
      </w:pPr>
    </w:p>
    <w:p w14:paraId="3D2BC8B5">
      <w:pPr>
        <w:jc w:val="center"/>
        <w:rPr>
          <w:b/>
          <w:sz w:val="36"/>
          <w:szCs w:val="36"/>
        </w:rPr>
      </w:pPr>
      <w:r>
        <w:rPr>
          <w:rFonts w:hint="eastAsia"/>
          <w:b/>
          <w:sz w:val="36"/>
          <w:szCs w:val="36"/>
        </w:rPr>
        <w:t>二O二</w:t>
      </w:r>
      <w:r>
        <w:rPr>
          <w:rFonts w:hint="eastAsia"/>
          <w:b/>
          <w:sz w:val="36"/>
          <w:szCs w:val="36"/>
          <w:lang w:val="en-US" w:eastAsia="zh-CN"/>
        </w:rPr>
        <w:t>五</w:t>
      </w:r>
      <w:r>
        <w:rPr>
          <w:rFonts w:hint="eastAsia"/>
          <w:b/>
          <w:sz w:val="36"/>
          <w:szCs w:val="36"/>
        </w:rPr>
        <w:t>年</w:t>
      </w:r>
      <w:r>
        <w:rPr>
          <w:rFonts w:hint="eastAsia"/>
          <w:b/>
          <w:sz w:val="36"/>
          <w:szCs w:val="36"/>
          <w:lang w:val="en-US" w:eastAsia="zh-CN"/>
        </w:rPr>
        <w:t>六</w:t>
      </w:r>
      <w:r>
        <w:rPr>
          <w:rFonts w:hint="eastAsia"/>
          <w:b/>
          <w:sz w:val="36"/>
          <w:szCs w:val="36"/>
        </w:rPr>
        <w:t>月</w:t>
      </w:r>
    </w:p>
    <w:p w14:paraId="7CC64490">
      <w:pPr>
        <w:pStyle w:val="2"/>
        <w:rPr>
          <w:sz w:val="36"/>
          <w:szCs w:val="36"/>
        </w:rPr>
      </w:pPr>
    </w:p>
    <w:p w14:paraId="48B5C25D">
      <w:pPr>
        <w:rPr>
          <w:b/>
          <w:sz w:val="36"/>
          <w:szCs w:val="36"/>
        </w:rPr>
      </w:pPr>
    </w:p>
    <w:p w14:paraId="2C07D223">
      <w:pPr>
        <w:jc w:val="center"/>
        <w:rPr>
          <w:rFonts w:hint="eastAsia" w:ascii="仿宋" w:hAnsi="仿宋" w:eastAsia="仿宋" w:cs="仿宋"/>
          <w:b/>
          <w:bCs/>
          <w:sz w:val="28"/>
          <w:szCs w:val="28"/>
        </w:rPr>
      </w:pPr>
      <w:bookmarkStart w:id="0" w:name="_Toc32020"/>
      <w:bookmarkStart w:id="1" w:name="_Toc9732"/>
      <w:bookmarkStart w:id="2" w:name="_Toc27127"/>
    </w:p>
    <w:p w14:paraId="6AD1A22C">
      <w:pPr>
        <w:jc w:val="center"/>
        <w:rPr>
          <w:rFonts w:hint="eastAsia" w:ascii="仿宋" w:hAnsi="仿宋" w:eastAsia="仿宋" w:cs="仿宋"/>
          <w:b/>
          <w:bCs/>
          <w:sz w:val="28"/>
          <w:szCs w:val="28"/>
        </w:rPr>
      </w:pPr>
    </w:p>
    <w:p w14:paraId="7F6173C0">
      <w:pPr>
        <w:jc w:val="center"/>
        <w:rPr>
          <w:rFonts w:hint="eastAsia" w:ascii="仿宋" w:hAnsi="仿宋" w:eastAsia="仿宋" w:cs="仿宋"/>
          <w:b/>
          <w:bCs/>
          <w:sz w:val="28"/>
          <w:szCs w:val="28"/>
        </w:rPr>
      </w:pPr>
    </w:p>
    <w:p w14:paraId="491C7279">
      <w:pPr>
        <w:jc w:val="center"/>
        <w:rPr>
          <w:rFonts w:hint="eastAsia" w:ascii="仿宋" w:hAnsi="仿宋" w:eastAsia="仿宋" w:cs="仿宋"/>
          <w:b/>
          <w:bCs/>
          <w:sz w:val="28"/>
          <w:szCs w:val="28"/>
        </w:rPr>
        <w:sectPr>
          <w:footerReference r:id="rId3" w:type="default"/>
          <w:pgSz w:w="11907" w:h="16840"/>
          <w:pgMar w:top="1247" w:right="2268" w:bottom="1247" w:left="1418" w:header="851" w:footer="992" w:gutter="227"/>
          <w:pgNumType w:fmt="decimal" w:start="1"/>
          <w:cols w:space="720" w:num="1"/>
          <w:docGrid w:linePitch="312" w:charSpace="0"/>
        </w:sectPr>
      </w:pPr>
    </w:p>
    <w:p w14:paraId="376A0C5C">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b/>
          <w:sz w:val="36"/>
          <w:szCs w:val="36"/>
        </w:rPr>
      </w:pPr>
      <w:bookmarkStart w:id="3" w:name="_Toc1101"/>
      <w:bookmarkStart w:id="4" w:name="_Toc11893"/>
      <w:r>
        <w:rPr>
          <w:rFonts w:hint="eastAsia"/>
        </w:rPr>
        <w:t xml:space="preserve">第一章 </w:t>
      </w:r>
      <w:bookmarkEnd w:id="0"/>
      <w:bookmarkEnd w:id="1"/>
      <w:bookmarkEnd w:id="2"/>
      <w:r>
        <w:rPr>
          <w:rFonts w:hint="eastAsia"/>
          <w:lang w:val="en-US" w:eastAsia="zh-CN"/>
        </w:rPr>
        <w:t>询价</w:t>
      </w:r>
      <w:r>
        <w:rPr>
          <w:rFonts w:hint="eastAsia"/>
        </w:rPr>
        <w:t>公告</w:t>
      </w:r>
      <w:bookmarkEnd w:id="3"/>
      <w:bookmarkEnd w:id="4"/>
      <w:bookmarkStart w:id="5" w:name="_Toc7965"/>
      <w:bookmarkStart w:id="6" w:name="_Toc13534"/>
    </w:p>
    <w:p w14:paraId="7A6FCB5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b/>
          <w:sz w:val="36"/>
          <w:szCs w:val="36"/>
        </w:rPr>
      </w:pPr>
      <w:r>
        <w:rPr>
          <w:rFonts w:hint="eastAsia"/>
          <w:b/>
          <w:sz w:val="36"/>
          <w:szCs w:val="36"/>
        </w:rPr>
        <w:t>江西联兴公路工程有限公司</w:t>
      </w:r>
    </w:p>
    <w:p w14:paraId="22EEAF2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b/>
          <w:sz w:val="24"/>
        </w:rPr>
      </w:pPr>
      <w:r>
        <w:rPr>
          <w:rFonts w:hint="eastAsia" w:ascii="宋体" w:hAnsi="宋体"/>
          <w:b/>
          <w:sz w:val="36"/>
          <w:szCs w:val="36"/>
          <w:lang w:eastAsia="zh-CN"/>
        </w:rPr>
        <w:t>2025年赣定、龙河、龙杨、兴赣高速公路路面病害处治专项工程</w:t>
      </w:r>
      <w:r>
        <w:rPr>
          <w:rFonts w:hint="eastAsia" w:ascii="宋体" w:hAnsi="宋体"/>
          <w:b/>
          <w:sz w:val="36"/>
          <w:szCs w:val="36"/>
          <w:lang w:val="en-US" w:eastAsia="zh-CN"/>
        </w:rPr>
        <w:t>A2标段保</w:t>
      </w:r>
      <w:r>
        <w:rPr>
          <w:rFonts w:hint="eastAsia" w:ascii="宋体" w:hAnsi="宋体"/>
          <w:b/>
          <w:sz w:val="36"/>
          <w:szCs w:val="36"/>
        </w:rPr>
        <w:t>险</w:t>
      </w:r>
      <w:r>
        <w:rPr>
          <w:rFonts w:hint="eastAsia" w:ascii="宋体" w:hAnsi="宋体"/>
          <w:b/>
          <w:sz w:val="36"/>
          <w:szCs w:val="36"/>
          <w:lang w:val="en-US" w:eastAsia="zh-CN"/>
        </w:rPr>
        <w:t>采购项目</w:t>
      </w:r>
      <w:r>
        <w:rPr>
          <w:rFonts w:hint="eastAsia" w:ascii="宋体" w:hAnsi="宋体"/>
          <w:b/>
          <w:sz w:val="36"/>
          <w:szCs w:val="36"/>
        </w:rPr>
        <w:t>询价</w:t>
      </w:r>
      <w:bookmarkEnd w:id="5"/>
      <w:bookmarkEnd w:id="6"/>
      <w:r>
        <w:rPr>
          <w:rFonts w:hint="eastAsia"/>
          <w:b/>
          <w:sz w:val="36"/>
          <w:szCs w:val="36"/>
        </w:rPr>
        <w:t>公告</w:t>
      </w:r>
    </w:p>
    <w:p w14:paraId="360CFE27">
      <w:pPr>
        <w:pStyle w:val="4"/>
        <w:keepNext/>
        <w:keepLines/>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sz w:val="28"/>
          <w:szCs w:val="28"/>
          <w:lang w:val="en-US" w:eastAsia="zh-CN"/>
        </w:rPr>
      </w:pPr>
      <w:bookmarkStart w:id="7" w:name="_Toc3672"/>
      <w:bookmarkStart w:id="8" w:name="_Toc17503"/>
      <w:bookmarkStart w:id="9" w:name="_Toc14120"/>
      <w:bookmarkStart w:id="10" w:name="_Toc16581"/>
      <w:r>
        <w:rPr>
          <w:rFonts w:hint="eastAsia" w:ascii="宋体" w:hAnsi="宋体" w:eastAsia="宋体" w:cs="宋体"/>
          <w:sz w:val="28"/>
          <w:szCs w:val="28"/>
          <w:lang w:val="en-US" w:eastAsia="zh-CN"/>
        </w:rPr>
        <w:t>一、询价条件</w:t>
      </w:r>
      <w:bookmarkEnd w:id="7"/>
      <w:bookmarkEnd w:id="8"/>
    </w:p>
    <w:p w14:paraId="64098CBA">
      <w:pPr>
        <w:pStyle w:val="9"/>
        <w:adjustRightInd/>
        <w:snapToGrid/>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rPr>
        <w:t>本次询价项目名称：</w:t>
      </w:r>
      <w:r>
        <w:rPr>
          <w:rFonts w:hint="eastAsia" w:ascii="宋体" w:hAnsi="宋体" w:eastAsia="宋体" w:cs="宋体"/>
          <w:color w:val="auto"/>
          <w:kern w:val="2"/>
          <w:sz w:val="24"/>
          <w:szCs w:val="24"/>
          <w:highlight w:val="none"/>
          <w:lang w:val="en-US" w:eastAsia="zh-CN"/>
        </w:rPr>
        <w:t>2025年赣定、龙河、龙杨、兴赣高速公路路面病害处治专项工程</w:t>
      </w:r>
      <w:r>
        <w:rPr>
          <w:rFonts w:hint="eastAsia" w:ascii="宋体" w:hAnsi="宋体" w:cs="宋体"/>
          <w:color w:val="auto"/>
          <w:kern w:val="2"/>
          <w:sz w:val="24"/>
          <w:szCs w:val="24"/>
          <w:highlight w:val="none"/>
          <w:lang w:val="en-US" w:eastAsia="zh-CN"/>
        </w:rPr>
        <w:t>A2标段</w:t>
      </w:r>
      <w:r>
        <w:rPr>
          <w:rFonts w:hint="eastAsia" w:ascii="宋体" w:hAnsi="宋体" w:eastAsia="宋体" w:cs="宋体"/>
          <w:color w:val="auto"/>
          <w:kern w:val="2"/>
          <w:sz w:val="24"/>
          <w:szCs w:val="24"/>
          <w:highlight w:val="none"/>
          <w:lang w:val="en-US" w:eastAsia="zh-CN"/>
        </w:rPr>
        <w:t>保险采购项目（以下简称本项目）。</w:t>
      </w:r>
    </w:p>
    <w:p w14:paraId="54AF9E8F">
      <w:pPr>
        <w:pStyle w:val="9"/>
        <w:adjustRightInd/>
        <w:snapToGrid/>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询价人:江西联兴公路工程有限公司。</w:t>
      </w:r>
      <w:r>
        <w:rPr>
          <w:rFonts w:hint="eastAsia" w:ascii="宋体" w:hAnsi="宋体" w:eastAsia="宋体" w:cs="宋体"/>
          <w:color w:val="auto"/>
          <w:kern w:val="2"/>
          <w:sz w:val="24"/>
          <w:szCs w:val="24"/>
          <w:highlight w:val="none"/>
          <w:lang w:val="en-US"/>
        </w:rPr>
        <w:t xml:space="preserve">合同签订人: </w:t>
      </w:r>
      <w:r>
        <w:rPr>
          <w:rFonts w:hint="eastAsia" w:ascii="宋体" w:hAnsi="宋体" w:eastAsia="宋体" w:cs="宋体"/>
          <w:color w:val="auto"/>
          <w:kern w:val="2"/>
          <w:sz w:val="24"/>
          <w:szCs w:val="24"/>
          <w:highlight w:val="none"/>
          <w:lang w:val="en-US" w:eastAsia="zh-CN"/>
        </w:rPr>
        <w:t>江西联兴公路工程有限公司，</w:t>
      </w:r>
      <w:r>
        <w:rPr>
          <w:rFonts w:hint="eastAsia" w:ascii="宋体" w:hAnsi="宋体" w:eastAsia="宋体" w:cs="宋体"/>
          <w:color w:val="auto"/>
          <w:kern w:val="2"/>
          <w:sz w:val="24"/>
          <w:szCs w:val="24"/>
          <w:highlight w:val="none"/>
          <w:lang w:val="en-US"/>
        </w:rPr>
        <w:t>资金来源为自有资金，该项目已具备</w:t>
      </w:r>
      <w:r>
        <w:rPr>
          <w:rFonts w:hint="eastAsia" w:ascii="宋体" w:hAnsi="宋体" w:eastAsia="宋体" w:cs="宋体"/>
          <w:color w:val="auto"/>
          <w:kern w:val="2"/>
          <w:sz w:val="24"/>
          <w:szCs w:val="24"/>
          <w:highlight w:val="none"/>
          <w:lang w:val="en-US" w:eastAsia="zh-CN"/>
        </w:rPr>
        <w:t>询价</w:t>
      </w:r>
      <w:r>
        <w:rPr>
          <w:rFonts w:hint="eastAsia" w:ascii="宋体" w:hAnsi="宋体" w:eastAsia="宋体" w:cs="宋体"/>
          <w:color w:val="auto"/>
          <w:kern w:val="2"/>
          <w:sz w:val="24"/>
          <w:szCs w:val="24"/>
          <w:highlight w:val="none"/>
          <w:lang w:val="en-US"/>
        </w:rPr>
        <w:t>条件，现对该项目进行公开询价</w:t>
      </w:r>
      <w:r>
        <w:rPr>
          <w:rFonts w:hint="eastAsia" w:ascii="宋体" w:hAnsi="宋体" w:eastAsia="宋体" w:cs="宋体"/>
          <w:color w:val="auto"/>
          <w:kern w:val="2"/>
          <w:sz w:val="24"/>
          <w:szCs w:val="24"/>
          <w:highlight w:val="none"/>
          <w:lang w:val="en-US" w:eastAsia="zh-CN"/>
        </w:rPr>
        <w:t>。</w:t>
      </w:r>
    </w:p>
    <w:p w14:paraId="243C1C23">
      <w:pPr>
        <w:pStyle w:val="4"/>
        <w:keepNext/>
        <w:keepLines/>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二、工程</w:t>
      </w:r>
      <w:bookmarkEnd w:id="9"/>
      <w:r>
        <w:rPr>
          <w:rFonts w:hint="eastAsia" w:ascii="宋体" w:hAnsi="宋体" w:eastAsia="宋体" w:cs="宋体"/>
          <w:sz w:val="28"/>
          <w:szCs w:val="28"/>
          <w:lang w:val="en-US" w:eastAsia="zh-CN"/>
        </w:rPr>
        <w:t>概况</w:t>
      </w:r>
      <w:bookmarkEnd w:id="10"/>
    </w:p>
    <w:p w14:paraId="0B7086F7">
      <w:pPr>
        <w:pStyle w:val="9"/>
        <w:adjustRightInd/>
        <w:snapToGrid/>
        <w:ind w:firstLine="480" w:firstLineChars="200"/>
        <w:jc w:val="left"/>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本项目施工地点为龙杨高速和兴赣高速，</w:t>
      </w:r>
      <w:r>
        <w:rPr>
          <w:rFonts w:hint="default" w:ascii="宋体" w:hAnsi="宋体" w:eastAsia="宋体" w:cs="宋体"/>
          <w:color w:val="auto"/>
          <w:kern w:val="2"/>
          <w:sz w:val="24"/>
          <w:szCs w:val="24"/>
          <w:highlight w:val="none"/>
          <w:lang w:val="en-US" w:eastAsia="zh-CN"/>
        </w:rPr>
        <w:t>龙杨高速:龙杨高速是大广高速(G45)中的一段，起讫桩号为K3140+926~K3202+000段，路线全长61.074km。</w:t>
      </w:r>
    </w:p>
    <w:p w14:paraId="336A83F7">
      <w:pPr>
        <w:pStyle w:val="9"/>
        <w:adjustRightInd/>
        <w:snapToGrid/>
        <w:ind w:firstLine="480" w:firstLineChars="200"/>
        <w:jc w:val="left"/>
        <w:rPr>
          <w:rFonts w:hint="default" w:ascii="宋体" w:hAnsi="宋体" w:eastAsia="宋体" w:cs="宋体"/>
          <w:color w:val="auto"/>
          <w:kern w:val="2"/>
          <w:sz w:val="24"/>
          <w:szCs w:val="24"/>
          <w:highlight w:val="green"/>
          <w:lang w:val="en-US" w:eastAsia="zh-CN"/>
        </w:rPr>
      </w:pPr>
      <w:r>
        <w:rPr>
          <w:rFonts w:hint="default" w:ascii="宋体" w:hAnsi="宋体" w:eastAsia="宋体" w:cs="宋体"/>
          <w:color w:val="auto"/>
          <w:kern w:val="2"/>
          <w:sz w:val="24"/>
          <w:szCs w:val="24"/>
          <w:highlight w:val="none"/>
          <w:lang w:val="en-US" w:eastAsia="zh-CN"/>
        </w:rPr>
        <w:t>兴赣高速:兴赣高速是南韶高速(G6011)中的一段，起讫号为K298+926~K372+295,路线全长73.423km。</w:t>
      </w:r>
      <w:r>
        <w:rPr>
          <w:rFonts w:hint="eastAsia" w:ascii="宋体" w:hAnsi="宋体" w:cs="宋体"/>
          <w:color w:val="auto"/>
          <w:kern w:val="2"/>
          <w:sz w:val="24"/>
          <w:szCs w:val="24"/>
          <w:highlight w:val="none"/>
          <w:lang w:val="en-US" w:eastAsia="zh-CN"/>
        </w:rPr>
        <w:t>合同</w:t>
      </w:r>
      <w:r>
        <w:rPr>
          <w:rFonts w:hint="default" w:ascii="宋体" w:hAnsi="宋体" w:eastAsia="宋体" w:cs="宋体"/>
          <w:color w:val="auto"/>
          <w:kern w:val="2"/>
          <w:sz w:val="24"/>
          <w:szCs w:val="24"/>
          <w:highlight w:val="none"/>
          <w:lang w:val="en-US" w:eastAsia="zh-CN"/>
        </w:rPr>
        <w:t>工期为110日历天。缺陷责任期 24个月，养护期为缺陷责任期后36个月，保修期60个月。</w:t>
      </w:r>
    </w:p>
    <w:p w14:paraId="32DF726C">
      <w:pPr>
        <w:pStyle w:val="9"/>
        <w:adjustRightInd/>
        <w:snapToGrid/>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工程施工内容：</w:t>
      </w:r>
    </w:p>
    <w:tbl>
      <w:tblPr>
        <w:tblStyle w:val="22"/>
        <w:tblW w:w="82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4068"/>
        <w:gridCol w:w="941"/>
        <w:gridCol w:w="1129"/>
        <w:gridCol w:w="1129"/>
      </w:tblGrid>
      <w:tr w14:paraId="118A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74C0B">
            <w:pPr>
              <w:keepNext w:val="0"/>
              <w:keepLines w:val="0"/>
              <w:widowControl/>
              <w:suppressLineNumbers w:val="0"/>
              <w:jc w:val="center"/>
              <w:textAlignment w:val="center"/>
              <w:rPr>
                <w:rFonts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子目号</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1F60A">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子  目  名  称</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ECDC9">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单位</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10087">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数量</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829C9">
            <w:pPr>
              <w:keepNext w:val="0"/>
              <w:keepLines w:val="0"/>
              <w:widowControl/>
              <w:suppressLineNumbers w:val="0"/>
              <w:jc w:val="center"/>
              <w:textAlignment w:val="center"/>
              <w:rPr>
                <w:rFonts w:hint="default" w:ascii="smartSimSun" w:hAnsi="smartSimSun" w:eastAsia="smartSimSun" w:cs="smartSimSun"/>
                <w:i w:val="0"/>
                <w:iCs w:val="0"/>
                <w:color w:val="000000"/>
                <w:kern w:val="0"/>
                <w:sz w:val="18"/>
                <w:szCs w:val="18"/>
                <w:u w:val="none"/>
                <w:lang w:val="en-US" w:eastAsia="zh-CN" w:bidi="ar"/>
              </w:rPr>
            </w:pPr>
            <w:r>
              <w:rPr>
                <w:rFonts w:hint="eastAsia" w:ascii="smartSimSun" w:hAnsi="smartSimSun" w:eastAsia="smartSimSun" w:cs="smartSimSun"/>
                <w:i w:val="0"/>
                <w:iCs w:val="0"/>
                <w:color w:val="000000"/>
                <w:kern w:val="0"/>
                <w:sz w:val="18"/>
                <w:szCs w:val="18"/>
                <w:u w:val="none"/>
                <w:lang w:val="en-US" w:eastAsia="zh-CN" w:bidi="ar"/>
              </w:rPr>
              <w:t>备注</w:t>
            </w:r>
          </w:p>
        </w:tc>
      </w:tr>
      <w:tr w14:paraId="45F5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C3CB02">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978EA0">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场地清理</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7F25C1">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50166E">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B790D5">
            <w:pPr>
              <w:jc w:val="right"/>
              <w:rPr>
                <w:rFonts w:hint="eastAsia" w:ascii="smartSimSun" w:hAnsi="smartSimSun" w:eastAsia="smartSimSun" w:cs="smartSimSun"/>
                <w:i w:val="0"/>
                <w:iCs w:val="0"/>
                <w:color w:val="000000"/>
                <w:sz w:val="18"/>
                <w:szCs w:val="18"/>
                <w:u w:val="none"/>
              </w:rPr>
            </w:pPr>
          </w:p>
        </w:tc>
      </w:tr>
      <w:tr w14:paraId="69934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46D9B6">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202-2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710CD2">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挖除旧路面</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A8A036">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7D48EB">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103971">
            <w:pPr>
              <w:jc w:val="right"/>
              <w:rPr>
                <w:rFonts w:hint="eastAsia" w:ascii="smartSimSun" w:hAnsi="smartSimSun" w:eastAsia="smartSimSun" w:cs="smartSimSun"/>
                <w:i w:val="0"/>
                <w:iCs w:val="0"/>
                <w:color w:val="000000"/>
                <w:sz w:val="18"/>
                <w:szCs w:val="18"/>
                <w:u w:val="none"/>
              </w:rPr>
            </w:pPr>
          </w:p>
        </w:tc>
      </w:tr>
      <w:tr w14:paraId="23117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ECC0AD">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F84731">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铣刨沥青砼上面层厚40mm</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6BF658">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12692B">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EE53D2">
            <w:pPr>
              <w:jc w:val="right"/>
              <w:rPr>
                <w:rFonts w:hint="eastAsia" w:ascii="smartSimSun" w:hAnsi="smartSimSun" w:eastAsia="smartSimSun" w:cs="smartSimSun"/>
                <w:i w:val="0"/>
                <w:iCs w:val="0"/>
                <w:color w:val="000000"/>
                <w:sz w:val="18"/>
                <w:szCs w:val="18"/>
                <w:u w:val="none"/>
              </w:rPr>
            </w:pPr>
          </w:p>
        </w:tc>
      </w:tr>
      <w:tr w14:paraId="4C053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C09C9E">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7B0B0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铣刨沥青砼上面层厚40mm（龙杨段）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A574E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C82113">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69137</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1256C7">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24B29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FD7FA3">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7BC790">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铣刨沥青砼上面层厚40mm（兴赣段）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2D1E66">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EC11FA">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25204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5A077E">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40E84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AC0F2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353B3B">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铣刨沥青砼中面层厚60mm</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A327AB">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4DB335">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11ECE6">
            <w:pPr>
              <w:jc w:val="right"/>
              <w:rPr>
                <w:rFonts w:hint="eastAsia" w:ascii="smartSimSun" w:hAnsi="smartSimSun" w:eastAsia="smartSimSun" w:cs="smartSimSun"/>
                <w:i w:val="0"/>
                <w:iCs w:val="0"/>
                <w:color w:val="000000"/>
                <w:sz w:val="18"/>
                <w:szCs w:val="18"/>
                <w:u w:val="none"/>
              </w:rPr>
            </w:pPr>
          </w:p>
        </w:tc>
      </w:tr>
      <w:tr w14:paraId="14907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80E85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34AC28">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铣刨沥青砼中面层厚60mm（龙杨段）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F60198">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5E4AC8">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63364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13B791">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6F8C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EEF4EA">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934F6D">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铣刨沥青砼中面层厚60mm（兴赣段）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F59A03">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848635">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23110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1B5671">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2027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C05315">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B9DA95">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铣刨沥青砼下面层厚80mm</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AA1E45">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5151AA">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00B832">
            <w:pPr>
              <w:jc w:val="right"/>
              <w:rPr>
                <w:rFonts w:hint="eastAsia" w:ascii="smartSimSun" w:hAnsi="smartSimSun" w:eastAsia="smartSimSun" w:cs="smartSimSun"/>
                <w:i w:val="0"/>
                <w:iCs w:val="0"/>
                <w:color w:val="000000"/>
                <w:sz w:val="18"/>
                <w:szCs w:val="18"/>
                <w:u w:val="none"/>
              </w:rPr>
            </w:pPr>
          </w:p>
        </w:tc>
      </w:tr>
      <w:tr w14:paraId="4F4D1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7AA67E">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5A1BF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铣刨沥青砼下面层厚80mm（兴赣段）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40AC55">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E863BF">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1276</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5DF96D">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38BDD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A8D870">
            <w:pPr>
              <w:keepNext w:val="0"/>
              <w:keepLines w:val="0"/>
              <w:widowControl/>
              <w:suppressLineNumbers w:val="0"/>
              <w:jc w:val="center"/>
              <w:textAlignment w:val="bottom"/>
              <w:rPr>
                <w:rFonts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308</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4C1765">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透层和黏层</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1F7DA7">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F65788">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AA31D5">
            <w:pPr>
              <w:jc w:val="right"/>
              <w:rPr>
                <w:rFonts w:hint="eastAsia" w:ascii="smartSimSun" w:hAnsi="smartSimSun" w:eastAsia="smartSimSun" w:cs="smartSimSun"/>
                <w:i w:val="0"/>
                <w:iCs w:val="0"/>
                <w:color w:val="000000"/>
                <w:sz w:val="18"/>
                <w:szCs w:val="18"/>
                <w:u w:val="none"/>
              </w:rPr>
            </w:pPr>
          </w:p>
        </w:tc>
      </w:tr>
      <w:tr w14:paraId="1259F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76BB32">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308-2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6BDDCA">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黏层</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0EF083">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33B219">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1068B0">
            <w:pPr>
              <w:jc w:val="right"/>
              <w:rPr>
                <w:rFonts w:hint="eastAsia" w:ascii="smartSimSun" w:hAnsi="smartSimSun" w:eastAsia="smartSimSun" w:cs="smartSimSun"/>
                <w:i w:val="0"/>
                <w:iCs w:val="0"/>
                <w:color w:val="000000"/>
                <w:sz w:val="18"/>
                <w:szCs w:val="18"/>
                <w:u w:val="none"/>
              </w:rPr>
            </w:pPr>
          </w:p>
        </w:tc>
      </w:tr>
      <w:tr w14:paraId="75A04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1F053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CFDEB2">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改性乳化沥青黏层</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BBD1D3">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934811">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6737E5">
            <w:pPr>
              <w:jc w:val="right"/>
              <w:rPr>
                <w:rFonts w:hint="eastAsia" w:ascii="smartSimSun" w:hAnsi="smartSimSun" w:eastAsia="smartSimSun" w:cs="smartSimSun"/>
                <w:i w:val="0"/>
                <w:iCs w:val="0"/>
                <w:color w:val="000000"/>
                <w:sz w:val="18"/>
                <w:szCs w:val="18"/>
                <w:u w:val="none"/>
              </w:rPr>
            </w:pPr>
          </w:p>
        </w:tc>
      </w:tr>
      <w:tr w14:paraId="6D06E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DFC9C7">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0BFB44">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改性乳化沥青黏层（龙杨段）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4240E8">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139474">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66587</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0B10C0">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8A85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A94223">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F0710E">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改性乳化沥青黏层（兴赣段）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6D885D">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FEE63E">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23110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246DC2">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81D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E64695">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309</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E1B8D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热拌沥青混合料面层</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28F797">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126FC4">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DDD7BF">
            <w:pPr>
              <w:jc w:val="right"/>
              <w:rPr>
                <w:rFonts w:hint="eastAsia" w:ascii="smartSimSun" w:hAnsi="smartSimSun" w:eastAsia="smartSimSun" w:cs="smartSimSun"/>
                <w:i w:val="0"/>
                <w:iCs w:val="0"/>
                <w:color w:val="000000"/>
                <w:sz w:val="18"/>
                <w:szCs w:val="18"/>
                <w:u w:val="none"/>
              </w:rPr>
            </w:pPr>
          </w:p>
        </w:tc>
      </w:tr>
      <w:tr w14:paraId="703A3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F693B6">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309-3</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782A80">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粗粒式沥青混凝土</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079DC5">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F7E9A2">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C803D8">
            <w:pPr>
              <w:jc w:val="right"/>
              <w:rPr>
                <w:rFonts w:hint="eastAsia" w:ascii="smartSimSun" w:hAnsi="smartSimSun" w:eastAsia="smartSimSun" w:cs="smartSimSun"/>
                <w:i w:val="0"/>
                <w:iCs w:val="0"/>
                <w:color w:val="000000"/>
                <w:sz w:val="18"/>
                <w:szCs w:val="18"/>
                <w:u w:val="none"/>
              </w:rPr>
            </w:pPr>
          </w:p>
        </w:tc>
      </w:tr>
      <w:tr w14:paraId="082C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60A0BD">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01872E">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AC-25C沥青下面层调平层厚20mm（龙杨段）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ABCB83">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4595A3">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290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85D87F">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428DB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DCA1CE">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698BB8">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AC-25C沥青下面层厚80mm（龙杨段）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19E37D">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5D1994">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1276</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F24347">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6078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F125CA">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309-4</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003676">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就地热再生</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BBA583">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A9DDD6">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96742D">
            <w:pPr>
              <w:jc w:val="right"/>
              <w:rPr>
                <w:rFonts w:hint="eastAsia" w:ascii="smartSimSun" w:hAnsi="smartSimSun" w:eastAsia="smartSimSun" w:cs="smartSimSun"/>
                <w:i w:val="0"/>
                <w:iCs w:val="0"/>
                <w:color w:val="000000"/>
                <w:sz w:val="18"/>
                <w:szCs w:val="18"/>
                <w:u w:val="none"/>
              </w:rPr>
            </w:pPr>
          </w:p>
        </w:tc>
      </w:tr>
      <w:tr w14:paraId="31CF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51FB1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39EF63">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就地热再生AC-13C型凝灰岩混合料上面层厚40mm（兴赣段）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EF3C0F">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569D38">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97112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DBB139">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4BD2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3AE4B7">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5C61BF">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就地热再生AC-13C型凝灰岩混合料上面层厚40mm（暂定工程量）</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578B93">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8C9E2F">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51800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C54203">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7D6C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06A00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310</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EA40BB">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沥青表面处置与封层</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1C0AC8">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365114">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44D2F4">
            <w:pPr>
              <w:jc w:val="right"/>
              <w:rPr>
                <w:rFonts w:hint="eastAsia" w:ascii="smartSimSun" w:hAnsi="smartSimSun" w:eastAsia="smartSimSun" w:cs="smartSimSun"/>
                <w:i w:val="0"/>
                <w:iCs w:val="0"/>
                <w:color w:val="000000"/>
                <w:sz w:val="18"/>
                <w:szCs w:val="18"/>
                <w:u w:val="none"/>
              </w:rPr>
            </w:pPr>
          </w:p>
        </w:tc>
      </w:tr>
      <w:tr w14:paraId="7EE8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5D0082">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310-1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D5AC9C">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沥青表面处置</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842FF1">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35C94E">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603919">
            <w:pPr>
              <w:jc w:val="right"/>
              <w:rPr>
                <w:rFonts w:hint="eastAsia" w:ascii="smartSimSun" w:hAnsi="smartSimSun" w:eastAsia="smartSimSun" w:cs="smartSimSun"/>
                <w:i w:val="0"/>
                <w:iCs w:val="0"/>
                <w:color w:val="000000"/>
                <w:sz w:val="18"/>
                <w:szCs w:val="18"/>
                <w:u w:val="none"/>
              </w:rPr>
            </w:pPr>
          </w:p>
        </w:tc>
      </w:tr>
      <w:tr w14:paraId="28717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BD0A69">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EAF59F">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超粘抗滑层厚5mm（龙杨段）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414A9A">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C8C26A">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329130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F46F06">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2BB8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40E155">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DBBDE8">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超粘抗滑层厚5mm（暂定工程量）</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50F8C2">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0426A5">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45000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9633B6">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E27A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5F5B1B">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7C2C8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改性沥青及改性沥青混合料</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D8D175">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2EE97F">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444BC7">
            <w:pPr>
              <w:jc w:val="right"/>
              <w:rPr>
                <w:rFonts w:hint="eastAsia" w:ascii="smartSimSun" w:hAnsi="smartSimSun" w:eastAsia="smartSimSun" w:cs="smartSimSun"/>
                <w:i w:val="0"/>
                <w:iCs w:val="0"/>
                <w:color w:val="000000"/>
                <w:sz w:val="18"/>
                <w:szCs w:val="18"/>
                <w:u w:val="none"/>
              </w:rPr>
            </w:pPr>
          </w:p>
        </w:tc>
      </w:tr>
      <w:tr w14:paraId="6D363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2BF4A2">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311-1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A09C4F">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细粒式改性沥青混合料路面</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650A22">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3042D2">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FAEC28">
            <w:pPr>
              <w:jc w:val="right"/>
              <w:rPr>
                <w:rFonts w:hint="eastAsia" w:ascii="smartSimSun" w:hAnsi="smartSimSun" w:eastAsia="smartSimSun" w:cs="smartSimSun"/>
                <w:i w:val="0"/>
                <w:iCs w:val="0"/>
                <w:color w:val="000000"/>
                <w:sz w:val="18"/>
                <w:szCs w:val="18"/>
                <w:u w:val="none"/>
              </w:rPr>
            </w:pPr>
          </w:p>
        </w:tc>
      </w:tr>
      <w:tr w14:paraId="07F4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FD98F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C6D292">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AC-13C细粒式SBS改性玄武岩沥青上面层厚40mm</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85F789">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801200">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653F35">
            <w:pPr>
              <w:jc w:val="right"/>
              <w:rPr>
                <w:rFonts w:hint="eastAsia" w:ascii="smartSimSun" w:hAnsi="smartSimSun" w:eastAsia="smartSimSun" w:cs="smartSimSun"/>
                <w:i w:val="0"/>
                <w:iCs w:val="0"/>
                <w:color w:val="000000"/>
                <w:sz w:val="18"/>
                <w:szCs w:val="18"/>
                <w:u w:val="none"/>
              </w:rPr>
            </w:pPr>
          </w:p>
        </w:tc>
      </w:tr>
      <w:tr w14:paraId="5CB6D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8EBC66">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74C122">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AC-13C细粒式SBS改性玄武岩沥青上面层厚40mm（龙杨段）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0A2D39">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52083C">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69137</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BFC744">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0B9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FD2794">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F05E3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AC-13C细粒式SBS改性沥青上面层厚40mm（兴赣段）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D33740">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8FBBF8">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25204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1A4669">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EAB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CAB7CB">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311-2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A034A0">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中粒式改性沥青混合料路面</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CA5932">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25E622">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359B1A">
            <w:pPr>
              <w:jc w:val="right"/>
              <w:rPr>
                <w:rFonts w:hint="eastAsia" w:ascii="smartSimSun" w:hAnsi="smartSimSun" w:eastAsia="smartSimSun" w:cs="smartSimSun"/>
                <w:i w:val="0"/>
                <w:iCs w:val="0"/>
                <w:color w:val="000000"/>
                <w:sz w:val="18"/>
                <w:szCs w:val="18"/>
                <w:u w:val="none"/>
              </w:rPr>
            </w:pPr>
          </w:p>
        </w:tc>
      </w:tr>
      <w:tr w14:paraId="5262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31541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EF8BB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AC-20C中粒式SBS改性沥青中面层厚60mm</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3C4565">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F0296B">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BF8E87">
            <w:pPr>
              <w:jc w:val="right"/>
              <w:rPr>
                <w:rFonts w:hint="eastAsia" w:ascii="smartSimSun" w:hAnsi="smartSimSun" w:eastAsia="smartSimSun" w:cs="smartSimSun"/>
                <w:i w:val="0"/>
                <w:iCs w:val="0"/>
                <w:color w:val="000000"/>
                <w:sz w:val="18"/>
                <w:szCs w:val="18"/>
                <w:u w:val="none"/>
              </w:rPr>
            </w:pPr>
          </w:p>
        </w:tc>
      </w:tr>
      <w:tr w14:paraId="597DB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9F568B">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E64070">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AC-20C中粒式SBS改性沥青中面层厚60mm（龙杨段）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82CD90">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518E56">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63364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C7CAD6">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65E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F1FAE9">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D713BB">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AC-20C中粒式SBS改性沥青中面层厚60mm（兴赣段）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97EABE">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FB2270">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23110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E74575">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52436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CBD8C8">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CA8253">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AC-20C中粒式SBS改性沥青中面层调平层厚20mm</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562D6C">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AE9967">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9E1CB3">
            <w:pPr>
              <w:jc w:val="right"/>
              <w:rPr>
                <w:rFonts w:hint="eastAsia" w:ascii="smartSimSun" w:hAnsi="smartSimSun" w:eastAsia="smartSimSun" w:cs="smartSimSun"/>
                <w:i w:val="0"/>
                <w:iCs w:val="0"/>
                <w:color w:val="000000"/>
                <w:sz w:val="18"/>
                <w:szCs w:val="18"/>
                <w:u w:val="none"/>
              </w:rPr>
            </w:pPr>
          </w:p>
        </w:tc>
      </w:tr>
      <w:tr w14:paraId="6CF9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23BE8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9501A2">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AC-20C中粒式SBS改性沥青中面层调平层厚20mm（龙杨段）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E0338E">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661035">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1573</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15ABD4">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666B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3A283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CB8DA4">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AC-20C中粒式SBS改性沥青中面层调平层厚20mm（兴赣段）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16D2D4">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B963F1">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11520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56C7A0">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28872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9A7F3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69E08E">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AC-20C中粒式SBS改性沥青中面层调平层厚80mm（龙杨段）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01D2B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6306FA">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1947</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F1DB26">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77716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B73278">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315</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2DC767">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玻纤格栅</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E2F4E9">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CFFDA2">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41893F">
            <w:pPr>
              <w:jc w:val="right"/>
              <w:rPr>
                <w:rFonts w:hint="eastAsia" w:ascii="smartSimSun" w:hAnsi="smartSimSun" w:eastAsia="smartSimSun" w:cs="smartSimSun"/>
                <w:i w:val="0"/>
                <w:iCs w:val="0"/>
                <w:color w:val="000000"/>
                <w:sz w:val="18"/>
                <w:szCs w:val="18"/>
                <w:u w:val="none"/>
              </w:rPr>
            </w:pPr>
          </w:p>
        </w:tc>
      </w:tr>
      <w:tr w14:paraId="0338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E7317A">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315-1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C6AD5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玻纤格栅</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0BCA20">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CC6090">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B7E94B">
            <w:pPr>
              <w:jc w:val="right"/>
              <w:rPr>
                <w:rFonts w:hint="eastAsia" w:ascii="smartSimSun" w:hAnsi="smartSimSun" w:eastAsia="smartSimSun" w:cs="smartSimSun"/>
                <w:i w:val="0"/>
                <w:iCs w:val="0"/>
                <w:color w:val="000000"/>
                <w:sz w:val="18"/>
                <w:szCs w:val="18"/>
                <w:u w:val="none"/>
              </w:rPr>
            </w:pPr>
          </w:p>
        </w:tc>
      </w:tr>
      <w:tr w14:paraId="25CD2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801849">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D3705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玻纤格栅（龙杨段）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5110E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72C274">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2698</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D37868">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51DBB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38148D">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1B2621">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玻纤格栅（兴赣段）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E4F862">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942206">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1104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B6864F">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18F69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810B6F">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316</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930492">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抗裂贴</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E00F47">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57CCFB">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879F2E">
            <w:pPr>
              <w:jc w:val="right"/>
              <w:rPr>
                <w:rFonts w:hint="eastAsia" w:ascii="smartSimSun" w:hAnsi="smartSimSun" w:eastAsia="smartSimSun" w:cs="smartSimSun"/>
                <w:i w:val="0"/>
                <w:iCs w:val="0"/>
                <w:color w:val="000000"/>
                <w:sz w:val="18"/>
                <w:szCs w:val="18"/>
                <w:u w:val="none"/>
              </w:rPr>
            </w:pPr>
          </w:p>
        </w:tc>
      </w:tr>
      <w:tr w14:paraId="53DFD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8E5F98">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316-1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E83F92">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32cm抗裂贴（含灌缝）</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05332C">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CBFBCB">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0401B8">
            <w:pPr>
              <w:jc w:val="right"/>
              <w:rPr>
                <w:rFonts w:hint="eastAsia" w:ascii="smartSimSun" w:hAnsi="smartSimSun" w:eastAsia="smartSimSun" w:cs="smartSimSun"/>
                <w:i w:val="0"/>
                <w:iCs w:val="0"/>
                <w:color w:val="000000"/>
                <w:sz w:val="18"/>
                <w:szCs w:val="18"/>
                <w:u w:val="none"/>
              </w:rPr>
            </w:pPr>
          </w:p>
        </w:tc>
      </w:tr>
      <w:tr w14:paraId="7E42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B023E2">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F73013">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32cm抗裂贴（含灌缝）龙杨段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DDC1C5">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E29F00">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3762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02F88E">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377CC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3162E3">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D9189F">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32cm抗裂贴（含灌缝）兴赣段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B950B5">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49EB72">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854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807F38">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9F0A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4D86AA">
            <w:pPr>
              <w:keepNext w:val="0"/>
              <w:keepLines w:val="0"/>
              <w:widowControl/>
              <w:suppressLineNumbers w:val="0"/>
              <w:jc w:val="center"/>
              <w:textAlignment w:val="bottom"/>
              <w:rPr>
                <w:rFonts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605</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7F2CC4">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道路交通标线</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E0EFDF">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CD295D">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03CAEA">
            <w:pPr>
              <w:jc w:val="right"/>
              <w:rPr>
                <w:rFonts w:hint="eastAsia" w:ascii="smartSimSun" w:hAnsi="smartSimSun" w:eastAsia="smartSimSun" w:cs="smartSimSun"/>
                <w:i w:val="0"/>
                <w:iCs w:val="0"/>
                <w:color w:val="000000"/>
                <w:sz w:val="18"/>
                <w:szCs w:val="18"/>
                <w:u w:val="none"/>
              </w:rPr>
            </w:pPr>
          </w:p>
        </w:tc>
      </w:tr>
      <w:tr w14:paraId="2D39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F8E5A8">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605-1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EF06D4">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热熔型涂料路面标线</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387BF0">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AA40B8">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1A5750">
            <w:pPr>
              <w:jc w:val="right"/>
              <w:rPr>
                <w:rFonts w:hint="eastAsia" w:ascii="smartSimSun" w:hAnsi="smartSimSun" w:eastAsia="smartSimSun" w:cs="smartSimSun"/>
                <w:i w:val="0"/>
                <w:iCs w:val="0"/>
                <w:color w:val="000000"/>
                <w:sz w:val="18"/>
                <w:szCs w:val="18"/>
                <w:u w:val="none"/>
              </w:rPr>
            </w:pPr>
          </w:p>
        </w:tc>
      </w:tr>
      <w:tr w14:paraId="40D52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6BD75A">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41AA0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沥青混凝土路面热熔标线</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0F2751">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955055">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E10335">
            <w:pPr>
              <w:jc w:val="right"/>
              <w:rPr>
                <w:rFonts w:hint="eastAsia" w:ascii="smartSimSun" w:hAnsi="smartSimSun" w:eastAsia="smartSimSun" w:cs="smartSimSun"/>
                <w:i w:val="0"/>
                <w:iCs w:val="0"/>
                <w:color w:val="000000"/>
                <w:sz w:val="18"/>
                <w:szCs w:val="18"/>
                <w:u w:val="none"/>
              </w:rPr>
            </w:pPr>
          </w:p>
        </w:tc>
      </w:tr>
      <w:tr w14:paraId="6B64C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1B6BA9">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144036">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热熔标线（龙杨段）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FDEDB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C68071">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6632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4CA926">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5F48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CFE42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D931D8">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热熔标线（兴赣段）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E56F85">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3EE8D6">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7753</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7D9F2C">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6A4A8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5ACA1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E847E4">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减速标线</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F9E8CE">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1A7257">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5024E3">
            <w:pPr>
              <w:jc w:val="right"/>
              <w:rPr>
                <w:rFonts w:hint="eastAsia" w:ascii="smartSimSun" w:hAnsi="smartSimSun" w:eastAsia="smartSimSun" w:cs="smartSimSun"/>
                <w:i w:val="0"/>
                <w:iCs w:val="0"/>
                <w:color w:val="000000"/>
                <w:sz w:val="18"/>
                <w:szCs w:val="18"/>
                <w:u w:val="none"/>
              </w:rPr>
            </w:pPr>
          </w:p>
        </w:tc>
      </w:tr>
      <w:tr w14:paraId="510B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DE809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1A7D0B">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减速标线（龙杨段）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0FF5C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EC0D4B">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2007</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E170B9">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711A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F7E187">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81A2EA">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减速标线（兴赣段）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0DFABB">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617FFA">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128</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41AFB2">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9BB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FF3E5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605-9</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32701E">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铲除原有路面标线（龙杨段）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E164C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E6A5E1">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8964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FAAEFB">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bl>
    <w:p w14:paraId="32F36B52">
      <w:pPr>
        <w:pStyle w:val="4"/>
        <w:keepNext/>
        <w:keepLines/>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sz w:val="28"/>
          <w:szCs w:val="28"/>
          <w:lang w:val="en-US" w:eastAsia="zh-CN"/>
        </w:rPr>
      </w:pPr>
      <w:bookmarkStart w:id="11" w:name="_Toc7258"/>
      <w:bookmarkStart w:id="12" w:name="_Toc18295"/>
      <w:r>
        <w:rPr>
          <w:rFonts w:hint="eastAsia" w:ascii="宋体" w:hAnsi="宋体" w:eastAsia="宋体" w:cs="宋体"/>
          <w:sz w:val="28"/>
          <w:szCs w:val="28"/>
          <w:lang w:val="en-US" w:eastAsia="zh-CN"/>
        </w:rPr>
        <w:t>三、询价内容及要求</w:t>
      </w:r>
      <w:bookmarkEnd w:id="11"/>
      <w:bookmarkEnd w:id="12"/>
    </w:p>
    <w:tbl>
      <w:tblPr>
        <w:tblStyle w:val="23"/>
        <w:tblpPr w:leftFromText="180" w:rightFromText="180" w:vertAnchor="text" w:horzAnchor="page" w:tblpX="1680" w:tblpY="862"/>
        <w:tblOverlap w:val="never"/>
        <w:tblW w:w="8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971"/>
        <w:gridCol w:w="759"/>
        <w:gridCol w:w="708"/>
        <w:gridCol w:w="1428"/>
        <w:gridCol w:w="2575"/>
      </w:tblGrid>
      <w:tr w14:paraId="3E5D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46" w:type="dxa"/>
            <w:vAlign w:val="center"/>
          </w:tcPr>
          <w:p w14:paraId="402F949C">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序号</w:t>
            </w:r>
          </w:p>
        </w:tc>
        <w:tc>
          <w:tcPr>
            <w:tcW w:w="1971" w:type="dxa"/>
            <w:vAlign w:val="center"/>
          </w:tcPr>
          <w:p w14:paraId="30EB588B">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b/>
                <w:bCs/>
                <w:i w:val="0"/>
                <w:iCs w:val="0"/>
                <w:color w:val="000000"/>
                <w:kern w:val="0"/>
                <w:sz w:val="22"/>
                <w:szCs w:val="22"/>
                <w:u w:val="none"/>
                <w:lang w:val="en-US" w:eastAsia="zh-CN" w:bidi="ar"/>
              </w:rPr>
              <w:t>子目名称</w:t>
            </w:r>
          </w:p>
        </w:tc>
        <w:tc>
          <w:tcPr>
            <w:tcW w:w="759" w:type="dxa"/>
            <w:vAlign w:val="center"/>
          </w:tcPr>
          <w:p w14:paraId="4ACBDA39">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单位</w:t>
            </w:r>
          </w:p>
        </w:tc>
        <w:tc>
          <w:tcPr>
            <w:tcW w:w="708" w:type="dxa"/>
            <w:vAlign w:val="center"/>
          </w:tcPr>
          <w:p w14:paraId="06358D89">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数量</w:t>
            </w:r>
          </w:p>
        </w:tc>
        <w:tc>
          <w:tcPr>
            <w:tcW w:w="1428" w:type="dxa"/>
            <w:vAlign w:val="center"/>
          </w:tcPr>
          <w:p w14:paraId="6CCE5C0F">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控制单价（元）</w:t>
            </w:r>
          </w:p>
        </w:tc>
        <w:tc>
          <w:tcPr>
            <w:tcW w:w="2575" w:type="dxa"/>
            <w:vAlign w:val="center"/>
          </w:tcPr>
          <w:p w14:paraId="51967AF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备注</w:t>
            </w:r>
          </w:p>
        </w:tc>
      </w:tr>
      <w:tr w14:paraId="4FAC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46" w:type="dxa"/>
            <w:vAlign w:val="center"/>
          </w:tcPr>
          <w:p w14:paraId="5B4F7C18">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971" w:type="dxa"/>
            <w:vAlign w:val="center"/>
          </w:tcPr>
          <w:p w14:paraId="3FFA84B6">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建筑工程一切险</w:t>
            </w:r>
          </w:p>
        </w:tc>
        <w:tc>
          <w:tcPr>
            <w:tcW w:w="759" w:type="dxa"/>
            <w:vAlign w:val="center"/>
          </w:tcPr>
          <w:p w14:paraId="1D3369AD">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708" w:type="dxa"/>
            <w:vAlign w:val="center"/>
          </w:tcPr>
          <w:p w14:paraId="2B6E340E">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1</w:t>
            </w:r>
          </w:p>
        </w:tc>
        <w:tc>
          <w:tcPr>
            <w:tcW w:w="1428" w:type="dxa"/>
            <w:shd w:val="clear" w:color="auto" w:fill="auto"/>
            <w:vAlign w:val="center"/>
          </w:tcPr>
          <w:p w14:paraId="48DA3F8D">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107367.31</w:t>
            </w:r>
          </w:p>
        </w:tc>
        <w:tc>
          <w:tcPr>
            <w:tcW w:w="2575" w:type="dxa"/>
            <w:vAlign w:val="center"/>
          </w:tcPr>
          <w:p w14:paraId="7210F028">
            <w:pPr>
              <w:keepNext w:val="0"/>
              <w:keepLines w:val="0"/>
              <w:widowControl/>
              <w:suppressLineNumbers w:val="0"/>
              <w:jc w:val="both"/>
              <w:textAlignment w:val="center"/>
              <w:rPr>
                <w:rFonts w:hint="default" w:ascii="宋体" w:hAnsi="宋体" w:eastAsia="宋体" w:cs="宋体"/>
                <w:b w:val="0"/>
                <w:bCs/>
                <w:sz w:val="24"/>
                <w:szCs w:val="24"/>
                <w:vertAlign w:val="baseline"/>
                <w:lang w:val="en-US" w:eastAsia="zh-CN"/>
              </w:rPr>
            </w:pPr>
          </w:p>
        </w:tc>
      </w:tr>
      <w:tr w14:paraId="12F7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vAlign w:val="center"/>
          </w:tcPr>
          <w:p w14:paraId="1A223F70">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971" w:type="dxa"/>
            <w:vAlign w:val="center"/>
          </w:tcPr>
          <w:p w14:paraId="4BF831E5">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第三者责任险</w:t>
            </w:r>
          </w:p>
        </w:tc>
        <w:tc>
          <w:tcPr>
            <w:tcW w:w="759" w:type="dxa"/>
            <w:vAlign w:val="center"/>
          </w:tcPr>
          <w:p w14:paraId="5A26D6F9">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708" w:type="dxa"/>
            <w:vAlign w:val="center"/>
          </w:tcPr>
          <w:p w14:paraId="648C71E3">
            <w:pPr>
              <w:keepNext w:val="0"/>
              <w:keepLines w:val="0"/>
              <w:widowControl/>
              <w:suppressLineNumbers w:val="0"/>
              <w:jc w:val="center"/>
              <w:textAlignment w:val="center"/>
              <w:rPr>
                <w:rFonts w:hint="eastAsia" w:ascii="宋体" w:hAnsi="宋体" w:eastAsia="宋体" w:cs="宋体"/>
                <w:b w:val="0"/>
                <w:bCs/>
                <w:sz w:val="24"/>
                <w:szCs w:val="24"/>
                <w:vertAlign w:val="baseline"/>
              </w:rPr>
            </w:pPr>
            <w:r>
              <w:rPr>
                <w:rFonts w:hint="eastAsia" w:ascii="宋体" w:hAnsi="宋体" w:cs="宋体"/>
                <w:i w:val="0"/>
                <w:iCs w:val="0"/>
                <w:color w:val="000000"/>
                <w:kern w:val="0"/>
                <w:sz w:val="22"/>
                <w:szCs w:val="22"/>
                <w:u w:val="none"/>
                <w:lang w:val="en-US" w:eastAsia="zh-CN" w:bidi="ar"/>
              </w:rPr>
              <w:t>1</w:t>
            </w:r>
          </w:p>
        </w:tc>
        <w:tc>
          <w:tcPr>
            <w:tcW w:w="1428" w:type="dxa"/>
            <w:vAlign w:val="center"/>
          </w:tcPr>
          <w:p w14:paraId="2894944A">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3000.00</w:t>
            </w:r>
          </w:p>
        </w:tc>
        <w:tc>
          <w:tcPr>
            <w:tcW w:w="2575" w:type="dxa"/>
            <w:vAlign w:val="center"/>
          </w:tcPr>
          <w:p w14:paraId="447DAB9A">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第三者责任险的最低投保金额：100万元人民币，事故次数不限（不计免赔额）</w:t>
            </w:r>
          </w:p>
        </w:tc>
      </w:tr>
      <w:tr w14:paraId="2903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46" w:type="dxa"/>
            <w:vAlign w:val="center"/>
          </w:tcPr>
          <w:p w14:paraId="070B7C84">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971" w:type="dxa"/>
            <w:vAlign w:val="center"/>
          </w:tcPr>
          <w:p w14:paraId="0963A466">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安全生产责任险</w:t>
            </w:r>
          </w:p>
        </w:tc>
        <w:tc>
          <w:tcPr>
            <w:tcW w:w="759" w:type="dxa"/>
            <w:vAlign w:val="center"/>
          </w:tcPr>
          <w:p w14:paraId="6E948291">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708" w:type="dxa"/>
            <w:vAlign w:val="center"/>
          </w:tcPr>
          <w:p w14:paraId="3B14627F">
            <w:pPr>
              <w:keepNext w:val="0"/>
              <w:keepLines w:val="0"/>
              <w:widowControl/>
              <w:suppressLineNumbers w:val="0"/>
              <w:jc w:val="center"/>
              <w:textAlignment w:val="center"/>
              <w:rPr>
                <w:rFonts w:hint="eastAsia" w:ascii="宋体" w:hAnsi="宋体" w:eastAsia="宋体" w:cs="宋体"/>
                <w:b w:val="0"/>
                <w:bCs/>
                <w:sz w:val="24"/>
                <w:szCs w:val="24"/>
                <w:vertAlign w:val="baseline"/>
              </w:rPr>
            </w:pPr>
            <w:r>
              <w:rPr>
                <w:rFonts w:hint="eastAsia" w:ascii="宋体" w:hAnsi="宋体" w:cs="宋体"/>
                <w:i w:val="0"/>
                <w:iCs w:val="0"/>
                <w:color w:val="000000"/>
                <w:kern w:val="0"/>
                <w:sz w:val="22"/>
                <w:szCs w:val="22"/>
                <w:u w:val="none"/>
                <w:lang w:val="en-US" w:eastAsia="zh-CN" w:bidi="ar"/>
              </w:rPr>
              <w:t>1</w:t>
            </w:r>
          </w:p>
        </w:tc>
        <w:tc>
          <w:tcPr>
            <w:tcW w:w="1428" w:type="dxa"/>
            <w:shd w:val="clear" w:color="auto" w:fill="auto"/>
            <w:vAlign w:val="center"/>
          </w:tcPr>
          <w:p w14:paraId="128DFF98">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97590</w:t>
            </w:r>
          </w:p>
        </w:tc>
        <w:tc>
          <w:tcPr>
            <w:tcW w:w="2575" w:type="dxa"/>
            <w:vAlign w:val="center"/>
          </w:tcPr>
          <w:p w14:paraId="70C00C2B">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r>
    </w:tbl>
    <w:p w14:paraId="5C78081E">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480" w:firstLineChars="200"/>
        <w:jc w:val="left"/>
        <w:textAlignment w:val="auto"/>
        <w:rPr>
          <w:rFonts w:hint="eastAsia" w:ascii="宋体" w:hAnsi="宋体" w:cs="宋体"/>
          <w:bCs/>
          <w:kern w:val="0"/>
          <w:sz w:val="24"/>
          <w:lang w:val="en-US" w:eastAsia="zh-CN"/>
        </w:rPr>
      </w:pPr>
      <w:r>
        <w:rPr>
          <w:rFonts w:hint="eastAsia" w:ascii="宋体" w:hAnsi="宋体" w:cs="宋体"/>
          <w:bCs/>
          <w:kern w:val="0"/>
          <w:sz w:val="24"/>
          <w:lang w:val="en-US" w:eastAsia="zh-CN"/>
        </w:rPr>
        <w:t>1、询价内容及要求：详见下表</w:t>
      </w:r>
    </w:p>
    <w:p w14:paraId="3EA521B1">
      <w:pPr>
        <w:keepNext w:val="0"/>
        <w:keepLines w:val="0"/>
        <w:widowControl/>
        <w:suppressLineNumbers w:val="0"/>
        <w:jc w:val="center"/>
        <w:rPr>
          <w:rFonts w:hint="default" w:ascii="宋体" w:hAnsi="宋体" w:cs="宋体"/>
          <w:b/>
          <w:bCs w:val="0"/>
          <w:kern w:val="0"/>
          <w:sz w:val="24"/>
          <w:lang w:val="en-US" w:eastAsia="zh-CN"/>
        </w:rPr>
      </w:pPr>
      <w:r>
        <w:rPr>
          <w:rFonts w:hint="eastAsia" w:ascii="宋体" w:hAnsi="宋体" w:cs="宋体"/>
          <w:b/>
          <w:bCs w:val="0"/>
          <w:kern w:val="0"/>
          <w:sz w:val="24"/>
          <w:lang w:val="en-US" w:eastAsia="zh-CN"/>
        </w:rPr>
        <w:t>询价清单</w:t>
      </w:r>
    </w:p>
    <w:p w14:paraId="460B907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Cs/>
          <w:kern w:val="0"/>
          <w:sz w:val="24"/>
          <w:lang w:val="en-US" w:eastAsia="zh-CN"/>
        </w:rPr>
      </w:pPr>
      <w:r>
        <w:rPr>
          <w:rFonts w:hint="eastAsia" w:ascii="宋体" w:hAnsi="宋体" w:cs="宋体"/>
          <w:bCs/>
          <w:kern w:val="0"/>
          <w:sz w:val="24"/>
          <w:lang w:val="en-US" w:eastAsia="zh-CN"/>
        </w:rPr>
        <w:t>2、工程建设地点</w:t>
      </w:r>
      <w:r>
        <w:rPr>
          <w:rFonts w:hint="eastAsia" w:ascii="宋体" w:hAnsi="宋体" w:cs="宋体"/>
          <w:bCs/>
          <w:kern w:val="0"/>
          <w:sz w:val="24"/>
          <w:lang w:eastAsia="zh-CN"/>
        </w:rPr>
        <w:t>：</w:t>
      </w:r>
      <w:r>
        <w:rPr>
          <w:rFonts w:hint="eastAsia" w:ascii="宋体" w:hAnsi="宋体" w:eastAsia="宋体" w:cs="宋体"/>
          <w:color w:val="auto"/>
          <w:kern w:val="2"/>
          <w:sz w:val="24"/>
          <w:szCs w:val="24"/>
          <w:highlight w:val="none"/>
          <w:u w:val="single"/>
          <w:lang w:val="en-US" w:eastAsia="zh-CN"/>
        </w:rPr>
        <w:t>龙杨高速和兴赣高速。</w:t>
      </w:r>
    </w:p>
    <w:p w14:paraId="1DDED1C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bCs/>
          <w:kern w:val="2"/>
          <w:sz w:val="28"/>
          <w:szCs w:val="28"/>
          <w:highlight w:val="yellow"/>
          <w:lang w:val="en-US" w:eastAsia="zh-CN" w:bidi="ar-SA"/>
        </w:rPr>
      </w:pPr>
      <w:r>
        <w:rPr>
          <w:rFonts w:hint="eastAsia" w:ascii="宋体" w:hAnsi="宋体" w:cs="宋体"/>
          <w:bCs/>
          <w:kern w:val="0"/>
          <w:sz w:val="24"/>
          <w:lang w:val="en-US" w:eastAsia="zh-CN"/>
        </w:rPr>
        <w:t>3、</w:t>
      </w:r>
      <w:r>
        <w:rPr>
          <w:rFonts w:hint="default" w:ascii="宋体" w:hAnsi="宋体" w:eastAsia="宋体" w:cs="宋体"/>
          <w:color w:val="auto"/>
          <w:kern w:val="2"/>
          <w:sz w:val="24"/>
          <w:szCs w:val="24"/>
          <w:highlight w:val="none"/>
          <w:lang w:val="en-US" w:eastAsia="zh-CN"/>
        </w:rPr>
        <w:t>保险期限：</w:t>
      </w:r>
      <w:r>
        <w:rPr>
          <w:rFonts w:hint="eastAsia" w:ascii="宋体" w:hAnsi="宋体" w:cs="宋体"/>
          <w:color w:val="auto"/>
          <w:kern w:val="2"/>
          <w:sz w:val="24"/>
          <w:szCs w:val="24"/>
          <w:highlight w:val="none"/>
          <w:lang w:val="en-US" w:eastAsia="zh-CN"/>
        </w:rPr>
        <w:t>建筑工程一切险及第三者责任险</w:t>
      </w:r>
      <w:r>
        <w:rPr>
          <w:rFonts w:hint="eastAsia" w:ascii="宋体" w:hAnsi="宋体" w:eastAsia="宋体" w:cs="宋体"/>
          <w:color w:val="auto"/>
          <w:kern w:val="2"/>
          <w:sz w:val="24"/>
          <w:szCs w:val="24"/>
          <w:highlight w:val="none"/>
          <w:u w:val="single"/>
          <w:lang w:val="en-US" w:eastAsia="zh-CN"/>
        </w:rPr>
        <w:t>工程</w:t>
      </w:r>
      <w:r>
        <w:rPr>
          <w:rFonts w:hint="default" w:ascii="宋体" w:hAnsi="宋体" w:eastAsia="宋体" w:cs="宋体"/>
          <w:color w:val="auto"/>
          <w:kern w:val="2"/>
          <w:sz w:val="24"/>
          <w:szCs w:val="24"/>
          <w:highlight w:val="none"/>
          <w:u w:val="single"/>
          <w:lang w:val="en-US" w:eastAsia="zh-CN"/>
        </w:rPr>
        <w:t>开工</w:t>
      </w:r>
      <w:r>
        <w:rPr>
          <w:rFonts w:hint="eastAsia" w:ascii="宋体" w:hAnsi="宋体" w:eastAsia="宋体" w:cs="宋体"/>
          <w:color w:val="auto"/>
          <w:kern w:val="2"/>
          <w:sz w:val="24"/>
          <w:szCs w:val="24"/>
          <w:highlight w:val="none"/>
          <w:u w:val="single"/>
          <w:lang w:val="en-US" w:eastAsia="zh-CN"/>
        </w:rPr>
        <w:t>之</w:t>
      </w:r>
      <w:r>
        <w:rPr>
          <w:rFonts w:hint="default" w:ascii="宋体" w:hAnsi="宋体" w:eastAsia="宋体" w:cs="宋体"/>
          <w:color w:val="auto"/>
          <w:kern w:val="2"/>
          <w:sz w:val="24"/>
          <w:szCs w:val="24"/>
          <w:highlight w:val="none"/>
          <w:u w:val="single"/>
          <w:lang w:val="en-US" w:eastAsia="zh-CN"/>
        </w:rPr>
        <w:t>日起直至工程签发缺陷责任期终止证书止（即合同工期+缺陷责任期）</w:t>
      </w:r>
      <w:r>
        <w:rPr>
          <w:rFonts w:hint="default" w:ascii="宋体" w:hAnsi="宋体" w:eastAsia="宋体" w:cs="宋体"/>
          <w:color w:val="auto"/>
          <w:kern w:val="2"/>
          <w:sz w:val="24"/>
          <w:szCs w:val="24"/>
          <w:highlight w:val="none"/>
          <w:lang w:val="en-US" w:eastAsia="zh-CN"/>
        </w:rPr>
        <w:t>。</w:t>
      </w:r>
      <w:r>
        <w:rPr>
          <w:rFonts w:hint="eastAsia" w:ascii="宋体" w:hAnsi="宋体" w:eastAsia="宋体" w:cs="宋体"/>
          <w:b w:val="0"/>
          <w:bCs/>
          <w:sz w:val="24"/>
          <w:szCs w:val="24"/>
          <w:highlight w:val="none"/>
          <w:vertAlign w:val="baseline"/>
          <w:lang w:val="en-US" w:eastAsia="zh-CN"/>
        </w:rPr>
        <w:t>安全生产责任险</w:t>
      </w:r>
      <w:r>
        <w:rPr>
          <w:rFonts w:hint="eastAsia" w:ascii="宋体" w:hAnsi="宋体" w:cs="宋体"/>
          <w:b w:val="0"/>
          <w:bCs/>
          <w:sz w:val="24"/>
          <w:szCs w:val="24"/>
          <w:highlight w:val="none"/>
          <w:vertAlign w:val="baseline"/>
          <w:lang w:val="en-US" w:eastAsia="zh-CN"/>
        </w:rPr>
        <w:t>工程开工之日起至工程结束之日（即合同工期110日历天）。</w:t>
      </w:r>
    </w:p>
    <w:p w14:paraId="6F348601">
      <w:pPr>
        <w:pStyle w:val="4"/>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default" w:ascii="宋体" w:hAnsi="宋体" w:eastAsia="宋体" w:cs="宋体"/>
          <w:b w:val="0"/>
          <w:bCs/>
          <w:kern w:val="0"/>
          <w:sz w:val="24"/>
          <w:szCs w:val="24"/>
          <w:lang w:val="en-US" w:eastAsia="zh-CN" w:bidi="ar-SA"/>
        </w:rPr>
      </w:pPr>
      <w:bookmarkStart w:id="13" w:name="_Toc20241"/>
      <w:r>
        <w:rPr>
          <w:rFonts w:hint="eastAsia" w:ascii="宋体" w:hAnsi="宋体" w:eastAsia="宋体" w:cs="宋体"/>
          <w:b w:val="0"/>
          <w:bCs/>
          <w:kern w:val="0"/>
          <w:sz w:val="24"/>
          <w:szCs w:val="24"/>
          <w:highlight w:val="none"/>
          <w:lang w:val="en-US" w:eastAsia="zh-CN" w:bidi="ar-SA"/>
        </w:rPr>
        <w:t>4、具体要求：</w:t>
      </w:r>
      <w:r>
        <w:rPr>
          <w:rFonts w:hint="eastAsia" w:ascii="宋体" w:hAnsi="宋体" w:eastAsia="宋体" w:cs="宋体"/>
          <w:b w:val="0"/>
          <w:bCs/>
          <w:kern w:val="0"/>
          <w:sz w:val="24"/>
          <w:szCs w:val="24"/>
          <w:highlight w:val="none"/>
          <w:u w:val="single"/>
          <w:lang w:val="en-US" w:eastAsia="zh-CN" w:bidi="ar-SA"/>
        </w:rPr>
        <w:t>详见第三章《保险条件</w:t>
      </w:r>
      <w:r>
        <w:rPr>
          <w:rFonts w:hint="eastAsia" w:ascii="宋体" w:hAnsi="宋体" w:eastAsia="宋体" w:cs="宋体"/>
          <w:b w:val="0"/>
          <w:bCs/>
          <w:kern w:val="0"/>
          <w:sz w:val="24"/>
          <w:szCs w:val="24"/>
          <w:u w:val="single"/>
          <w:lang w:val="en-US" w:eastAsia="zh-CN" w:bidi="ar-SA"/>
        </w:rPr>
        <w:t>》</w:t>
      </w:r>
      <w:r>
        <w:rPr>
          <w:rFonts w:hint="eastAsia" w:ascii="宋体" w:hAnsi="宋体" w:eastAsia="宋体" w:cs="宋体"/>
          <w:b w:val="0"/>
          <w:bCs/>
          <w:kern w:val="0"/>
          <w:sz w:val="24"/>
          <w:szCs w:val="24"/>
          <w:lang w:val="en-US" w:eastAsia="zh-CN" w:bidi="ar-SA"/>
        </w:rPr>
        <w:t>。</w:t>
      </w:r>
    </w:p>
    <w:p w14:paraId="2EA3FC87">
      <w:pPr>
        <w:pStyle w:val="4"/>
        <w:keepNext/>
        <w:keepLines/>
        <w:pageBreakBefore w:val="0"/>
        <w:widowControl w:val="0"/>
        <w:kinsoku/>
        <w:wordWrap/>
        <w:overflowPunct/>
        <w:topLinePunct w:val="0"/>
        <w:autoSpaceDE/>
        <w:autoSpaceDN/>
        <w:bidi w:val="0"/>
        <w:adjustRightInd/>
        <w:snapToGrid/>
        <w:spacing w:before="313" w:beforeLines="100" w:after="0" w:line="24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kern w:val="2"/>
          <w:sz w:val="28"/>
          <w:szCs w:val="28"/>
          <w:lang w:val="en-US" w:eastAsia="zh-CN" w:bidi="ar-SA"/>
        </w:rPr>
        <w:t>四、本次询价的控制价上限及要求</w:t>
      </w:r>
      <w:bookmarkEnd w:id="13"/>
    </w:p>
    <w:p w14:paraId="7C173225">
      <w:pPr>
        <w:spacing w:line="480" w:lineRule="exact"/>
        <w:ind w:firstLine="480" w:firstLineChars="200"/>
        <w:rPr>
          <w:rFonts w:ascii="宋体"/>
          <w:bCs/>
          <w:sz w:val="28"/>
          <w:szCs w:val="28"/>
          <w:highlight w:val="none"/>
        </w:rPr>
      </w:pPr>
      <w:r>
        <w:rPr>
          <w:rFonts w:hint="eastAsia" w:ascii="宋体" w:hAnsi="宋体"/>
          <w:bCs/>
          <w:sz w:val="24"/>
          <w:highlight w:val="none"/>
          <w:lang w:val="en-US" w:eastAsia="zh-CN"/>
        </w:rPr>
        <w:t>本项目为固定价，总额为</w:t>
      </w:r>
      <w:r>
        <w:rPr>
          <w:rFonts w:hint="eastAsia" w:ascii="宋体" w:hAnsi="宋体"/>
          <w:b/>
          <w:bCs w:val="0"/>
          <w:sz w:val="24"/>
          <w:highlight w:val="none"/>
          <w:u w:val="single"/>
          <w:lang w:val="en-US" w:eastAsia="zh-CN"/>
        </w:rPr>
        <w:t>207957.31</w:t>
      </w:r>
      <w:r>
        <w:rPr>
          <w:rFonts w:hint="eastAsia" w:ascii="宋体" w:hAnsi="宋体"/>
          <w:b/>
          <w:bCs w:val="0"/>
          <w:sz w:val="24"/>
          <w:highlight w:val="none"/>
          <w:u w:val="single"/>
        </w:rPr>
        <w:t>元</w:t>
      </w:r>
      <w:r>
        <w:rPr>
          <w:rFonts w:hint="eastAsia" w:ascii="宋体" w:hAnsi="宋体"/>
          <w:b/>
          <w:bCs w:val="0"/>
          <w:sz w:val="24"/>
          <w:highlight w:val="none"/>
          <w:u w:val="none"/>
          <w:lang w:eastAsia="zh-CN"/>
        </w:rPr>
        <w:t>，</w:t>
      </w:r>
      <w:r>
        <w:rPr>
          <w:rFonts w:hint="eastAsia" w:ascii="宋体" w:hAnsi="宋体" w:cs="宋体"/>
          <w:b w:val="0"/>
          <w:bCs w:val="0"/>
          <w:color w:val="auto"/>
          <w:sz w:val="24"/>
          <w:szCs w:val="24"/>
          <w:highlight w:val="none"/>
          <w:u w:val="none"/>
          <w:lang w:val="en-US" w:eastAsia="zh-CN"/>
        </w:rPr>
        <w:t>报价人仅需对税率进行完善，不可修改各项报价</w:t>
      </w:r>
      <w:r>
        <w:rPr>
          <w:rFonts w:hint="eastAsia" w:ascii="宋体" w:hAnsi="宋体"/>
          <w:b w:val="0"/>
          <w:bCs w:val="0"/>
          <w:sz w:val="24"/>
          <w:highlight w:val="none"/>
        </w:rPr>
        <w:t>，否则视为不响应询价文件</w:t>
      </w:r>
      <w:r>
        <w:rPr>
          <w:rFonts w:hint="eastAsia" w:ascii="宋体" w:hAnsi="宋体"/>
          <w:bCs/>
          <w:sz w:val="24"/>
          <w:highlight w:val="none"/>
        </w:rPr>
        <w:t>，而被</w:t>
      </w:r>
      <w:r>
        <w:rPr>
          <w:rFonts w:hint="eastAsia" w:ascii="宋体" w:hAnsi="宋体"/>
          <w:bCs/>
          <w:sz w:val="24"/>
          <w:highlight w:val="none"/>
          <w:lang w:eastAsia="zh-CN"/>
        </w:rPr>
        <w:t>询价人</w:t>
      </w:r>
      <w:r>
        <w:rPr>
          <w:rFonts w:hint="eastAsia" w:ascii="宋体" w:hAnsi="宋体"/>
          <w:bCs/>
          <w:sz w:val="24"/>
          <w:highlight w:val="none"/>
        </w:rPr>
        <w:t>拒绝。</w:t>
      </w:r>
    </w:p>
    <w:p w14:paraId="475B07DC">
      <w:pPr>
        <w:spacing w:line="480" w:lineRule="exact"/>
        <w:ind w:firstLine="480" w:firstLineChars="200"/>
        <w:rPr>
          <w:rFonts w:hint="eastAsia" w:ascii="宋体" w:hAnsi="宋体"/>
          <w:bCs/>
          <w:sz w:val="24"/>
        </w:rPr>
      </w:pPr>
      <w:r>
        <w:rPr>
          <w:rFonts w:hint="eastAsia" w:ascii="宋体" w:hAnsi="宋体"/>
          <w:bCs/>
          <w:sz w:val="24"/>
        </w:rPr>
        <w:t>本报价包含实施和完成项目所需的人工、管理、</w:t>
      </w:r>
      <w:r>
        <w:rPr>
          <w:rFonts w:hint="eastAsia" w:ascii="宋体" w:hAnsi="宋体"/>
          <w:bCs/>
          <w:sz w:val="24"/>
          <w:highlight w:val="none"/>
        </w:rPr>
        <w:t>保</w:t>
      </w:r>
      <w:r>
        <w:rPr>
          <w:rFonts w:hint="eastAsia" w:ascii="宋体" w:hAnsi="宋体"/>
          <w:bCs/>
          <w:sz w:val="24"/>
          <w:highlight w:val="none"/>
          <w:lang w:val="en-US" w:eastAsia="zh-CN"/>
        </w:rPr>
        <w:t>费</w:t>
      </w:r>
      <w:r>
        <w:rPr>
          <w:rFonts w:hint="eastAsia" w:ascii="宋体" w:hAnsi="宋体"/>
          <w:bCs/>
          <w:sz w:val="24"/>
          <w:highlight w:val="none"/>
        </w:rPr>
        <w:t>、</w:t>
      </w:r>
      <w:r>
        <w:rPr>
          <w:rFonts w:hint="eastAsia" w:ascii="宋体" w:hAnsi="宋体"/>
          <w:bCs/>
          <w:sz w:val="24"/>
        </w:rPr>
        <w:t>税费、利润等一切费用，</w:t>
      </w:r>
      <w:r>
        <w:rPr>
          <w:rFonts w:hint="eastAsia" w:ascii="宋体" w:hAnsi="宋体"/>
          <w:bCs/>
          <w:sz w:val="24"/>
          <w:lang w:eastAsia="zh-CN"/>
        </w:rPr>
        <w:t>询价人</w:t>
      </w:r>
      <w:r>
        <w:rPr>
          <w:rFonts w:hint="eastAsia" w:ascii="宋体" w:hAnsi="宋体"/>
          <w:bCs/>
          <w:sz w:val="24"/>
        </w:rPr>
        <w:t>不再另行支付其他费用。</w:t>
      </w:r>
    </w:p>
    <w:p w14:paraId="73DA3B0A">
      <w:pPr>
        <w:pStyle w:val="4"/>
        <w:keepNext/>
        <w:keepLines/>
        <w:pageBreakBefore w:val="0"/>
        <w:widowControl w:val="0"/>
        <w:kinsoku/>
        <w:wordWrap/>
        <w:overflowPunct/>
        <w:topLinePunct w:val="0"/>
        <w:autoSpaceDE/>
        <w:autoSpaceDN/>
        <w:bidi w:val="0"/>
        <w:adjustRightInd/>
        <w:snapToGrid/>
        <w:spacing w:before="313" w:beforeLines="100" w:after="0" w:line="360" w:lineRule="auto"/>
        <w:ind w:firstLine="562" w:firstLineChars="200"/>
        <w:textAlignment w:val="auto"/>
        <w:rPr>
          <w:rFonts w:hint="eastAsia" w:ascii="宋体" w:hAnsi="宋体" w:eastAsia="宋体" w:cs="宋体"/>
          <w:sz w:val="28"/>
          <w:szCs w:val="28"/>
          <w:lang w:val="en-US" w:eastAsia="zh-CN"/>
        </w:rPr>
      </w:pPr>
      <w:bookmarkStart w:id="14" w:name="_Toc7651"/>
      <w:r>
        <w:rPr>
          <w:rFonts w:hint="eastAsia" w:ascii="宋体" w:hAnsi="宋体" w:eastAsia="宋体" w:cs="宋体"/>
          <w:sz w:val="28"/>
          <w:szCs w:val="28"/>
          <w:lang w:val="en-US" w:eastAsia="zh-CN"/>
        </w:rPr>
        <w:t>五、询价保证金</w:t>
      </w:r>
      <w:bookmarkEnd w:id="14"/>
    </w:p>
    <w:p w14:paraId="2CB90AA8">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1、该项目询价保证金为人民币</w:t>
      </w:r>
      <w:r>
        <w:rPr>
          <w:rFonts w:hint="eastAsia" w:ascii="宋体" w:hAnsi="宋体" w:eastAsia="宋体" w:cs="宋体"/>
          <w:b/>
          <w:bCs/>
          <w:color w:val="auto"/>
          <w:sz w:val="24"/>
          <w:szCs w:val="24"/>
          <w:highlight w:val="none"/>
          <w:u w:val="single"/>
          <w:lang w:val="en-US" w:eastAsia="zh-CN"/>
        </w:rPr>
        <w:t xml:space="preserve"> 肆仟元整（￥4000元</w:t>
      </w:r>
      <w:r>
        <w:rPr>
          <w:rFonts w:hint="eastAsia" w:ascii="宋体" w:hAnsi="宋体" w:eastAsia="宋体" w:cs="宋体"/>
          <w:b/>
          <w:bCs/>
          <w:color w:val="auto"/>
          <w:sz w:val="24"/>
          <w:szCs w:val="24"/>
          <w:highlight w:val="none"/>
          <w:lang w:val="en-US" w:eastAsia="zh-CN"/>
        </w:rPr>
        <w:t>)。报价单位必须在报价文件的递交截止时间之前将询价保证金以现金或保函形式（</w:t>
      </w:r>
      <w:r>
        <w:rPr>
          <w:rFonts w:hint="eastAsia" w:ascii="宋体" w:hAnsi="宋体" w:eastAsia="宋体" w:cs="宋体"/>
          <w:b/>
          <w:bCs/>
          <w:color w:val="auto"/>
          <w:sz w:val="24"/>
          <w:szCs w:val="24"/>
          <w:highlight w:val="none"/>
          <w:u w:val="single"/>
          <w:lang w:val="en-US" w:eastAsia="zh-CN"/>
        </w:rPr>
        <w:t>现金或保函形式的原件，均应密封完好在一个单独的封套内，并在封套的封口处加盖报价人单位公章</w:t>
      </w:r>
      <w:r>
        <w:rPr>
          <w:rFonts w:hint="eastAsia" w:ascii="宋体" w:hAnsi="宋体" w:eastAsia="宋体" w:cs="宋体"/>
          <w:b/>
          <w:bCs/>
          <w:color w:val="auto"/>
          <w:sz w:val="24"/>
          <w:szCs w:val="24"/>
          <w:highlight w:val="none"/>
          <w:lang w:val="en-US" w:eastAsia="zh-CN"/>
        </w:rPr>
        <w:t>），在递交报价文件时一并递交给询价人，逾期不予受理。</w:t>
      </w:r>
    </w:p>
    <w:p w14:paraId="5F79445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2、询价保证金必须按上述的时限、密封要求递交，否则其询价保证金无效，询价人有权拒绝其报价文件。</w:t>
      </w:r>
    </w:p>
    <w:p w14:paraId="723D088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询价保证金的核验及退还：在评审结束后，现场由询价人核验并收取评审后确定的第一候选人的保证金，其余报价单位的保证金按程序退还，如第一候选人的保证金不满足要求，则报价文件视为无效，取消中选资格，保证金予以退还，再按候选人顺序收取并核验保证金，直至保证金满足要求为止。中选人询价保证金在合同签订后退还，如中选人拒绝签订合同，询价人有权拒绝退还中选单位的询价保证金。</w:t>
      </w:r>
    </w:p>
    <w:p w14:paraId="62813A13">
      <w:pPr>
        <w:spacing w:line="360" w:lineRule="auto"/>
        <w:ind w:firstLine="480" w:firstLineChars="200"/>
        <w:rPr>
          <w:rFonts w:hint="eastAsia"/>
        </w:rPr>
      </w:pPr>
      <w:r>
        <w:rPr>
          <w:rFonts w:hint="eastAsia" w:ascii="宋体" w:hAnsi="宋体" w:eastAsia="宋体" w:cs="宋体"/>
          <w:color w:val="auto"/>
          <w:sz w:val="24"/>
          <w:szCs w:val="24"/>
          <w:highlight w:val="none"/>
          <w:lang w:val="en-US" w:eastAsia="zh-CN"/>
        </w:rPr>
        <w:t>4、若报价人在报价文件的递交截止时间后要求撤回报价文件，询价人有权拒绝退还报价人的询价保证金。</w:t>
      </w:r>
    </w:p>
    <w:p w14:paraId="7F3BC970">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sz w:val="28"/>
          <w:szCs w:val="28"/>
          <w:highlight w:val="none"/>
          <w:lang w:val="en-US" w:eastAsia="zh-CN"/>
        </w:rPr>
      </w:pPr>
      <w:bookmarkStart w:id="15" w:name="_Toc17656"/>
      <w:r>
        <w:rPr>
          <w:rFonts w:hint="eastAsia" w:ascii="宋体" w:hAnsi="宋体" w:eastAsia="宋体" w:cs="宋体"/>
          <w:sz w:val="28"/>
          <w:szCs w:val="28"/>
          <w:highlight w:val="none"/>
          <w:lang w:val="en-US" w:eastAsia="zh-CN"/>
        </w:rPr>
        <w:t>六、费用的支付</w:t>
      </w:r>
      <w:bookmarkEnd w:id="15"/>
    </w:p>
    <w:p w14:paraId="6B522562">
      <w:pPr>
        <w:spacing w:line="420" w:lineRule="exact"/>
        <w:ind w:firstLine="480" w:firstLineChars="200"/>
        <w:outlineLvl w:val="1"/>
        <w:rPr>
          <w:rFonts w:hint="default" w:ascii="宋体" w:hAnsi="宋体" w:eastAsia="宋体" w:cs="宋体"/>
          <w:b w:val="0"/>
          <w:bCs/>
          <w:color w:val="auto"/>
          <w:sz w:val="24"/>
          <w:szCs w:val="24"/>
          <w:highlight w:val="none"/>
          <w:lang w:val="en-US" w:eastAsia="zh-CN"/>
        </w:rPr>
      </w:pPr>
      <w:bookmarkStart w:id="16" w:name="_Toc31691"/>
      <w:bookmarkStart w:id="17" w:name="_Toc25028"/>
      <w:bookmarkStart w:id="18" w:name="_Toc7140"/>
      <w:bookmarkStart w:id="19" w:name="_Toc24331"/>
      <w:r>
        <w:rPr>
          <w:rFonts w:hint="eastAsia" w:ascii="宋体" w:hAnsi="宋体" w:eastAsia="宋体" w:cs="宋体"/>
          <w:b w:val="0"/>
          <w:bCs/>
          <w:color w:val="auto"/>
          <w:sz w:val="24"/>
          <w:szCs w:val="24"/>
          <w:highlight w:val="none"/>
          <w:lang w:val="en-US" w:eastAsia="zh-CN"/>
        </w:rPr>
        <w:t>保险协议签订后30天内，须提供符合要求的发票，经询价人付款流程审批通过后，一次性付款。</w:t>
      </w:r>
      <w:bookmarkEnd w:id="16"/>
      <w:bookmarkEnd w:id="17"/>
    </w:p>
    <w:p w14:paraId="272C9B30">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七、报价人资格要求</w:t>
      </w:r>
      <w:bookmarkEnd w:id="18"/>
      <w:bookmarkEnd w:id="19"/>
    </w:p>
    <w:p w14:paraId="151425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rPr>
        <w:t>1、</w:t>
      </w:r>
      <w:r>
        <w:rPr>
          <w:rFonts w:hint="eastAsia" w:ascii="宋体" w:hAnsi="宋体"/>
          <w:bCs/>
          <w:sz w:val="24"/>
          <w:lang w:val="en-US" w:eastAsia="zh-CN"/>
        </w:rPr>
        <w:t>报价人</w:t>
      </w:r>
      <w:r>
        <w:rPr>
          <w:rFonts w:hint="eastAsia" w:ascii="宋体" w:hAnsi="宋体"/>
          <w:bCs/>
          <w:sz w:val="24"/>
        </w:rPr>
        <w:t>具有独立法人资格</w:t>
      </w:r>
      <w:r>
        <w:rPr>
          <w:rFonts w:hint="eastAsia" w:ascii="宋体" w:hAnsi="宋体"/>
          <w:bCs/>
          <w:sz w:val="24"/>
          <w:lang w:eastAsia="zh-CN"/>
        </w:rPr>
        <w:t>或经独立法人授权的下属</w:t>
      </w:r>
      <w:r>
        <w:rPr>
          <w:rFonts w:hint="eastAsia" w:ascii="宋体" w:hAnsi="宋体"/>
          <w:bCs/>
          <w:sz w:val="24"/>
        </w:rPr>
        <w:t>分（支）机构，持有</w:t>
      </w:r>
      <w:r>
        <w:rPr>
          <w:rFonts w:hint="eastAsia" w:ascii="宋体" w:hAnsi="宋体"/>
          <w:bCs/>
          <w:sz w:val="24"/>
          <w:lang w:val="en-US" w:eastAsia="zh-CN"/>
        </w:rPr>
        <w:t>合法有效</w:t>
      </w:r>
      <w:r>
        <w:rPr>
          <w:rFonts w:hint="eastAsia" w:ascii="宋体" w:hAnsi="宋体"/>
          <w:bCs/>
          <w:sz w:val="24"/>
        </w:rPr>
        <w:t>营业执照；</w:t>
      </w:r>
      <w:r>
        <w:rPr>
          <w:rFonts w:hint="eastAsia" w:ascii="宋体" w:hAnsi="宋体"/>
          <w:bCs/>
          <w:sz w:val="24"/>
          <w:lang w:val="en-US" w:eastAsia="zh-CN"/>
        </w:rPr>
        <w:t>且</w:t>
      </w:r>
      <w:r>
        <w:rPr>
          <w:rFonts w:hint="eastAsia" w:ascii="宋体" w:hAnsi="宋体"/>
          <w:bCs/>
          <w:sz w:val="24"/>
        </w:rPr>
        <w:t>必须是在中华人民共和国境内成立的保险公司，具有中国</w:t>
      </w:r>
      <w:r>
        <w:rPr>
          <w:rFonts w:hint="eastAsia" w:ascii="宋体" w:hAnsi="宋体"/>
          <w:bCs/>
          <w:sz w:val="24"/>
          <w:lang w:eastAsia="zh-CN"/>
        </w:rPr>
        <w:t>银行</w:t>
      </w:r>
      <w:r>
        <w:rPr>
          <w:rFonts w:hint="eastAsia" w:ascii="宋体" w:hAnsi="宋体"/>
          <w:bCs/>
          <w:sz w:val="24"/>
        </w:rPr>
        <w:t>保险监督管理委员会颁发的《保险公司法人许可证》</w:t>
      </w:r>
      <w:r>
        <w:rPr>
          <w:rFonts w:hint="eastAsia" w:ascii="宋体" w:hAnsi="宋体"/>
          <w:bCs/>
          <w:sz w:val="24"/>
          <w:lang w:eastAsia="zh-CN"/>
        </w:rPr>
        <w:t>或《经营保险业务许可证》；</w:t>
      </w:r>
    </w:p>
    <w:p w14:paraId="7E3A2A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lang w:val="en-US" w:eastAsia="zh-CN"/>
        </w:rPr>
        <w:t>2</w:t>
      </w:r>
      <w:r>
        <w:rPr>
          <w:rFonts w:hint="eastAsia" w:ascii="宋体" w:hAnsi="宋体"/>
          <w:bCs/>
          <w:sz w:val="24"/>
        </w:rPr>
        <w:t>、</w:t>
      </w:r>
      <w:r>
        <w:rPr>
          <w:rFonts w:hint="eastAsia" w:ascii="宋体" w:hAnsi="宋体"/>
          <w:bCs/>
          <w:sz w:val="24"/>
          <w:lang w:val="en-US" w:eastAsia="zh-CN"/>
        </w:rPr>
        <w:t>报价人存在第四章报价文件格式3《信誉承诺表》中任一情形的，不得参与本项目询价。</w:t>
      </w:r>
    </w:p>
    <w:p w14:paraId="01EF3A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bCs/>
          <w:sz w:val="24"/>
          <w:lang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w:t>
      </w:r>
      <w:r>
        <w:rPr>
          <w:rFonts w:hint="eastAsia" w:ascii="宋体" w:hAnsi="宋体" w:cs="Times New Roman"/>
          <w:bCs/>
          <w:sz w:val="24"/>
          <w:lang w:eastAsia="zh-CN"/>
        </w:rPr>
        <w:t>与</w:t>
      </w:r>
      <w:r>
        <w:rPr>
          <w:rFonts w:hint="eastAsia" w:ascii="宋体" w:hAnsi="宋体" w:cs="Times New Roman"/>
          <w:bCs/>
          <w:sz w:val="24"/>
          <w:lang w:val="en-US" w:eastAsia="zh-CN"/>
        </w:rPr>
        <w:t>询价人</w:t>
      </w:r>
      <w:r>
        <w:rPr>
          <w:rFonts w:hint="eastAsia" w:ascii="宋体" w:hAnsi="宋体" w:cs="Times New Roman"/>
          <w:bCs/>
          <w:sz w:val="24"/>
          <w:lang w:eastAsia="zh-CN"/>
        </w:rPr>
        <w:t>存在利害关系可能影响</w:t>
      </w:r>
      <w:r>
        <w:rPr>
          <w:rFonts w:hint="eastAsia" w:ascii="宋体" w:hAnsi="宋体" w:cs="Times New Roman"/>
          <w:bCs/>
          <w:sz w:val="24"/>
          <w:lang w:val="en-US" w:eastAsia="zh-CN"/>
        </w:rPr>
        <w:t>询价</w:t>
      </w:r>
      <w:r>
        <w:rPr>
          <w:rFonts w:hint="eastAsia" w:ascii="宋体" w:hAnsi="宋体" w:cs="Times New Roman"/>
          <w:bCs/>
          <w:sz w:val="24"/>
          <w:lang w:eastAsia="zh-CN"/>
        </w:rPr>
        <w:t>公正性的单位，不得参加</w:t>
      </w:r>
      <w:r>
        <w:rPr>
          <w:rFonts w:hint="eastAsia" w:ascii="宋体" w:hAnsi="宋体" w:cs="Times New Roman"/>
          <w:bCs/>
          <w:sz w:val="24"/>
          <w:lang w:val="en-US" w:eastAsia="zh-CN"/>
        </w:rPr>
        <w:t>报价</w:t>
      </w:r>
      <w:r>
        <w:rPr>
          <w:rFonts w:hint="eastAsia" w:ascii="宋体" w:hAnsi="宋体" w:cs="Times New Roman"/>
          <w:bCs/>
          <w:sz w:val="24"/>
          <w:lang w:eastAsia="zh-CN"/>
        </w:rPr>
        <w:t>。单位负责人为同一</w:t>
      </w:r>
      <w:r>
        <w:rPr>
          <w:rFonts w:hint="eastAsia" w:ascii="宋体" w:hAnsi="宋体"/>
          <w:bCs/>
          <w:sz w:val="24"/>
          <w:lang w:eastAsia="zh-CN"/>
        </w:rPr>
        <w:t>人或存在控股、管理关系的不同单位，不得参加同一标段</w:t>
      </w:r>
      <w:r>
        <w:rPr>
          <w:rFonts w:hint="eastAsia" w:ascii="宋体" w:hAnsi="宋体"/>
          <w:bCs/>
          <w:sz w:val="24"/>
          <w:lang w:val="en-US" w:eastAsia="zh-CN"/>
        </w:rPr>
        <w:t>报价</w:t>
      </w:r>
      <w:r>
        <w:rPr>
          <w:rFonts w:hint="eastAsia" w:ascii="宋体" w:hAnsi="宋体"/>
          <w:bCs/>
          <w:sz w:val="24"/>
          <w:lang w:eastAsia="zh-CN"/>
        </w:rPr>
        <w:t>，否则，相关</w:t>
      </w:r>
      <w:r>
        <w:rPr>
          <w:rFonts w:hint="default" w:ascii="宋体" w:hAnsi="宋体"/>
          <w:bCs/>
          <w:sz w:val="24"/>
          <w:lang w:val="en-US" w:eastAsia="zh-CN"/>
        </w:rPr>
        <w:t>报价文件</w:t>
      </w:r>
      <w:r>
        <w:rPr>
          <w:rFonts w:hint="eastAsia" w:ascii="宋体" w:hAnsi="宋体"/>
          <w:bCs/>
          <w:sz w:val="24"/>
          <w:lang w:eastAsia="zh-CN"/>
        </w:rPr>
        <w:t>均无效。</w:t>
      </w:r>
    </w:p>
    <w:p w14:paraId="7A7A1446">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sz w:val="28"/>
          <w:szCs w:val="28"/>
          <w:lang w:val="en-US" w:eastAsia="zh-CN"/>
        </w:rPr>
      </w:pPr>
      <w:bookmarkStart w:id="20" w:name="_Toc9003"/>
      <w:bookmarkStart w:id="21" w:name="_Toc14928"/>
      <w:r>
        <w:rPr>
          <w:rFonts w:hint="eastAsia" w:ascii="宋体" w:hAnsi="宋体" w:eastAsia="宋体" w:cs="宋体"/>
          <w:sz w:val="28"/>
          <w:szCs w:val="28"/>
          <w:lang w:val="en-US" w:eastAsia="zh-CN"/>
        </w:rPr>
        <w:t>八、报价文件组成</w:t>
      </w:r>
      <w:bookmarkEnd w:id="20"/>
      <w:bookmarkEnd w:id="21"/>
    </w:p>
    <w:p w14:paraId="6A3376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rPr>
      </w:pPr>
      <w:r>
        <w:rPr>
          <w:rFonts w:hint="eastAsia" w:ascii="宋体" w:hAnsi="宋体"/>
          <w:bCs/>
          <w:sz w:val="24"/>
        </w:rPr>
        <w:t>请各</w:t>
      </w:r>
      <w:r>
        <w:rPr>
          <w:rFonts w:hint="eastAsia" w:ascii="宋体" w:hAnsi="宋体"/>
          <w:bCs/>
          <w:sz w:val="24"/>
          <w:lang w:eastAsia="zh-CN"/>
        </w:rPr>
        <w:t>报价人</w:t>
      </w:r>
      <w:r>
        <w:rPr>
          <w:rFonts w:hint="eastAsia" w:ascii="宋体" w:hAnsi="宋体"/>
          <w:bCs/>
          <w:sz w:val="24"/>
        </w:rPr>
        <w:t>派专人携带身份证原件</w:t>
      </w:r>
      <w:r>
        <w:rPr>
          <w:rFonts w:hint="eastAsia" w:ascii="宋体" w:hAnsi="宋体"/>
          <w:bCs/>
          <w:sz w:val="24"/>
          <w:lang w:val="en-US" w:eastAsia="zh-CN"/>
        </w:rPr>
        <w:t>或电子身份证</w:t>
      </w:r>
      <w:r>
        <w:rPr>
          <w:rFonts w:hint="eastAsia" w:ascii="宋体" w:hAnsi="宋体"/>
          <w:bCs/>
          <w:sz w:val="24"/>
        </w:rPr>
        <w:t>及报价文件，参加本次活动，报价文件包括：</w:t>
      </w:r>
    </w:p>
    <w:p w14:paraId="2E8CD0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bCs/>
          <w:sz w:val="24"/>
        </w:rPr>
        <w:t>（1）</w:t>
      </w:r>
      <w:r>
        <w:rPr>
          <w:rFonts w:hint="eastAsia" w:ascii="宋体" w:hAnsi="宋体" w:eastAsia="宋体" w:cs="宋体"/>
          <w:color w:val="auto"/>
          <w:sz w:val="24"/>
          <w:szCs w:val="24"/>
          <w:highlight w:val="none"/>
          <w:lang w:val="en-US"/>
        </w:rPr>
        <w:t>授权委托书</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val="en-US"/>
        </w:rPr>
        <w:t>；</w:t>
      </w:r>
    </w:p>
    <w:p w14:paraId="35A34F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bCs/>
          <w:sz w:val="24"/>
        </w:rPr>
      </w:pPr>
      <w:r>
        <w:rPr>
          <w:rFonts w:hint="eastAsia" w:ascii="宋体" w:hAnsi="宋体" w:cs="Times New Roman"/>
          <w:bCs/>
          <w:sz w:val="24"/>
        </w:rPr>
        <w:t>（2）报价函；</w:t>
      </w:r>
    </w:p>
    <w:p w14:paraId="20F7CA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bCs/>
          <w:sz w:val="24"/>
        </w:rPr>
      </w:pPr>
      <w:r>
        <w:rPr>
          <w:rFonts w:hint="eastAsia" w:ascii="宋体" w:hAnsi="宋体" w:cs="Times New Roman"/>
          <w:bCs/>
          <w:sz w:val="24"/>
        </w:rPr>
        <w:t>（</w:t>
      </w:r>
      <w:r>
        <w:rPr>
          <w:rFonts w:hint="eastAsia" w:ascii="宋体" w:hAnsi="宋体" w:cs="Times New Roman"/>
          <w:bCs/>
          <w:sz w:val="24"/>
          <w:lang w:val="en-US" w:eastAsia="zh-CN"/>
        </w:rPr>
        <w:t>3</w:t>
      </w:r>
      <w:r>
        <w:rPr>
          <w:rFonts w:hint="eastAsia" w:ascii="宋体" w:hAnsi="宋体" w:cs="Times New Roman"/>
          <w:bCs/>
          <w:sz w:val="24"/>
        </w:rPr>
        <w:t>）信誉承诺表；</w:t>
      </w:r>
    </w:p>
    <w:p w14:paraId="461FDA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4</w:t>
      </w:r>
      <w:r>
        <w:rPr>
          <w:rFonts w:hint="eastAsia" w:ascii="宋体" w:hAnsi="宋体" w:cs="Times New Roman"/>
          <w:bCs/>
          <w:sz w:val="24"/>
          <w:lang w:eastAsia="zh-CN"/>
        </w:rPr>
        <w:t>）</w:t>
      </w:r>
      <w:r>
        <w:rPr>
          <w:rFonts w:hint="eastAsia" w:ascii="宋体" w:hAnsi="宋体" w:cs="Times New Roman"/>
          <w:bCs/>
          <w:sz w:val="24"/>
          <w:lang w:val="en-US" w:eastAsia="zh-CN"/>
        </w:rPr>
        <w:t>商务文件；</w:t>
      </w:r>
    </w:p>
    <w:p w14:paraId="7A3F2D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bCs/>
          <w:sz w:val="24"/>
          <w:lang w:val="en-US" w:eastAsia="zh-CN"/>
        </w:rPr>
      </w:pPr>
      <w:r>
        <w:rPr>
          <w:rFonts w:hint="eastAsia" w:ascii="宋体" w:hAnsi="宋体" w:cs="Times New Roman"/>
          <w:bCs/>
          <w:sz w:val="24"/>
          <w:lang w:val="en-US" w:eastAsia="zh-CN"/>
        </w:rPr>
        <w:t>（5）技术文件；</w:t>
      </w:r>
    </w:p>
    <w:p w14:paraId="11CC8B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bCs/>
          <w:sz w:val="24"/>
          <w:lang w:val="en-US" w:eastAsia="zh-CN"/>
        </w:rPr>
      </w:pPr>
      <w:r>
        <w:rPr>
          <w:rFonts w:hint="eastAsia" w:ascii="宋体" w:hAnsi="宋体" w:cs="Times New Roman"/>
          <w:bCs/>
          <w:sz w:val="24"/>
          <w:lang w:val="en-US" w:eastAsia="zh-CN"/>
        </w:rPr>
        <w:t>（6）其他资料</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营业执照</w:t>
      </w:r>
      <w:r>
        <w:rPr>
          <w:rFonts w:hint="eastAsia" w:ascii="宋体" w:hAnsi="宋体" w:eastAsia="宋体" w:cs="宋体"/>
          <w:color w:val="auto"/>
          <w:sz w:val="24"/>
          <w:szCs w:val="24"/>
          <w:highlight w:val="none"/>
          <w:lang w:val="en-US" w:eastAsia="zh-CN"/>
        </w:rPr>
        <w:t>、</w:t>
      </w:r>
      <w:r>
        <w:rPr>
          <w:rFonts w:hint="eastAsia" w:ascii="宋体" w:hAnsi="宋体"/>
          <w:bCs/>
          <w:sz w:val="24"/>
        </w:rPr>
        <w:t>保险公司法人许可证</w:t>
      </w:r>
      <w:r>
        <w:rPr>
          <w:rFonts w:hint="eastAsia" w:ascii="宋体" w:hAnsi="宋体"/>
          <w:bCs/>
          <w:sz w:val="24"/>
          <w:lang w:eastAsia="zh-CN"/>
        </w:rPr>
        <w:t>或经营保险业务许可证</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信誉查询结果截图（如有）、询价保证金保函（如有）</w:t>
      </w:r>
      <w:r>
        <w:rPr>
          <w:rFonts w:hint="eastAsia" w:ascii="宋体" w:hAnsi="宋体" w:eastAsia="宋体" w:cs="宋体"/>
          <w:color w:val="auto"/>
          <w:sz w:val="24"/>
          <w:szCs w:val="24"/>
          <w:highlight w:val="none"/>
          <w:lang w:val="en-US" w:eastAsia="zh-CN"/>
        </w:rPr>
        <w:t>等</w:t>
      </w:r>
      <w:r>
        <w:rPr>
          <w:rFonts w:hint="eastAsia" w:ascii="宋体" w:hAnsi="宋体" w:cs="宋体"/>
          <w:color w:val="auto"/>
          <w:sz w:val="24"/>
          <w:szCs w:val="24"/>
          <w:highlight w:val="none"/>
          <w:lang w:val="en-US" w:eastAsia="zh-CN"/>
        </w:rPr>
        <w:t>资料</w:t>
      </w:r>
      <w:r>
        <w:rPr>
          <w:rFonts w:hint="eastAsia" w:ascii="宋体" w:hAnsi="宋体" w:eastAsia="宋体" w:cs="宋体"/>
          <w:color w:val="auto"/>
          <w:sz w:val="24"/>
          <w:szCs w:val="24"/>
          <w:highlight w:val="none"/>
          <w:lang w:val="en-US" w:eastAsia="zh-CN"/>
        </w:rPr>
        <w:t>）</w:t>
      </w:r>
    </w:p>
    <w:p w14:paraId="355A4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以上资料均应逐页加盖单位公章并</w:t>
      </w:r>
      <w:r>
        <w:rPr>
          <w:rFonts w:hint="eastAsia" w:ascii="宋体" w:hAnsi="宋体" w:eastAsia="宋体" w:cs="宋体"/>
          <w:color w:val="auto"/>
          <w:sz w:val="24"/>
          <w:szCs w:val="24"/>
          <w:highlight w:val="none"/>
          <w:lang w:val="en-US" w:eastAsia="zh-CN"/>
        </w:rPr>
        <w:t>装订</w:t>
      </w:r>
      <w:r>
        <w:rPr>
          <w:rFonts w:hint="eastAsia" w:ascii="宋体" w:hAnsi="宋体" w:eastAsia="宋体" w:cs="宋体"/>
          <w:color w:val="auto"/>
          <w:sz w:val="24"/>
          <w:szCs w:val="24"/>
          <w:highlight w:val="none"/>
          <w:lang w:val="en-US"/>
        </w:rPr>
        <w:t>成册，不得活页。询价文件一式</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lang w:val="en-US"/>
        </w:rPr>
        <w:t>份（其中正本一份，副本</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rPr>
        <w:t>份），并标明正副本（正本与副本内容不一致的，以正本为准）</w:t>
      </w:r>
      <w:r>
        <w:rPr>
          <w:rFonts w:hint="eastAsia" w:ascii="宋体" w:hAnsi="宋体" w:eastAsia="宋体" w:cs="宋体"/>
          <w:color w:val="auto"/>
          <w:sz w:val="24"/>
          <w:szCs w:val="24"/>
          <w:highlight w:val="none"/>
          <w:lang w:val="en-US" w:eastAsia="zh-CN"/>
        </w:rPr>
        <w:t>；</w:t>
      </w:r>
    </w:p>
    <w:p w14:paraId="5CC1B574">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sz w:val="28"/>
          <w:szCs w:val="28"/>
          <w:lang w:val="en-US" w:eastAsia="zh-CN"/>
        </w:rPr>
      </w:pPr>
      <w:bookmarkStart w:id="22" w:name="_Toc1254"/>
      <w:bookmarkStart w:id="23" w:name="_Toc10955"/>
      <w:r>
        <w:rPr>
          <w:rFonts w:hint="eastAsia" w:ascii="宋体" w:hAnsi="宋体" w:eastAsia="宋体" w:cs="宋体"/>
          <w:sz w:val="28"/>
          <w:szCs w:val="28"/>
          <w:lang w:val="en-US" w:eastAsia="zh-CN"/>
        </w:rPr>
        <w:t>九、公告媒介、询价文件获取时间及方式</w:t>
      </w:r>
      <w:bookmarkEnd w:id="22"/>
      <w:bookmarkEnd w:id="23"/>
    </w:p>
    <w:p w14:paraId="4CAB3E03">
      <w:pPr>
        <w:spacing w:line="360" w:lineRule="auto"/>
        <w:ind w:firstLine="480" w:firstLineChars="200"/>
        <w:rPr>
          <w:rFonts w:hint="eastAsia" w:ascii="宋体" w:hAnsi="宋体" w:eastAsia="宋体" w:cs="宋体"/>
          <w:color w:val="auto"/>
          <w:sz w:val="24"/>
          <w:szCs w:val="24"/>
          <w:highlight w:val="none"/>
          <w:lang w:val="en-US" w:eastAsia="zh-CN"/>
        </w:rPr>
      </w:pPr>
      <w:bookmarkStart w:id="24" w:name="_Toc32667"/>
      <w:r>
        <w:rPr>
          <w:rFonts w:hint="eastAsia" w:ascii="宋体" w:hAnsi="宋体" w:eastAsia="宋体" w:cs="宋体"/>
          <w:color w:val="auto"/>
          <w:sz w:val="24"/>
          <w:szCs w:val="24"/>
          <w:highlight w:val="none"/>
          <w:lang w:val="en-US" w:eastAsia="zh-CN"/>
        </w:rPr>
        <w:t>有意向的报价人请于报价文件的递交截止时间前，自行在赣州交通控股集团有限公司官方网站（http://www.gzjtkgjt.com/）和江西省招标投标网（http://www.jxtb.org.cn/）查阅询价公告，在赣州交通控股集团有限公司官方网站（http://www.gzjtkgjt.com/）下载询价文件，本项目询价如有补遗，将于报价文件递交截止时间前2天在赣州交通控股集团有限公司官方网站（http://www.gzjtkgjt.com/）发布，报价人应随时关注该网站，及时下载，询价人不再另行通知</w:t>
      </w:r>
      <w:r>
        <w:rPr>
          <w:rFonts w:hint="eastAsia" w:ascii="宋体" w:hAnsi="宋体" w:eastAsia="宋体" w:cs="宋体"/>
          <w:color w:val="auto"/>
          <w:sz w:val="24"/>
          <w:highlight w:val="none"/>
          <w:lang w:val="en-US" w:eastAsia="zh-CN"/>
        </w:rPr>
        <w:t>。</w:t>
      </w:r>
    </w:p>
    <w:p w14:paraId="72FB4D5A">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sz w:val="28"/>
          <w:szCs w:val="28"/>
          <w:lang w:val="en-US" w:eastAsia="zh-CN"/>
        </w:rPr>
      </w:pPr>
      <w:bookmarkStart w:id="25" w:name="_Toc3497"/>
      <w:r>
        <w:rPr>
          <w:rFonts w:hint="eastAsia" w:ascii="宋体" w:hAnsi="宋体" w:eastAsia="宋体" w:cs="宋体"/>
          <w:sz w:val="28"/>
          <w:szCs w:val="28"/>
          <w:lang w:val="en-US" w:eastAsia="zh-CN"/>
        </w:rPr>
        <w:t>十、报价文件的密封和标识</w:t>
      </w:r>
      <w:bookmarkEnd w:id="24"/>
      <w:bookmarkEnd w:id="25"/>
    </w:p>
    <w:p w14:paraId="25CFBB30">
      <w:pPr>
        <w:spacing w:line="420" w:lineRule="exact"/>
        <w:ind w:firstLine="480" w:firstLineChars="200"/>
        <w:rPr>
          <w:rFonts w:hint="eastAsia" w:ascii="宋体" w:hAnsi="宋体" w:eastAsia="宋体" w:cs="宋体"/>
          <w:color w:val="auto"/>
          <w:sz w:val="24"/>
          <w:szCs w:val="24"/>
          <w:highlight w:val="none"/>
          <w:lang w:val="en-US" w:eastAsia="zh-CN"/>
        </w:rPr>
      </w:pPr>
      <w:bookmarkStart w:id="26" w:name="_Toc24815"/>
      <w:r>
        <w:rPr>
          <w:rFonts w:hint="eastAsia" w:ascii="宋体" w:hAnsi="宋体" w:eastAsia="宋体" w:cs="宋体"/>
          <w:color w:val="auto"/>
          <w:sz w:val="24"/>
          <w:szCs w:val="24"/>
          <w:highlight w:val="none"/>
          <w:lang w:val="en-US"/>
        </w:rPr>
        <w:t>报价文件应密封包装。封套的封口处加盖报价人单位章或由报价人的法定代表人或其委托代理人签字</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rPr>
        <w:t>未按要求密封的报价文件，询价</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将予以拒收</w:t>
      </w:r>
      <w:r>
        <w:rPr>
          <w:rFonts w:hint="eastAsia" w:ascii="宋体" w:hAnsi="宋体" w:eastAsia="宋体" w:cs="宋体"/>
          <w:color w:val="auto"/>
          <w:sz w:val="24"/>
          <w:szCs w:val="24"/>
          <w:lang w:eastAsia="zh-CN"/>
        </w:rPr>
        <w:t>。</w:t>
      </w:r>
    </w:p>
    <w:p w14:paraId="4934B449">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sz w:val="28"/>
          <w:szCs w:val="28"/>
          <w:lang w:val="en-US" w:eastAsia="zh-CN"/>
        </w:rPr>
      </w:pPr>
      <w:bookmarkStart w:id="27" w:name="_Toc193"/>
      <w:r>
        <w:rPr>
          <w:rFonts w:hint="eastAsia" w:ascii="宋体" w:hAnsi="宋体" w:eastAsia="宋体" w:cs="宋体"/>
          <w:sz w:val="28"/>
          <w:szCs w:val="28"/>
          <w:lang w:val="en-US" w:eastAsia="zh-CN"/>
        </w:rPr>
        <w:t>十一、报价文件的递交及相关事宜</w:t>
      </w:r>
      <w:bookmarkEnd w:id="26"/>
      <w:bookmarkEnd w:id="27"/>
    </w:p>
    <w:p w14:paraId="4236D3F1">
      <w:pPr>
        <w:spacing w:line="360" w:lineRule="auto"/>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报价文件的递交截止时间：</w:t>
      </w:r>
      <w:r>
        <w:rPr>
          <w:rFonts w:hint="eastAsia" w:ascii="宋体" w:hAnsi="宋体" w:eastAsia="宋体" w:cs="宋体"/>
          <w:color w:val="auto"/>
          <w:sz w:val="24"/>
          <w:szCs w:val="24"/>
          <w:highlight w:val="none"/>
          <w:u w:val="single"/>
          <w:lang w:val="en-US"/>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rPr>
        <w:t>年</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val="en-US"/>
        </w:rPr>
        <w:t>月</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val="en-US"/>
        </w:rPr>
        <w:t>日</w:t>
      </w:r>
      <w:r>
        <w:rPr>
          <w:rFonts w:hint="eastAsia" w:ascii="宋体" w:hAnsi="宋体" w:cs="宋体"/>
          <w:color w:val="auto"/>
          <w:sz w:val="24"/>
          <w:szCs w:val="24"/>
          <w:highlight w:val="none"/>
          <w:u w:val="single"/>
          <w:lang w:val="en-US" w:eastAsia="zh-CN"/>
        </w:rPr>
        <w:t>上午10:00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rPr>
        <w:t>，递交地址</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赣州市赣县区南塘收费站出口左侧</w:t>
      </w:r>
      <w:r>
        <w:rPr>
          <w:rFonts w:hint="eastAsia" w:ascii="宋体" w:hAnsi="宋体" w:eastAsia="宋体" w:cs="宋体"/>
          <w:color w:val="auto"/>
          <w:sz w:val="24"/>
          <w:szCs w:val="24"/>
          <w:highlight w:val="none"/>
          <w:u w:val="single"/>
        </w:rPr>
        <w:t>江西联兴公路工程有限公司</w:t>
      </w:r>
      <w:r>
        <w:rPr>
          <w:rFonts w:hint="eastAsia" w:ascii="宋体" w:hAnsi="宋体" w:eastAsia="宋体" w:cs="宋体"/>
          <w:color w:val="auto"/>
          <w:sz w:val="24"/>
          <w:szCs w:val="24"/>
          <w:highlight w:val="none"/>
          <w:u w:val="single"/>
          <w:lang w:eastAsia="zh-CN"/>
        </w:rPr>
        <w:t>综合会议室（</w:t>
      </w:r>
      <w:r>
        <w:rPr>
          <w:rFonts w:hint="eastAsia" w:ascii="宋体" w:hAnsi="宋体" w:cs="宋体"/>
          <w:color w:val="auto"/>
          <w:sz w:val="24"/>
          <w:szCs w:val="24"/>
          <w:highlight w:val="none"/>
          <w:u w:val="single"/>
          <w:lang w:val="en-US" w:eastAsia="zh-CN"/>
        </w:rPr>
        <w:t>开标室</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询价人将</w:t>
      </w:r>
      <w:r>
        <w:rPr>
          <w:rFonts w:hint="eastAsia" w:ascii="宋体" w:hAnsi="宋体" w:eastAsia="宋体" w:cs="宋体"/>
          <w:color w:val="auto"/>
          <w:sz w:val="24"/>
          <w:szCs w:val="24"/>
          <w:highlight w:val="none"/>
          <w:lang w:val="en-US"/>
        </w:rPr>
        <w:t>拒绝接受在递交截止时间后送达的报价</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val="en-US"/>
        </w:rPr>
        <w:t>。</w:t>
      </w:r>
    </w:p>
    <w:p w14:paraId="1AC2AEFE">
      <w:pPr>
        <w:spacing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请各报价人</w:t>
      </w:r>
      <w:r>
        <w:rPr>
          <w:rFonts w:hint="eastAsia" w:ascii="宋体" w:hAnsi="宋体" w:eastAsia="宋体" w:cs="宋体"/>
          <w:b/>
          <w:bCs/>
          <w:color w:val="auto"/>
          <w:sz w:val="24"/>
          <w:szCs w:val="24"/>
          <w:highlight w:val="none"/>
          <w:lang w:val="en-US" w:eastAsia="zh-CN"/>
        </w:rPr>
        <w:t>委派授权代理人</w:t>
      </w:r>
      <w:r>
        <w:rPr>
          <w:rFonts w:hint="eastAsia" w:ascii="宋体" w:hAnsi="宋体" w:eastAsia="宋体" w:cs="宋体"/>
          <w:b/>
          <w:bCs/>
          <w:color w:val="auto"/>
          <w:sz w:val="24"/>
          <w:szCs w:val="24"/>
          <w:highlight w:val="none"/>
        </w:rPr>
        <w:t>携带</w:t>
      </w:r>
      <w:r>
        <w:rPr>
          <w:rFonts w:hint="eastAsia" w:ascii="宋体" w:hAnsi="宋体" w:eastAsia="宋体" w:cs="宋体"/>
          <w:b/>
          <w:bCs/>
          <w:color w:val="auto"/>
          <w:sz w:val="24"/>
          <w:szCs w:val="24"/>
          <w:highlight w:val="none"/>
          <w:u w:val="single"/>
        </w:rPr>
        <w:t>身份证原件</w:t>
      </w:r>
      <w:r>
        <w:rPr>
          <w:rFonts w:hint="eastAsia" w:ascii="宋体" w:hAnsi="宋体" w:eastAsia="宋体" w:cs="宋体"/>
          <w:b/>
          <w:bCs/>
          <w:color w:val="auto"/>
          <w:sz w:val="24"/>
          <w:szCs w:val="24"/>
          <w:highlight w:val="none"/>
        </w:rPr>
        <w:t>及</w:t>
      </w:r>
      <w:r>
        <w:rPr>
          <w:rFonts w:hint="eastAsia" w:ascii="宋体" w:hAnsi="宋体" w:eastAsia="宋体" w:cs="宋体"/>
          <w:b/>
          <w:bCs/>
          <w:color w:val="auto"/>
          <w:sz w:val="24"/>
          <w:szCs w:val="24"/>
          <w:highlight w:val="none"/>
          <w:u w:val="single"/>
        </w:rPr>
        <w:t>授权书原件</w:t>
      </w:r>
      <w:r>
        <w:rPr>
          <w:rFonts w:hint="eastAsia" w:ascii="宋体" w:hAnsi="宋体" w:eastAsia="宋体" w:cs="宋体"/>
          <w:b/>
          <w:bCs/>
          <w:color w:val="auto"/>
          <w:sz w:val="24"/>
          <w:szCs w:val="24"/>
          <w:highlight w:val="none"/>
          <w:lang w:eastAsia="zh-CN"/>
        </w:rPr>
        <w:t>（若是单位负责人或法定代表人参加询价只需携带身份证原件及相关证明资料复印件并加盖单位公章），</w:t>
      </w:r>
      <w:r>
        <w:rPr>
          <w:rFonts w:hint="eastAsia" w:ascii="宋体" w:hAnsi="宋体" w:eastAsia="宋体" w:cs="宋体"/>
          <w:b/>
          <w:bCs/>
          <w:color w:val="auto"/>
          <w:sz w:val="24"/>
          <w:szCs w:val="24"/>
          <w:highlight w:val="none"/>
          <w:lang w:val="en-US" w:eastAsia="zh-CN"/>
        </w:rPr>
        <w:t>递交</w:t>
      </w:r>
      <w:r>
        <w:rPr>
          <w:rFonts w:hint="eastAsia" w:ascii="宋体" w:hAnsi="宋体" w:eastAsia="宋体" w:cs="宋体"/>
          <w:b/>
          <w:bCs/>
          <w:color w:val="auto"/>
          <w:sz w:val="24"/>
          <w:szCs w:val="24"/>
          <w:highlight w:val="none"/>
        </w:rPr>
        <w:t>报价文件</w:t>
      </w:r>
      <w:r>
        <w:rPr>
          <w:rFonts w:hint="eastAsia" w:ascii="宋体" w:hAnsi="宋体" w:eastAsia="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rPr>
        <w:t>参加本次询价活动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询价人将对各报价人法人代表或委派的授权代理人进行现场身份核查，如报价人递交报价文件时未能提供上述资料，</w:t>
      </w:r>
      <w:r>
        <w:rPr>
          <w:rFonts w:hint="eastAsia" w:ascii="宋体" w:hAnsi="宋体" w:eastAsia="宋体" w:cs="宋体"/>
          <w:b/>
          <w:bCs/>
          <w:color w:val="auto"/>
          <w:sz w:val="24"/>
          <w:szCs w:val="24"/>
          <w:highlight w:val="none"/>
          <w:lang w:eastAsia="zh-CN"/>
        </w:rPr>
        <w:t>询价</w:t>
      </w:r>
      <w:r>
        <w:rPr>
          <w:rFonts w:hint="eastAsia" w:ascii="宋体" w:hAnsi="宋体" w:eastAsia="宋体" w:cs="宋体"/>
          <w:b/>
          <w:bCs/>
          <w:color w:val="auto"/>
          <w:sz w:val="24"/>
          <w:szCs w:val="24"/>
          <w:highlight w:val="none"/>
        </w:rPr>
        <w:t>人将</w:t>
      </w:r>
      <w:r>
        <w:rPr>
          <w:rFonts w:hint="eastAsia" w:ascii="宋体" w:hAnsi="宋体" w:eastAsia="宋体" w:cs="宋体"/>
          <w:b/>
          <w:bCs/>
          <w:color w:val="auto"/>
          <w:sz w:val="24"/>
          <w:szCs w:val="24"/>
          <w:highlight w:val="none"/>
          <w:lang w:val="en-US" w:eastAsia="zh-CN"/>
        </w:rPr>
        <w:t>对其报价文件予以拒收</w:t>
      </w:r>
      <w:r>
        <w:rPr>
          <w:rFonts w:hint="eastAsia" w:ascii="宋体" w:hAnsi="宋体"/>
          <w:b/>
          <w:bCs/>
          <w:color w:val="auto"/>
          <w:sz w:val="24"/>
          <w:highlight w:val="none"/>
          <w:lang w:eastAsia="zh-CN"/>
        </w:rPr>
        <w:t>。</w:t>
      </w:r>
    </w:p>
    <w:p w14:paraId="462DF5DA">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sz w:val="28"/>
          <w:szCs w:val="28"/>
          <w:lang w:val="en-US" w:eastAsia="zh-CN"/>
        </w:rPr>
      </w:pPr>
      <w:bookmarkStart w:id="28" w:name="_Toc27269"/>
      <w:r>
        <w:rPr>
          <w:rFonts w:hint="eastAsia" w:ascii="宋体" w:hAnsi="宋体" w:eastAsia="宋体" w:cs="宋体"/>
          <w:sz w:val="28"/>
          <w:szCs w:val="28"/>
          <w:lang w:val="en-US" w:eastAsia="zh-CN"/>
        </w:rPr>
        <w:t>十二、报价文件的开启程序</w:t>
      </w:r>
      <w:bookmarkEnd w:id="28"/>
    </w:p>
    <w:p w14:paraId="763D6FA2">
      <w:pPr>
        <w:spacing w:line="360" w:lineRule="auto"/>
        <w:ind w:firstLine="480" w:firstLineChars="200"/>
        <w:outlineLvl w:val="1"/>
        <w:rPr>
          <w:rFonts w:hint="eastAsia" w:ascii="宋体" w:hAnsi="宋体" w:eastAsia="宋体" w:cs="宋体"/>
          <w:color w:val="auto"/>
          <w:sz w:val="24"/>
          <w:szCs w:val="24"/>
          <w:highlight w:val="none"/>
          <w:lang w:val="en-US"/>
        </w:rPr>
      </w:pPr>
      <w:bookmarkStart w:id="29" w:name="_Toc8030"/>
      <w:r>
        <w:rPr>
          <w:rFonts w:hint="eastAsia" w:ascii="宋体" w:hAnsi="宋体" w:eastAsia="宋体" w:cs="宋体"/>
          <w:color w:val="auto"/>
          <w:sz w:val="24"/>
          <w:szCs w:val="24"/>
          <w:highlight w:val="none"/>
          <w:lang w:val="en-US"/>
        </w:rPr>
        <w:t>1、公布在截止时间前递交报价文件的</w:t>
      </w:r>
      <w:r>
        <w:rPr>
          <w:rFonts w:hint="eastAsia" w:ascii="宋体" w:hAnsi="宋体" w:eastAsia="宋体" w:cs="宋体"/>
          <w:color w:val="auto"/>
          <w:sz w:val="24"/>
          <w:szCs w:val="24"/>
          <w:highlight w:val="none"/>
          <w:lang w:val="en-US" w:eastAsia="zh-CN"/>
        </w:rPr>
        <w:t>报价人</w:t>
      </w:r>
      <w:r>
        <w:rPr>
          <w:rFonts w:hint="eastAsia" w:ascii="宋体" w:hAnsi="宋体" w:eastAsia="宋体" w:cs="宋体"/>
          <w:color w:val="auto"/>
          <w:sz w:val="24"/>
          <w:szCs w:val="24"/>
          <w:highlight w:val="none"/>
          <w:lang w:val="en-US"/>
        </w:rPr>
        <w:t>数量；</w:t>
      </w:r>
    </w:p>
    <w:p w14:paraId="548EB036">
      <w:pPr>
        <w:spacing w:line="360" w:lineRule="auto"/>
        <w:ind w:firstLine="480" w:firstLineChars="200"/>
        <w:outlineLvl w:val="1"/>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val="en-US" w:eastAsia="zh-CN"/>
        </w:rPr>
        <w:t>报价人代表现场检查报价文件密封情况，未按要求密封的报价文件，询价人将予以拒收；</w:t>
      </w:r>
    </w:p>
    <w:p w14:paraId="7C54FD2C">
      <w:pPr>
        <w:spacing w:line="360" w:lineRule="auto"/>
        <w:ind w:firstLine="480" w:firstLineChars="200"/>
        <w:outlineLvl w:val="1"/>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3、开启报价文件，公布</w:t>
      </w:r>
      <w:r>
        <w:rPr>
          <w:rFonts w:hint="eastAsia" w:ascii="宋体" w:hAnsi="宋体" w:eastAsia="宋体" w:cs="宋体"/>
          <w:color w:val="auto"/>
          <w:sz w:val="24"/>
          <w:szCs w:val="24"/>
          <w:highlight w:val="none"/>
          <w:lang w:val="en-US" w:eastAsia="zh-CN"/>
        </w:rPr>
        <w:t>报价人</w:t>
      </w:r>
      <w:r>
        <w:rPr>
          <w:rFonts w:hint="eastAsia" w:ascii="宋体" w:hAnsi="宋体" w:eastAsia="宋体" w:cs="宋体"/>
          <w:color w:val="auto"/>
          <w:sz w:val="24"/>
          <w:szCs w:val="24"/>
          <w:highlight w:val="none"/>
          <w:lang w:val="en-US"/>
        </w:rPr>
        <w:t>名称、报价等，结束后</w:t>
      </w:r>
      <w:r>
        <w:rPr>
          <w:rFonts w:hint="eastAsia" w:ascii="宋体" w:hAnsi="宋体" w:eastAsia="宋体" w:cs="宋体"/>
          <w:color w:val="auto"/>
          <w:sz w:val="24"/>
          <w:szCs w:val="24"/>
          <w:highlight w:val="none"/>
          <w:lang w:val="en-US" w:eastAsia="zh-CN"/>
        </w:rPr>
        <w:t>由报价人</w:t>
      </w:r>
      <w:r>
        <w:rPr>
          <w:rFonts w:hint="eastAsia" w:ascii="宋体" w:hAnsi="宋体" w:eastAsia="宋体" w:cs="宋体"/>
          <w:color w:val="auto"/>
          <w:sz w:val="24"/>
          <w:szCs w:val="24"/>
          <w:highlight w:val="none"/>
          <w:lang w:val="en-US"/>
        </w:rPr>
        <w:t>及</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lang w:val="en-US"/>
        </w:rPr>
        <w:t>小组签字确认。</w:t>
      </w:r>
    </w:p>
    <w:p w14:paraId="13712A92">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十三、公示</w:t>
      </w:r>
      <w:bookmarkEnd w:id="29"/>
    </w:p>
    <w:p w14:paraId="4493BDB8">
      <w:pPr>
        <w:spacing w:line="360" w:lineRule="auto"/>
        <w:ind w:firstLine="480" w:firstLineChars="200"/>
        <w:outlineLvl w:val="1"/>
        <w:rPr>
          <w:rFonts w:hint="eastAsia" w:ascii="宋体" w:hAnsi="宋体" w:eastAsia="宋体" w:cs="宋体"/>
          <w:color w:val="auto"/>
          <w:sz w:val="24"/>
          <w:szCs w:val="24"/>
          <w:highlight w:val="none"/>
          <w:lang w:val="en-US" w:eastAsia="zh-CN"/>
        </w:rPr>
      </w:pPr>
      <w:bookmarkStart w:id="30" w:name="_Toc27711"/>
      <w:bookmarkStart w:id="31" w:name="_Toc18896"/>
      <w:r>
        <w:rPr>
          <w:rFonts w:hint="eastAsia" w:ascii="宋体" w:hAnsi="宋体" w:eastAsia="宋体" w:cs="宋体"/>
          <w:color w:val="auto"/>
          <w:sz w:val="24"/>
          <w:szCs w:val="24"/>
          <w:highlight w:val="none"/>
          <w:lang w:val="en-US"/>
        </w:rPr>
        <w:t>询价结束后3日内，在江西省招标投标网（http://www.jxtb.org.cn）和赣州交通控股集团有限公司网站（http://www.gzjtkgjt.com）上对候选人进行公示，公示期3天</w:t>
      </w:r>
      <w:r>
        <w:rPr>
          <w:rFonts w:hint="eastAsia" w:ascii="宋体" w:hAnsi="宋体" w:eastAsia="宋体" w:cs="宋体"/>
          <w:color w:val="auto"/>
          <w:sz w:val="24"/>
          <w:szCs w:val="24"/>
          <w:highlight w:val="none"/>
          <w:lang w:val="en-US" w:eastAsia="zh-CN"/>
        </w:rPr>
        <w:t>。</w:t>
      </w:r>
      <w:bookmarkEnd w:id="30"/>
      <w:bookmarkEnd w:id="31"/>
    </w:p>
    <w:p w14:paraId="2543D1D8">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sz w:val="28"/>
          <w:szCs w:val="28"/>
          <w:lang w:val="en-US" w:eastAsia="zh-CN"/>
        </w:rPr>
      </w:pPr>
      <w:bookmarkStart w:id="32" w:name="_Toc25965"/>
      <w:r>
        <w:rPr>
          <w:rFonts w:hint="eastAsia" w:ascii="宋体" w:hAnsi="宋体" w:eastAsia="宋体" w:cs="宋体"/>
          <w:sz w:val="28"/>
          <w:szCs w:val="28"/>
          <w:lang w:val="en-US" w:eastAsia="zh-CN"/>
        </w:rPr>
        <w:t>十四、地址及联系方式</w:t>
      </w:r>
      <w:bookmarkEnd w:id="32"/>
    </w:p>
    <w:p w14:paraId="49A261D0">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询价人名称：江西联兴公路工程有限公司</w:t>
      </w:r>
    </w:p>
    <w:p w14:paraId="7EBD6EC4">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询价人地址：赣州市赣县区南塘收费站出口左侧（江西联兴公路工程有限公司）</w:t>
      </w:r>
    </w:p>
    <w:p w14:paraId="763D90C9">
      <w:pPr>
        <w:widowControl w:val="0"/>
        <w:adjustRightInd/>
        <w:snapToGrid/>
        <w:spacing w:after="0" w:line="360" w:lineRule="auto"/>
        <w:ind w:firstLine="480" w:firstLineChars="200"/>
        <w:jc w:val="both"/>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联系人：赖先生、贺先生</w:t>
      </w:r>
    </w:p>
    <w:p w14:paraId="1F6ADA4F">
      <w:pPr>
        <w:widowControl w:val="0"/>
        <w:adjustRightInd/>
        <w:snapToGrid/>
        <w:spacing w:after="0" w:line="360" w:lineRule="auto"/>
        <w:ind w:firstLine="480" w:firstLineChars="200"/>
        <w:jc w:val="both"/>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    话：0797-4448255</w:t>
      </w:r>
    </w:p>
    <w:p w14:paraId="08DC8EC1">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sz w:val="28"/>
          <w:szCs w:val="28"/>
          <w:lang w:val="en-US" w:eastAsia="zh-CN"/>
        </w:rPr>
      </w:pPr>
      <w:bookmarkStart w:id="33" w:name="_Toc23518"/>
      <w:r>
        <w:rPr>
          <w:rFonts w:hint="eastAsia" w:ascii="宋体" w:hAnsi="宋体" w:eastAsia="宋体" w:cs="宋体"/>
          <w:sz w:val="28"/>
          <w:szCs w:val="28"/>
          <w:lang w:val="en-US" w:eastAsia="zh-CN"/>
        </w:rPr>
        <w:t>十五、监督部门及联系方式</w:t>
      </w:r>
      <w:bookmarkEnd w:id="33"/>
    </w:p>
    <w:p w14:paraId="25D8B653">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监督部门：江西联兴公路工程有限公司综合事务部（风控法务部）</w:t>
      </w:r>
    </w:p>
    <w:p w14:paraId="4E6C6956">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地    址：赣州市赣县区南塘收费站出口左侧（江西联兴公路工程有限公司）</w:t>
      </w:r>
    </w:p>
    <w:p w14:paraId="6224DB40">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    话：0797-4448249</w:t>
      </w:r>
    </w:p>
    <w:p w14:paraId="0D20795A">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邮政编码：341000</w:t>
      </w:r>
    </w:p>
    <w:p w14:paraId="4814A603">
      <w:pPr>
        <w:spacing w:line="420" w:lineRule="exact"/>
        <w:ind w:firstLine="480" w:firstLineChars="200"/>
        <w:rPr>
          <w:rFonts w:hint="eastAsia" w:ascii="宋体" w:hAnsi="宋体" w:eastAsia="宋体" w:cs="宋体"/>
          <w:color w:val="auto"/>
          <w:sz w:val="24"/>
          <w:szCs w:val="24"/>
          <w:highlight w:val="none"/>
          <w:lang w:val="en-US" w:eastAsia="zh-CN"/>
        </w:rPr>
      </w:pPr>
    </w:p>
    <w:p w14:paraId="5A945180">
      <w:pPr>
        <w:spacing w:line="420" w:lineRule="exact"/>
        <w:ind w:firstLine="4536" w:firstLineChars="1890"/>
        <w:jc w:val="center"/>
        <w:rPr>
          <w:rFonts w:ascii="宋体" w:hAnsi="宋体"/>
          <w:bCs/>
          <w:sz w:val="24"/>
        </w:rPr>
      </w:pPr>
      <w:r>
        <w:rPr>
          <w:rFonts w:hint="eastAsia" w:ascii="宋体" w:hAnsi="宋体"/>
          <w:bCs/>
          <w:sz w:val="24"/>
          <w:lang w:val="en-US" w:eastAsia="zh-CN"/>
        </w:rPr>
        <w:t>江</w:t>
      </w:r>
      <w:r>
        <w:rPr>
          <w:rFonts w:hint="eastAsia" w:ascii="宋体" w:hAnsi="宋体"/>
          <w:bCs/>
          <w:sz w:val="24"/>
        </w:rPr>
        <w:t>西联兴公路工程有限公司</w:t>
      </w:r>
    </w:p>
    <w:p w14:paraId="53435A29">
      <w:pPr>
        <w:spacing w:line="420" w:lineRule="exact"/>
        <w:ind w:firstLine="5280" w:firstLineChars="2200"/>
      </w:pPr>
      <w:bookmarkStart w:id="34" w:name="_Toc23358"/>
      <w:bookmarkStart w:id="35" w:name="_Toc68"/>
      <w:bookmarkStart w:id="36" w:name="_Toc18652"/>
      <w:r>
        <w:rPr>
          <w:rFonts w:hint="eastAsia" w:ascii="宋体" w:hAnsi="宋体"/>
          <w:bCs/>
          <w:sz w:val="24"/>
          <w:lang w:val="en-US" w:eastAsia="zh-CN"/>
        </w:rPr>
        <w:t>2</w:t>
      </w:r>
      <w:r>
        <w:rPr>
          <w:rFonts w:hint="eastAsia" w:ascii="宋体" w:hAnsi="宋体"/>
          <w:bCs/>
          <w:sz w:val="24"/>
        </w:rPr>
        <w:t>02</w:t>
      </w:r>
      <w:r>
        <w:rPr>
          <w:rFonts w:hint="eastAsia" w:ascii="宋体" w:hAnsi="宋体"/>
          <w:bCs/>
          <w:sz w:val="24"/>
          <w:lang w:val="en-US" w:eastAsia="zh-CN"/>
        </w:rPr>
        <w:t>5</w:t>
      </w:r>
      <w:r>
        <w:rPr>
          <w:rFonts w:hint="eastAsia" w:ascii="宋体" w:hAnsi="宋体"/>
          <w:bCs/>
          <w:sz w:val="24"/>
        </w:rPr>
        <w:t>年</w:t>
      </w:r>
      <w:r>
        <w:rPr>
          <w:rFonts w:hint="eastAsia" w:ascii="宋体" w:hAnsi="宋体"/>
          <w:bCs/>
          <w:sz w:val="24"/>
          <w:lang w:val="en-US" w:eastAsia="zh-CN"/>
        </w:rPr>
        <w:t>6</w:t>
      </w:r>
      <w:r>
        <w:rPr>
          <w:rFonts w:hint="eastAsia" w:ascii="宋体" w:hAnsi="宋体"/>
          <w:bCs/>
          <w:sz w:val="24"/>
        </w:rPr>
        <w:t>月</w:t>
      </w:r>
      <w:r>
        <w:rPr>
          <w:rFonts w:hint="eastAsia" w:ascii="宋体" w:hAnsi="宋体"/>
          <w:bCs/>
          <w:sz w:val="24"/>
          <w:highlight w:val="none"/>
          <w:lang w:val="en-US" w:eastAsia="zh-CN"/>
        </w:rPr>
        <w:t>30</w:t>
      </w:r>
      <w:r>
        <w:rPr>
          <w:rFonts w:hint="eastAsia" w:ascii="宋体" w:hAnsi="宋体"/>
          <w:bCs/>
          <w:sz w:val="24"/>
        </w:rPr>
        <w:t>日</w:t>
      </w:r>
    </w:p>
    <w:p w14:paraId="6DECE8CC">
      <w:pPr>
        <w:rPr>
          <w:rFonts w:hint="eastAsia"/>
          <w:b/>
          <w:sz w:val="36"/>
          <w:szCs w:val="36"/>
        </w:rPr>
      </w:pPr>
      <w:r>
        <w:rPr>
          <w:rFonts w:hint="eastAsia"/>
          <w:b/>
          <w:sz w:val="36"/>
          <w:szCs w:val="36"/>
        </w:rPr>
        <w:br w:type="page"/>
      </w:r>
    </w:p>
    <w:p w14:paraId="5C2FCA3F">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sz w:val="40"/>
          <w:szCs w:val="22"/>
        </w:rPr>
      </w:pPr>
      <w:bookmarkStart w:id="37" w:name="_Toc9534"/>
      <w:bookmarkStart w:id="38" w:name="_Toc3658"/>
      <w:r>
        <w:rPr>
          <w:rFonts w:hint="eastAsia"/>
          <w:sz w:val="40"/>
          <w:szCs w:val="22"/>
        </w:rPr>
        <w:t>第二章 评审办法</w:t>
      </w:r>
      <w:bookmarkEnd w:id="34"/>
      <w:bookmarkEnd w:id="35"/>
      <w:bookmarkEnd w:id="36"/>
      <w:bookmarkEnd w:id="37"/>
      <w:bookmarkEnd w:id="38"/>
    </w:p>
    <w:p w14:paraId="52F3395E">
      <w:pPr>
        <w:spacing w:line="360" w:lineRule="auto"/>
        <w:ind w:firstLine="482" w:firstLineChars="200"/>
        <w:jc w:val="both"/>
        <w:outlineLvl w:val="1"/>
        <w:rPr>
          <w:rFonts w:hint="eastAsia" w:ascii="宋体" w:hAnsi="宋体" w:eastAsia="宋体" w:cs="宋体"/>
          <w:b/>
          <w:color w:val="auto"/>
          <w:sz w:val="24"/>
          <w:szCs w:val="24"/>
          <w:highlight w:val="none"/>
          <w:lang w:val="en-US" w:eastAsia="zh-CN"/>
        </w:rPr>
      </w:pPr>
      <w:bookmarkStart w:id="39" w:name="_Toc28941"/>
      <w:bookmarkStart w:id="40" w:name="_Toc17084"/>
      <w:bookmarkStart w:id="41" w:name="_Toc22888"/>
      <w:bookmarkStart w:id="42" w:name="_Toc14447"/>
      <w:bookmarkStart w:id="43" w:name="_Toc25155"/>
      <w:r>
        <w:rPr>
          <w:rFonts w:hint="eastAsia" w:ascii="宋体" w:hAnsi="宋体" w:eastAsia="宋体" w:cs="宋体"/>
          <w:b/>
          <w:color w:val="auto"/>
          <w:sz w:val="24"/>
          <w:szCs w:val="24"/>
          <w:highlight w:val="none"/>
          <w:lang w:val="en-US" w:eastAsia="zh-CN"/>
        </w:rPr>
        <w:t>一、评审方法</w:t>
      </w:r>
      <w:bookmarkEnd w:id="39"/>
      <w:bookmarkEnd w:id="40"/>
      <w:bookmarkEnd w:id="41"/>
      <w:bookmarkEnd w:id="42"/>
      <w:bookmarkEnd w:id="43"/>
    </w:p>
    <w:p w14:paraId="4813DDAD">
      <w:pPr>
        <w:spacing w:line="420" w:lineRule="exact"/>
        <w:ind w:firstLine="480" w:firstLineChars="200"/>
        <w:outlineLvl w:val="1"/>
        <w:rPr>
          <w:rFonts w:hint="eastAsia" w:ascii="宋体" w:hAnsi="宋体" w:cs="Times New Roman"/>
          <w:sz w:val="24"/>
        </w:rPr>
      </w:pPr>
      <w:bookmarkStart w:id="44" w:name="_Toc23416"/>
      <w:bookmarkStart w:id="45" w:name="_Toc26448"/>
      <w:r>
        <w:rPr>
          <w:rFonts w:hint="eastAsia" w:ascii="宋体" w:hAnsi="宋体" w:cs="Times New Roman"/>
          <w:sz w:val="24"/>
        </w:rPr>
        <w:t>本次询价采用综合评分法，总分为100分，</w:t>
      </w:r>
      <w:r>
        <w:rPr>
          <w:rFonts w:hint="eastAsia" w:ascii="宋体" w:hAnsi="宋体" w:cs="Times New Roman"/>
          <w:sz w:val="24"/>
          <w:lang w:val="en-US" w:eastAsia="zh-CN"/>
        </w:rPr>
        <w:t>商务</w:t>
      </w:r>
      <w:r>
        <w:rPr>
          <w:rFonts w:hint="eastAsia" w:ascii="宋体" w:hAnsi="宋体" w:cs="Times New Roman"/>
          <w:sz w:val="24"/>
        </w:rPr>
        <w:t>文件</w:t>
      </w:r>
      <w:r>
        <w:rPr>
          <w:rFonts w:hint="eastAsia" w:ascii="宋体" w:hAnsi="宋体" w:cs="Times New Roman"/>
          <w:sz w:val="24"/>
          <w:lang w:val="en-US" w:eastAsia="zh-CN"/>
        </w:rPr>
        <w:t>5</w:t>
      </w:r>
      <w:r>
        <w:rPr>
          <w:rFonts w:hint="eastAsia" w:ascii="宋体" w:hAnsi="宋体" w:cs="Times New Roman"/>
          <w:sz w:val="24"/>
        </w:rPr>
        <w:t>0分</w:t>
      </w:r>
      <w:r>
        <w:rPr>
          <w:rFonts w:hint="eastAsia" w:ascii="宋体" w:hAnsi="宋体" w:cs="Times New Roman"/>
          <w:sz w:val="24"/>
          <w:lang w:eastAsia="zh-CN"/>
        </w:rPr>
        <w:t>、</w:t>
      </w:r>
      <w:r>
        <w:rPr>
          <w:rFonts w:hint="eastAsia" w:ascii="宋体" w:hAnsi="宋体" w:cs="Times New Roman"/>
          <w:sz w:val="24"/>
          <w:lang w:val="en-US" w:eastAsia="zh-CN"/>
        </w:rPr>
        <w:t>技术文件5</w:t>
      </w:r>
      <w:r>
        <w:rPr>
          <w:rFonts w:hint="eastAsia" w:ascii="宋体" w:hAnsi="宋体" w:cs="Times New Roman"/>
          <w:sz w:val="24"/>
        </w:rPr>
        <w:t>0分。</w:t>
      </w:r>
      <w:bookmarkEnd w:id="44"/>
      <w:bookmarkEnd w:id="45"/>
    </w:p>
    <w:p w14:paraId="38DC57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color w:val="auto"/>
          <w:kern w:val="2"/>
          <w:sz w:val="28"/>
          <w:szCs w:val="28"/>
          <w:highlight w:val="none"/>
          <w:lang w:val="en-US" w:eastAsia="zh-CN" w:bidi="ar-SA"/>
        </w:rPr>
      </w:pPr>
      <w:bookmarkStart w:id="46" w:name="_Toc19637"/>
      <w:bookmarkStart w:id="47" w:name="_Toc25470"/>
      <w:r>
        <w:rPr>
          <w:rFonts w:hint="eastAsia" w:ascii="宋体" w:hAnsi="宋体" w:cs="Times New Roman"/>
          <w:sz w:val="24"/>
          <w:lang w:val="en-US" w:eastAsia="zh-CN"/>
        </w:rPr>
        <w:t>询价人根据询价项目的需求组成询价小组（</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人相关部门代表组成，成员不少于3人</w:t>
      </w:r>
      <w:r>
        <w:rPr>
          <w:rFonts w:hint="eastAsia" w:ascii="宋体" w:hAnsi="宋体" w:eastAsia="宋体" w:cs="宋体"/>
          <w:color w:val="auto"/>
          <w:sz w:val="24"/>
          <w:szCs w:val="24"/>
          <w:highlight w:val="none"/>
          <w:lang w:val="en-US" w:eastAsia="zh-CN"/>
        </w:rPr>
        <w:t>单数</w:t>
      </w:r>
      <w:r>
        <w:rPr>
          <w:rFonts w:hint="eastAsia" w:ascii="宋体" w:hAnsi="宋体" w:cs="Times New Roman"/>
          <w:sz w:val="24"/>
          <w:lang w:val="en-US" w:eastAsia="zh-CN"/>
        </w:rPr>
        <w:t>），对报价文件进行评审。</w:t>
      </w:r>
      <w:bookmarkEnd w:id="46"/>
      <w:bookmarkEnd w:id="47"/>
    </w:p>
    <w:p w14:paraId="5556D02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1"/>
        <w:rPr>
          <w:rFonts w:hint="eastAsia" w:ascii="宋体" w:hAnsi="宋体" w:eastAsia="宋体" w:cs="宋体"/>
          <w:b/>
          <w:color w:val="auto"/>
          <w:sz w:val="24"/>
          <w:szCs w:val="24"/>
          <w:highlight w:val="none"/>
          <w:lang w:val="en-US" w:eastAsia="zh-CN"/>
        </w:rPr>
      </w:pPr>
      <w:bookmarkStart w:id="48" w:name="_Toc715"/>
      <w:bookmarkStart w:id="49" w:name="_Toc14192"/>
      <w:bookmarkStart w:id="50" w:name="_Toc18774"/>
      <w:bookmarkStart w:id="51" w:name="_Toc13481"/>
      <w:bookmarkStart w:id="52" w:name="_Toc22501"/>
      <w:r>
        <w:rPr>
          <w:rFonts w:hint="eastAsia" w:ascii="宋体" w:hAnsi="宋体" w:eastAsia="宋体" w:cs="宋体"/>
          <w:b/>
          <w:color w:val="auto"/>
          <w:sz w:val="24"/>
          <w:szCs w:val="24"/>
          <w:highlight w:val="none"/>
          <w:lang w:val="en-US" w:eastAsia="zh-CN"/>
        </w:rPr>
        <w:t>二、形式、响应及资格评审标准</w:t>
      </w:r>
      <w:bookmarkEnd w:id="48"/>
      <w:bookmarkEnd w:id="49"/>
      <w:bookmarkEnd w:id="50"/>
      <w:bookmarkEnd w:id="51"/>
      <w:bookmarkEnd w:id="52"/>
    </w:p>
    <w:p w14:paraId="248263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宋体" w:hAnsi="宋体"/>
          <w:sz w:val="24"/>
        </w:rPr>
      </w:pPr>
      <w:bookmarkStart w:id="53" w:name="_Toc3962"/>
      <w:bookmarkStart w:id="54" w:name="_Toc1181"/>
      <w:bookmarkStart w:id="55" w:name="_Toc29935"/>
      <w:bookmarkStart w:id="56" w:name="_Toc3210"/>
      <w:bookmarkStart w:id="57" w:name="_Toc19590"/>
      <w:bookmarkStart w:id="58" w:name="_Toc23854"/>
      <w:bookmarkStart w:id="59" w:name="_Toc31197"/>
      <w:r>
        <w:rPr>
          <w:rFonts w:hint="eastAsia" w:ascii="宋体" w:hAnsi="宋体"/>
          <w:sz w:val="24"/>
        </w:rPr>
        <w:t>1、报价文件按</w:t>
      </w:r>
      <w:r>
        <w:rPr>
          <w:rFonts w:hint="eastAsia" w:ascii="宋体" w:hAnsi="宋体"/>
          <w:sz w:val="24"/>
          <w:lang w:eastAsia="zh-CN"/>
        </w:rPr>
        <w:t>询价文件</w:t>
      </w:r>
      <w:r>
        <w:rPr>
          <w:rFonts w:hint="eastAsia" w:ascii="宋体" w:hAnsi="宋体"/>
          <w:sz w:val="24"/>
        </w:rPr>
        <w:t>规定的格式、内容填写，字迹清晰可辨；</w:t>
      </w:r>
      <w:bookmarkEnd w:id="53"/>
      <w:bookmarkEnd w:id="54"/>
      <w:bookmarkEnd w:id="55"/>
    </w:p>
    <w:p w14:paraId="0459BE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宋体" w:hAnsi="宋体"/>
          <w:sz w:val="24"/>
        </w:rPr>
      </w:pPr>
      <w:bookmarkStart w:id="60" w:name="_Toc1003"/>
      <w:bookmarkStart w:id="61" w:name="_Toc5238"/>
      <w:bookmarkStart w:id="62" w:name="_Toc23183"/>
      <w:r>
        <w:rPr>
          <w:rFonts w:hint="eastAsia" w:ascii="宋体" w:hAnsi="宋体"/>
          <w:sz w:val="24"/>
        </w:rPr>
        <w:t>2、报价文件上法定代表人或其委托代理人的签字、单位章盖章齐全，符合</w:t>
      </w:r>
      <w:r>
        <w:rPr>
          <w:rFonts w:hint="eastAsia" w:ascii="宋体" w:hAnsi="宋体"/>
          <w:sz w:val="24"/>
          <w:lang w:eastAsia="zh-CN"/>
        </w:rPr>
        <w:t>询价文件</w:t>
      </w:r>
      <w:r>
        <w:rPr>
          <w:rFonts w:hint="eastAsia" w:ascii="宋体" w:hAnsi="宋体"/>
          <w:sz w:val="24"/>
        </w:rPr>
        <w:t>规定；</w:t>
      </w:r>
      <w:bookmarkEnd w:id="60"/>
      <w:bookmarkEnd w:id="61"/>
      <w:bookmarkEnd w:id="62"/>
    </w:p>
    <w:p w14:paraId="72BA68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宋体" w:hAnsi="宋体"/>
          <w:sz w:val="24"/>
        </w:rPr>
      </w:pPr>
      <w:bookmarkStart w:id="63" w:name="_Toc30106"/>
      <w:bookmarkStart w:id="64" w:name="_Toc2140"/>
      <w:bookmarkStart w:id="65" w:name="_Toc31391"/>
      <w:r>
        <w:rPr>
          <w:rFonts w:hint="eastAsia" w:ascii="宋体" w:hAnsi="宋体"/>
          <w:sz w:val="24"/>
        </w:rPr>
        <w:t>3、报价文件对</w:t>
      </w:r>
      <w:r>
        <w:rPr>
          <w:rFonts w:hint="eastAsia" w:ascii="宋体" w:hAnsi="宋体"/>
          <w:sz w:val="24"/>
          <w:lang w:eastAsia="zh-CN"/>
        </w:rPr>
        <w:t>询价文件</w:t>
      </w:r>
      <w:r>
        <w:rPr>
          <w:rFonts w:hint="eastAsia" w:ascii="宋体" w:hAnsi="宋体"/>
          <w:sz w:val="24"/>
        </w:rPr>
        <w:t>的实质性要求和条件作出响应；</w:t>
      </w:r>
      <w:bookmarkEnd w:id="63"/>
      <w:bookmarkEnd w:id="64"/>
      <w:bookmarkEnd w:id="65"/>
    </w:p>
    <w:p w14:paraId="030816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宋体" w:hAnsi="宋体"/>
          <w:sz w:val="24"/>
        </w:rPr>
      </w:pPr>
      <w:bookmarkStart w:id="66" w:name="_Toc31303"/>
      <w:bookmarkStart w:id="67" w:name="_Toc6426"/>
      <w:bookmarkStart w:id="68" w:name="_Toc3951"/>
      <w:r>
        <w:rPr>
          <w:rFonts w:hint="eastAsia" w:ascii="宋体" w:hAnsi="宋体"/>
          <w:sz w:val="24"/>
        </w:rPr>
        <w:t>4、权利义务符合</w:t>
      </w:r>
      <w:r>
        <w:rPr>
          <w:rFonts w:hint="eastAsia" w:ascii="宋体" w:hAnsi="宋体"/>
          <w:sz w:val="24"/>
          <w:lang w:eastAsia="zh-CN"/>
        </w:rPr>
        <w:t>询价文件</w:t>
      </w:r>
      <w:r>
        <w:rPr>
          <w:rFonts w:hint="eastAsia" w:ascii="宋体" w:hAnsi="宋体"/>
          <w:sz w:val="24"/>
        </w:rPr>
        <w:t>规定；</w:t>
      </w:r>
      <w:bookmarkEnd w:id="66"/>
      <w:bookmarkEnd w:id="67"/>
      <w:bookmarkEnd w:id="68"/>
    </w:p>
    <w:p w14:paraId="03A00C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宋体" w:hAnsi="宋体"/>
          <w:sz w:val="24"/>
        </w:rPr>
      </w:pPr>
      <w:bookmarkStart w:id="69" w:name="_Toc11573"/>
      <w:bookmarkStart w:id="70" w:name="_Toc20462"/>
      <w:bookmarkStart w:id="71" w:name="_Toc9604"/>
      <w:r>
        <w:rPr>
          <w:rFonts w:hint="eastAsia" w:ascii="宋体" w:hAnsi="宋体"/>
          <w:sz w:val="24"/>
        </w:rPr>
        <w:t>5、具备有效的营业执照，</w:t>
      </w:r>
      <w:r>
        <w:rPr>
          <w:rFonts w:hint="eastAsia" w:ascii="宋体" w:hAnsi="宋体"/>
          <w:bCs/>
          <w:sz w:val="24"/>
        </w:rPr>
        <w:t>《保险公司法人许可证》</w:t>
      </w:r>
      <w:r>
        <w:rPr>
          <w:rFonts w:hint="eastAsia" w:ascii="宋体" w:hAnsi="宋体"/>
          <w:bCs/>
          <w:sz w:val="24"/>
          <w:lang w:eastAsia="zh-CN"/>
        </w:rPr>
        <w:t>或《经营保险业务许可证》</w:t>
      </w:r>
      <w:r>
        <w:rPr>
          <w:rFonts w:hint="eastAsia" w:ascii="宋体" w:hAnsi="宋体"/>
          <w:bCs/>
          <w:sz w:val="24"/>
          <w:lang w:val="en-US" w:eastAsia="zh-CN"/>
        </w:rPr>
        <w:t>等资格条件</w:t>
      </w:r>
      <w:r>
        <w:rPr>
          <w:rFonts w:hint="eastAsia" w:ascii="宋体" w:hAnsi="宋体"/>
          <w:sz w:val="24"/>
          <w:lang w:val="en-US" w:eastAsia="zh-CN"/>
        </w:rPr>
        <w:t>符合</w:t>
      </w:r>
      <w:r>
        <w:rPr>
          <w:rFonts w:hint="eastAsia" w:ascii="宋体" w:hAnsi="宋体"/>
          <w:sz w:val="24"/>
          <w:lang w:eastAsia="zh-CN"/>
        </w:rPr>
        <w:t>询价文件</w:t>
      </w:r>
      <w:r>
        <w:rPr>
          <w:rFonts w:hint="eastAsia" w:ascii="宋体" w:hAnsi="宋体"/>
          <w:sz w:val="24"/>
        </w:rPr>
        <w:t>要求；</w:t>
      </w:r>
      <w:bookmarkEnd w:id="69"/>
      <w:bookmarkEnd w:id="70"/>
      <w:bookmarkEnd w:id="71"/>
    </w:p>
    <w:p w14:paraId="610399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sz w:val="24"/>
          <w:lang w:eastAsia="zh-CN"/>
        </w:rPr>
      </w:pPr>
      <w:bookmarkStart w:id="72" w:name="_Toc15081"/>
      <w:bookmarkStart w:id="73" w:name="_Toc5242"/>
      <w:bookmarkStart w:id="74" w:name="_Toc2034"/>
      <w:r>
        <w:rPr>
          <w:rFonts w:hint="eastAsia" w:ascii="宋体" w:hAnsi="宋体"/>
          <w:sz w:val="24"/>
        </w:rPr>
        <w:t>6、信誉</w:t>
      </w:r>
      <w:r>
        <w:rPr>
          <w:rFonts w:hint="eastAsia" w:ascii="宋体" w:hAnsi="宋体"/>
          <w:sz w:val="24"/>
          <w:lang w:val="en-US" w:eastAsia="zh-CN"/>
        </w:rPr>
        <w:t>承诺</w:t>
      </w:r>
      <w:r>
        <w:rPr>
          <w:rFonts w:hint="eastAsia" w:ascii="宋体" w:hAnsi="宋体"/>
          <w:sz w:val="24"/>
        </w:rPr>
        <w:t>符合报价文件规定</w:t>
      </w:r>
      <w:bookmarkEnd w:id="72"/>
      <w:bookmarkEnd w:id="73"/>
      <w:bookmarkEnd w:id="74"/>
      <w:r>
        <w:rPr>
          <w:rFonts w:hint="eastAsia" w:ascii="宋体" w:hAnsi="宋体"/>
          <w:sz w:val="24"/>
          <w:lang w:eastAsia="zh-CN"/>
        </w:rPr>
        <w:t>；</w:t>
      </w:r>
    </w:p>
    <w:p w14:paraId="178F3E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宋体" w:hAnsi="宋体" w:eastAsia="宋体" w:cs="宋体"/>
          <w:b/>
          <w:color w:val="auto"/>
          <w:sz w:val="24"/>
          <w:szCs w:val="24"/>
          <w:highlight w:val="none"/>
          <w:lang w:val="en-US" w:eastAsia="zh-CN"/>
        </w:rPr>
      </w:pPr>
      <w:bookmarkStart w:id="75" w:name="_Toc24367"/>
      <w:bookmarkStart w:id="76" w:name="_Toc17509"/>
      <w:r>
        <w:rPr>
          <w:rFonts w:hint="eastAsia" w:ascii="宋体" w:hAnsi="宋体" w:eastAsia="宋体" w:cs="宋体"/>
          <w:color w:val="auto"/>
          <w:sz w:val="24"/>
          <w:szCs w:val="24"/>
          <w:highlight w:val="none"/>
          <w:lang w:val="en-US" w:eastAsia="zh-CN"/>
        </w:rPr>
        <w:t>7</w:t>
      </w:r>
      <w:r>
        <w:rPr>
          <w:rFonts w:hint="eastAsia" w:ascii="宋体" w:hAnsi="宋体"/>
          <w:color w:val="auto"/>
          <w:sz w:val="24"/>
          <w:highlight w:val="none"/>
          <w:lang w:val="en-US" w:eastAsia="zh-CN"/>
        </w:rPr>
        <w:t>、</w:t>
      </w:r>
      <w:r>
        <w:rPr>
          <w:rFonts w:hint="eastAsia"/>
          <w:color w:val="auto"/>
          <w:sz w:val="24"/>
          <w:highlight w:val="none"/>
          <w:lang w:val="en-US" w:eastAsia="zh-CN"/>
        </w:rPr>
        <w:t>其他资料符合询价文件规定。</w:t>
      </w:r>
    </w:p>
    <w:p w14:paraId="1DEF169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三、评审程序</w:t>
      </w:r>
      <w:bookmarkEnd w:id="56"/>
      <w:bookmarkEnd w:id="57"/>
      <w:bookmarkEnd w:id="58"/>
      <w:bookmarkEnd w:id="59"/>
      <w:bookmarkEnd w:id="75"/>
      <w:bookmarkEnd w:id="76"/>
    </w:p>
    <w:p w14:paraId="48EB42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cs="Times New Roman"/>
          <w:sz w:val="24"/>
          <w:lang w:val="en-US" w:eastAsia="zh-CN"/>
        </w:rPr>
      </w:pPr>
      <w:bookmarkStart w:id="77" w:name="_Toc29673"/>
      <w:bookmarkStart w:id="78" w:name="_Toc30389"/>
      <w:r>
        <w:rPr>
          <w:rFonts w:hint="eastAsia" w:ascii="宋体" w:hAnsi="宋体" w:cs="Times New Roman"/>
          <w:sz w:val="24"/>
          <w:lang w:eastAsia="zh-CN"/>
        </w:rPr>
        <w:t>本次询价采用</w:t>
      </w:r>
      <w:r>
        <w:rPr>
          <w:rFonts w:hint="eastAsia" w:ascii="宋体" w:hAnsi="宋体" w:cs="Times New Roman"/>
          <w:sz w:val="24"/>
        </w:rPr>
        <w:t>综合评分法</w:t>
      </w:r>
      <w:r>
        <w:rPr>
          <w:rFonts w:hint="eastAsia" w:ascii="宋体" w:hAnsi="宋体" w:cs="Times New Roman"/>
          <w:sz w:val="24"/>
          <w:lang w:eastAsia="zh-CN"/>
        </w:rPr>
        <w:t>。</w:t>
      </w:r>
      <w:bookmarkEnd w:id="77"/>
      <w:bookmarkEnd w:id="78"/>
    </w:p>
    <w:p w14:paraId="5E24C9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cs="Times New Roman"/>
          <w:sz w:val="24"/>
          <w:lang w:val="en-US" w:eastAsia="zh-CN"/>
        </w:rPr>
      </w:pPr>
      <w:bookmarkStart w:id="79" w:name="_Toc30475"/>
      <w:bookmarkStart w:id="80" w:name="_Toc18209"/>
      <w:r>
        <w:rPr>
          <w:rFonts w:hint="eastAsia" w:ascii="宋体" w:hAnsi="宋体" w:cs="Times New Roman"/>
          <w:sz w:val="24"/>
          <w:lang w:val="en-US" w:eastAsia="zh-CN"/>
        </w:rPr>
        <w:t>询价人现场当众开启报价文件，询价小组依据本章第二条形式、响应及资格评审标准对报价文件进行形式、响应及资格评审。有一项不符合评审标准的，将不通过评审。通过评审的报价文件再进行商务文件及技术文件评审，按评审分值由高至低顺序推荐候选人；</w:t>
      </w:r>
      <w:bookmarkEnd w:id="79"/>
      <w:bookmarkEnd w:id="80"/>
    </w:p>
    <w:p w14:paraId="0D338E33">
      <w:pPr>
        <w:spacing w:line="420" w:lineRule="exact"/>
        <w:ind w:firstLine="480" w:firstLineChars="200"/>
        <w:outlineLvl w:val="1"/>
        <w:rPr>
          <w:rFonts w:hint="eastAsia" w:ascii="宋体" w:hAnsi="宋体" w:cs="Times New Roman"/>
          <w:sz w:val="24"/>
          <w:lang w:val="en-US" w:eastAsia="zh-CN"/>
        </w:rPr>
      </w:pPr>
      <w:bookmarkStart w:id="81" w:name="_Toc6116"/>
      <w:bookmarkStart w:id="82" w:name="_Toc22296"/>
      <w:r>
        <w:rPr>
          <w:rFonts w:hint="eastAsia" w:ascii="宋体" w:hAnsi="宋体" w:cs="Times New Roman"/>
          <w:sz w:val="24"/>
          <w:lang w:val="en-US" w:eastAsia="zh-CN"/>
        </w:rPr>
        <w:t>如有2个及以上单位的评审分值一致时，以技术得分高者排名优先，当技术得分相同时，将采用现场抽签的方式确定第一候选人。</w:t>
      </w:r>
      <w:bookmarkEnd w:id="81"/>
      <w:bookmarkEnd w:id="82"/>
    </w:p>
    <w:p w14:paraId="64CA8F9F">
      <w:pPr>
        <w:spacing w:line="420" w:lineRule="exact"/>
        <w:ind w:firstLine="480" w:firstLineChars="200"/>
        <w:outlineLvl w:val="1"/>
        <w:rPr>
          <w:rFonts w:hint="eastAsia" w:ascii="宋体" w:hAnsi="宋体" w:cs="Times New Roman"/>
          <w:sz w:val="24"/>
        </w:rPr>
      </w:pPr>
      <w:bookmarkStart w:id="83" w:name="_Toc1931"/>
      <w:bookmarkStart w:id="84" w:name="_Toc4333"/>
      <w:r>
        <w:rPr>
          <w:rFonts w:hint="eastAsia" w:ascii="宋体" w:hAnsi="宋体" w:cs="Times New Roman"/>
          <w:sz w:val="24"/>
        </w:rPr>
        <w:t>（三）评审结果</w:t>
      </w:r>
      <w:bookmarkEnd w:id="83"/>
      <w:bookmarkEnd w:id="84"/>
    </w:p>
    <w:p w14:paraId="4264A8D9">
      <w:pPr>
        <w:spacing w:line="420" w:lineRule="exact"/>
        <w:ind w:firstLine="480" w:firstLineChars="200"/>
        <w:outlineLvl w:val="1"/>
        <w:rPr>
          <w:rFonts w:hint="eastAsia" w:ascii="宋体" w:hAnsi="宋体" w:cs="Times New Roman"/>
          <w:sz w:val="24"/>
        </w:rPr>
      </w:pPr>
      <w:bookmarkStart w:id="85" w:name="_Toc7663"/>
      <w:bookmarkStart w:id="86" w:name="_Toc3890"/>
      <w:r>
        <w:rPr>
          <w:rFonts w:hint="eastAsia" w:ascii="宋体" w:hAnsi="宋体" w:cs="Times New Roman"/>
          <w:sz w:val="24"/>
          <w:lang w:val="en-US" w:eastAsia="zh-CN"/>
        </w:rPr>
        <w:t>询价小组</w:t>
      </w:r>
      <w:r>
        <w:rPr>
          <w:rFonts w:hint="eastAsia" w:ascii="宋体" w:hAnsi="宋体" w:cs="Times New Roman"/>
          <w:sz w:val="24"/>
        </w:rPr>
        <w:t>按照最终</w:t>
      </w:r>
      <w:r>
        <w:rPr>
          <w:rFonts w:hint="eastAsia" w:ascii="宋体" w:hAnsi="宋体" w:cs="Times New Roman"/>
          <w:sz w:val="24"/>
          <w:lang w:val="en-US" w:eastAsia="zh-CN"/>
        </w:rPr>
        <w:t>评审分值</w:t>
      </w:r>
      <w:r>
        <w:rPr>
          <w:rFonts w:hint="eastAsia" w:ascii="宋体" w:hAnsi="宋体" w:cs="Times New Roman"/>
          <w:sz w:val="24"/>
        </w:rPr>
        <w:t>由</w:t>
      </w:r>
      <w:r>
        <w:rPr>
          <w:rFonts w:hint="eastAsia" w:ascii="宋体" w:hAnsi="宋体" w:cs="Times New Roman"/>
          <w:sz w:val="24"/>
          <w:lang w:eastAsia="zh-CN"/>
        </w:rPr>
        <w:t>高</w:t>
      </w:r>
      <w:r>
        <w:rPr>
          <w:rFonts w:hint="eastAsia" w:ascii="宋体" w:hAnsi="宋体" w:cs="Times New Roman"/>
          <w:sz w:val="24"/>
        </w:rPr>
        <w:t>到</w:t>
      </w:r>
      <w:r>
        <w:rPr>
          <w:rFonts w:hint="eastAsia" w:ascii="宋体" w:hAnsi="宋体" w:cs="Times New Roman"/>
          <w:sz w:val="24"/>
          <w:lang w:eastAsia="zh-CN"/>
        </w:rPr>
        <w:t>低</w:t>
      </w:r>
      <w:r>
        <w:rPr>
          <w:rFonts w:hint="eastAsia" w:ascii="宋体" w:hAnsi="宋体" w:cs="Times New Roman"/>
          <w:sz w:val="24"/>
        </w:rPr>
        <w:t>的顺序推荐候选人3名。</w:t>
      </w:r>
      <w:bookmarkEnd w:id="85"/>
      <w:bookmarkEnd w:id="86"/>
    </w:p>
    <w:p w14:paraId="420857B8">
      <w:pPr>
        <w:rPr>
          <w:rFonts w:hint="eastAsia" w:ascii="仿宋_GB2312" w:hAnsi="华文楷体" w:eastAsia="仿宋_GB2312"/>
        </w:rPr>
      </w:pPr>
      <w:r>
        <w:rPr>
          <w:rFonts w:hint="eastAsia" w:ascii="仿宋_GB2312" w:hAnsi="华文楷体" w:eastAsia="仿宋_GB2312"/>
        </w:rPr>
        <w:br w:type="page"/>
      </w:r>
    </w:p>
    <w:p w14:paraId="7F6AF42A">
      <w:pPr>
        <w:pStyle w:val="4"/>
        <w:jc w:val="center"/>
      </w:pPr>
      <w:bookmarkStart w:id="87" w:name="_Toc19675"/>
      <w:bookmarkStart w:id="88" w:name="_Toc8278"/>
      <w:r>
        <w:rPr>
          <w:rFonts w:hint="eastAsia" w:ascii="仿宋_GB2312" w:hAnsi="华文楷体" w:eastAsia="仿宋_GB2312"/>
        </w:rPr>
        <w:t>评分规则</w:t>
      </w:r>
      <w:bookmarkEnd w:id="87"/>
      <w:bookmarkEnd w:id="88"/>
    </w:p>
    <w:tbl>
      <w:tblPr>
        <w:tblStyle w:val="22"/>
        <w:tblpPr w:leftFromText="180" w:rightFromText="180" w:vertAnchor="text" w:tblpX="127" w:tblpY="1"/>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7820"/>
      </w:tblGrid>
      <w:tr w14:paraId="22E8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83" w:type="dxa"/>
            <w:vAlign w:val="center"/>
          </w:tcPr>
          <w:p w14:paraId="18D3A8BD">
            <w:pPr>
              <w:widowControl/>
              <w:spacing w:line="360" w:lineRule="auto"/>
              <w:jc w:val="center"/>
              <w:rPr>
                <w:rFonts w:hint="eastAsia" w:ascii="仿宋_GB2312" w:hAnsi="华文楷体" w:eastAsia="仿宋_GB2312" w:cs="宋体"/>
                <w:kern w:val="0"/>
                <w:sz w:val="28"/>
                <w:szCs w:val="28"/>
              </w:rPr>
            </w:pPr>
            <w:r>
              <w:rPr>
                <w:rFonts w:hint="eastAsia" w:ascii="仿宋_GB2312" w:hAnsi="华文楷体" w:eastAsia="仿宋_GB2312" w:cs="宋体"/>
                <w:kern w:val="0"/>
                <w:sz w:val="28"/>
                <w:szCs w:val="28"/>
                <w:lang w:eastAsia="zh-CN"/>
              </w:rPr>
              <w:t>评分点</w:t>
            </w:r>
          </w:p>
        </w:tc>
        <w:tc>
          <w:tcPr>
            <w:tcW w:w="6914" w:type="dxa"/>
          </w:tcPr>
          <w:p w14:paraId="6831FE40">
            <w:pPr>
              <w:widowControl/>
              <w:spacing w:line="560" w:lineRule="exact"/>
              <w:jc w:val="center"/>
              <w:rPr>
                <w:rFonts w:hint="eastAsia" w:ascii="仿宋_GB2312" w:hAnsi="华文楷体" w:eastAsia="仿宋_GB2312" w:cs="宋体"/>
                <w:kern w:val="0"/>
                <w:sz w:val="28"/>
                <w:szCs w:val="28"/>
              </w:rPr>
            </w:pPr>
            <w:r>
              <w:rPr>
                <w:rFonts w:hint="eastAsia" w:ascii="仿宋_GB2312" w:hAnsi="华文楷体" w:eastAsia="仿宋_GB2312" w:cs="宋体"/>
                <w:kern w:val="0"/>
                <w:sz w:val="28"/>
                <w:szCs w:val="28"/>
                <w:lang w:eastAsia="zh-CN"/>
              </w:rPr>
              <w:t>评审内容</w:t>
            </w:r>
          </w:p>
        </w:tc>
      </w:tr>
      <w:tr w14:paraId="6A74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1283" w:type="dxa"/>
            <w:vAlign w:val="center"/>
          </w:tcPr>
          <w:p w14:paraId="229C29AA">
            <w:pPr>
              <w:widowControl/>
              <w:spacing w:line="360" w:lineRule="auto"/>
              <w:jc w:val="center"/>
              <w:rPr>
                <w:rFonts w:ascii="仿宋_GB2312" w:hAnsi="华文楷体" w:eastAsia="仿宋_GB2312" w:cs="宋体"/>
                <w:kern w:val="0"/>
                <w:sz w:val="28"/>
                <w:szCs w:val="28"/>
              </w:rPr>
            </w:pPr>
            <w:r>
              <w:rPr>
                <w:rFonts w:hint="eastAsia" w:ascii="仿宋_GB2312" w:hAnsi="华文楷体" w:eastAsia="仿宋_GB2312" w:cs="宋体"/>
                <w:kern w:val="0"/>
                <w:sz w:val="28"/>
                <w:szCs w:val="28"/>
                <w:lang w:val="en-US" w:eastAsia="zh-CN"/>
              </w:rPr>
              <w:t>商务</w:t>
            </w:r>
            <w:r>
              <w:rPr>
                <w:rFonts w:hint="eastAsia" w:ascii="仿宋_GB2312" w:hAnsi="华文楷体" w:eastAsia="仿宋_GB2312" w:cs="宋体"/>
                <w:kern w:val="0"/>
                <w:sz w:val="28"/>
                <w:szCs w:val="28"/>
              </w:rPr>
              <w:t>分（</w:t>
            </w:r>
            <w:r>
              <w:rPr>
                <w:rFonts w:hint="eastAsia" w:ascii="仿宋_GB2312" w:hAnsi="华文楷体" w:eastAsia="仿宋_GB2312" w:cs="宋体"/>
                <w:kern w:val="0"/>
                <w:sz w:val="28"/>
                <w:szCs w:val="28"/>
                <w:lang w:val="en-US" w:eastAsia="zh-CN"/>
              </w:rPr>
              <w:t>5</w:t>
            </w:r>
            <w:r>
              <w:rPr>
                <w:rFonts w:hint="eastAsia" w:ascii="仿宋_GB2312" w:hAnsi="华文楷体" w:eastAsia="仿宋_GB2312" w:cs="宋体"/>
                <w:kern w:val="0"/>
                <w:sz w:val="28"/>
                <w:szCs w:val="28"/>
              </w:rPr>
              <w:t>0分）</w:t>
            </w:r>
          </w:p>
        </w:tc>
        <w:tc>
          <w:tcPr>
            <w:tcW w:w="6914" w:type="dxa"/>
          </w:tcPr>
          <w:p w14:paraId="4F0AF4D2">
            <w:pPr>
              <w:numPr>
                <w:ilvl w:val="0"/>
                <w:numId w:val="1"/>
              </w:numPr>
              <w:spacing w:line="560" w:lineRule="exact"/>
              <w:rPr>
                <w:rFonts w:ascii="仿宋_GB2312" w:hAnsi="华文楷体" w:eastAsia="仿宋_GB2312" w:cs="宋体"/>
                <w:sz w:val="28"/>
                <w:szCs w:val="28"/>
              </w:rPr>
            </w:pPr>
            <w:r>
              <w:rPr>
                <w:rFonts w:hint="eastAsia" w:ascii="仿宋_GB2312" w:hAnsi="华文楷体" w:eastAsia="仿宋_GB2312" w:cs="宋体"/>
                <w:b/>
                <w:bCs/>
                <w:sz w:val="28"/>
                <w:szCs w:val="28"/>
                <w:lang w:val="en-US" w:eastAsia="zh-CN"/>
              </w:rPr>
              <w:t>询价</w:t>
            </w:r>
            <w:r>
              <w:rPr>
                <w:rFonts w:hint="eastAsia" w:ascii="仿宋_GB2312" w:hAnsi="华文楷体" w:eastAsia="仿宋_GB2312" w:cs="宋体"/>
                <w:b/>
                <w:bCs/>
                <w:sz w:val="28"/>
                <w:szCs w:val="28"/>
              </w:rPr>
              <w:t>文件要求的符合性（</w:t>
            </w:r>
            <w:r>
              <w:rPr>
                <w:rFonts w:hint="eastAsia" w:ascii="仿宋_GB2312" w:hAnsi="华文楷体" w:eastAsia="仿宋_GB2312" w:cs="宋体"/>
                <w:b/>
                <w:bCs/>
                <w:sz w:val="28"/>
                <w:szCs w:val="28"/>
                <w:lang w:val="en-US" w:eastAsia="zh-CN"/>
              </w:rPr>
              <w:t>5</w:t>
            </w:r>
            <w:r>
              <w:rPr>
                <w:rFonts w:hint="eastAsia" w:ascii="仿宋_GB2312" w:hAnsi="华文楷体" w:eastAsia="仿宋_GB2312" w:cs="宋体"/>
                <w:b/>
                <w:bCs/>
                <w:sz w:val="28"/>
                <w:szCs w:val="28"/>
              </w:rPr>
              <w:t>分）：</w:t>
            </w:r>
            <w:r>
              <w:rPr>
                <w:rFonts w:hint="eastAsia" w:ascii="仿宋_GB2312" w:hAnsi="华文楷体" w:eastAsia="仿宋_GB2312" w:cs="宋体"/>
                <w:sz w:val="28"/>
                <w:szCs w:val="28"/>
              </w:rPr>
              <w:t>响应内容全部满足磋商文件要求的得</w:t>
            </w:r>
            <w:r>
              <w:rPr>
                <w:rFonts w:hint="eastAsia" w:ascii="仿宋_GB2312" w:hAnsi="华文楷体" w:eastAsia="仿宋_GB2312" w:cs="宋体"/>
                <w:sz w:val="28"/>
                <w:szCs w:val="28"/>
                <w:lang w:val="en-US" w:eastAsia="zh-CN"/>
              </w:rPr>
              <w:t>5</w:t>
            </w:r>
            <w:r>
              <w:rPr>
                <w:rFonts w:hint="eastAsia" w:ascii="仿宋_GB2312" w:hAnsi="华文楷体" w:eastAsia="仿宋_GB2312" w:cs="宋体"/>
                <w:sz w:val="28"/>
                <w:szCs w:val="28"/>
              </w:rPr>
              <w:t>分，有一项不满足的，作无效标处理。</w:t>
            </w:r>
          </w:p>
          <w:p w14:paraId="0402B385">
            <w:pPr>
              <w:pStyle w:val="29"/>
              <w:spacing w:line="560" w:lineRule="exact"/>
              <w:rPr>
                <w:rFonts w:ascii="仿宋_GB2312" w:hAnsi="华文楷体" w:eastAsia="仿宋_GB2312" w:cs="宋体"/>
                <w:bCs/>
                <w:color w:val="auto"/>
                <w:sz w:val="28"/>
                <w:szCs w:val="28"/>
                <w:lang w:val="ru-RU"/>
              </w:rPr>
            </w:pPr>
            <w:r>
              <w:rPr>
                <w:rFonts w:hint="eastAsia" w:ascii="仿宋_GB2312" w:hAnsi="华文楷体" w:eastAsia="仿宋_GB2312" w:cs="宋体"/>
                <w:b/>
                <w:bCs/>
                <w:color w:val="auto"/>
                <w:sz w:val="28"/>
                <w:szCs w:val="28"/>
                <w:lang w:val="en-US" w:eastAsia="zh-CN"/>
              </w:rPr>
              <w:t>二</w:t>
            </w:r>
            <w:r>
              <w:rPr>
                <w:rFonts w:hint="eastAsia" w:ascii="仿宋_GB2312" w:hAnsi="华文楷体" w:eastAsia="仿宋_GB2312" w:cs="宋体"/>
                <w:b/>
                <w:bCs/>
                <w:color w:val="auto"/>
                <w:sz w:val="28"/>
                <w:szCs w:val="28"/>
                <w:lang w:val="ru-RU"/>
              </w:rPr>
              <w:t>、综合服务水平（</w:t>
            </w:r>
            <w:r>
              <w:rPr>
                <w:rFonts w:ascii="等线" w:hAnsi="等线" w:eastAsia="仿宋_GB2312" w:cs="宋体"/>
                <w:b/>
                <w:bCs/>
                <w:color w:val="auto"/>
                <w:sz w:val="28"/>
                <w:szCs w:val="28"/>
                <w:lang w:val="ru-RU"/>
              </w:rPr>
              <w:t>15</w:t>
            </w:r>
            <w:r>
              <w:rPr>
                <w:rFonts w:hint="eastAsia" w:ascii="仿宋_GB2312" w:hAnsi="华文楷体" w:eastAsia="仿宋_GB2312" w:cs="宋体"/>
                <w:b/>
                <w:bCs/>
                <w:color w:val="auto"/>
                <w:sz w:val="28"/>
                <w:szCs w:val="28"/>
                <w:lang w:val="ru-RU"/>
              </w:rPr>
              <w:t>分）：</w:t>
            </w:r>
            <w:r>
              <w:rPr>
                <w:rFonts w:hint="eastAsia" w:ascii="仿宋_GB2312" w:hAnsi="华文楷体" w:eastAsia="仿宋_GB2312" w:cs="宋体"/>
                <w:color w:val="auto"/>
                <w:sz w:val="28"/>
                <w:szCs w:val="28"/>
              </w:rPr>
              <w:t>响应供应商提供</w:t>
            </w:r>
            <w:r>
              <w:rPr>
                <w:rFonts w:hint="eastAsia" w:ascii="仿宋_GB2312" w:hAnsi="华文楷体" w:eastAsia="仿宋_GB2312" w:cs="宋体"/>
                <w:b/>
                <w:bCs/>
                <w:color w:val="auto"/>
                <w:sz w:val="24"/>
                <w:szCs w:val="24"/>
                <w:highlight w:val="green"/>
              </w:rPr>
              <w:t>其总公司</w:t>
            </w:r>
            <w:r>
              <w:rPr>
                <w:rFonts w:ascii="等线" w:hAnsi="等线" w:eastAsia="仿宋_GB2312" w:cs="宋体"/>
                <w:b/>
                <w:bCs/>
                <w:color w:val="auto"/>
                <w:sz w:val="28"/>
                <w:szCs w:val="28"/>
                <w:highlight w:val="green"/>
                <w:lang w:val="ru-RU"/>
              </w:rPr>
              <w:t>202</w:t>
            </w:r>
            <w:r>
              <w:rPr>
                <w:rFonts w:hint="eastAsia" w:ascii="等线" w:hAnsi="等线" w:eastAsia="仿宋_GB2312" w:cs="宋体"/>
                <w:b/>
                <w:bCs/>
                <w:color w:val="auto"/>
                <w:sz w:val="28"/>
                <w:szCs w:val="28"/>
                <w:highlight w:val="green"/>
                <w:lang w:val="en-US" w:eastAsia="zh-CN"/>
              </w:rPr>
              <w:t>4</w:t>
            </w:r>
            <w:r>
              <w:rPr>
                <w:rFonts w:hint="eastAsia" w:ascii="仿宋_GB2312" w:hAnsi="华文楷体" w:eastAsia="仿宋_GB2312" w:cs="宋体"/>
                <w:b/>
                <w:bCs/>
                <w:color w:val="auto"/>
                <w:sz w:val="28"/>
                <w:szCs w:val="28"/>
                <w:highlight w:val="green"/>
                <w:lang w:val="ru-RU"/>
              </w:rPr>
              <w:t>年</w:t>
            </w:r>
            <w:r>
              <w:rPr>
                <w:rFonts w:hint="eastAsia" w:ascii="仿宋_GB2312" w:hAnsi="华文楷体" w:eastAsia="仿宋_GB2312" w:cs="宋体"/>
                <w:b/>
                <w:bCs/>
                <w:color w:val="auto"/>
                <w:sz w:val="28"/>
                <w:szCs w:val="28"/>
                <w:highlight w:val="green"/>
                <w:lang w:val="en-US" w:eastAsia="zh-CN"/>
              </w:rPr>
              <w:t>度最新公布数据</w:t>
            </w:r>
            <w:r>
              <w:rPr>
                <w:rFonts w:hint="eastAsia" w:ascii="仿宋_GB2312" w:hAnsi="华文楷体" w:eastAsia="仿宋_GB2312" w:cs="宋体"/>
                <w:b/>
                <w:bCs/>
                <w:color w:val="auto"/>
                <w:sz w:val="28"/>
                <w:szCs w:val="28"/>
                <w:highlight w:val="green"/>
                <w:lang w:val="ru-RU"/>
              </w:rPr>
              <w:t>亿元保费投诉量</w:t>
            </w:r>
            <w:r>
              <w:rPr>
                <w:rFonts w:hint="eastAsia" w:ascii="仿宋_GB2312" w:hAnsi="华文楷体" w:eastAsia="仿宋_GB2312" w:cs="宋体"/>
                <w:bCs/>
                <w:color w:val="auto"/>
                <w:sz w:val="28"/>
                <w:szCs w:val="28"/>
                <w:lang w:val="ru-RU"/>
              </w:rPr>
              <w:t>，投诉量</w:t>
            </w:r>
            <w:r>
              <w:rPr>
                <w:rFonts w:hint="eastAsia" w:ascii="仿宋_GB2312" w:hAnsi="华文楷体" w:eastAsia="仿宋_GB2312" w:cs="宋体"/>
                <w:bCs/>
                <w:color w:val="auto"/>
                <w:sz w:val="28"/>
                <w:szCs w:val="28"/>
                <w:lang w:val="en-US" w:eastAsia="zh-CN"/>
              </w:rPr>
              <w:t>从少至多排名，第一名</w:t>
            </w:r>
            <w:r>
              <w:rPr>
                <w:rFonts w:hint="eastAsia" w:ascii="仿宋_GB2312" w:hAnsi="华文楷体" w:eastAsia="仿宋_GB2312" w:cs="宋体"/>
                <w:bCs/>
                <w:color w:val="auto"/>
                <w:sz w:val="28"/>
                <w:szCs w:val="28"/>
                <w:lang w:val="ru-RU"/>
              </w:rPr>
              <w:t>得</w:t>
            </w:r>
            <w:r>
              <w:rPr>
                <w:rFonts w:ascii="等线" w:hAnsi="等线" w:eastAsia="仿宋_GB2312" w:cs="宋体"/>
                <w:bCs/>
                <w:color w:val="auto"/>
                <w:sz w:val="28"/>
                <w:szCs w:val="28"/>
                <w:lang w:val="ru-RU"/>
              </w:rPr>
              <w:t>15</w:t>
            </w:r>
            <w:r>
              <w:rPr>
                <w:rFonts w:hint="eastAsia" w:ascii="仿宋_GB2312" w:hAnsi="华文楷体" w:eastAsia="仿宋_GB2312" w:cs="宋体"/>
                <w:bCs/>
                <w:color w:val="auto"/>
                <w:sz w:val="28"/>
                <w:szCs w:val="28"/>
                <w:lang w:val="ru-RU"/>
              </w:rPr>
              <w:t>分，</w:t>
            </w:r>
            <w:r>
              <w:rPr>
                <w:rFonts w:hint="eastAsia" w:ascii="仿宋_GB2312" w:hAnsi="华文楷体" w:eastAsia="仿宋_GB2312" w:cs="宋体"/>
                <w:bCs/>
                <w:color w:val="auto"/>
                <w:sz w:val="28"/>
                <w:szCs w:val="28"/>
                <w:lang w:val="en-US" w:eastAsia="zh-CN"/>
              </w:rPr>
              <w:t>第二</w:t>
            </w:r>
            <w:r>
              <w:rPr>
                <w:rFonts w:hint="eastAsia" w:ascii="仿宋_GB2312" w:hAnsi="华文楷体" w:eastAsia="仿宋_GB2312" w:cs="宋体"/>
                <w:bCs/>
                <w:color w:val="auto"/>
                <w:sz w:val="28"/>
                <w:szCs w:val="28"/>
                <w:lang w:val="ru-RU"/>
              </w:rPr>
              <w:t>名</w:t>
            </w:r>
            <w:r>
              <w:rPr>
                <w:rFonts w:hint="eastAsia" w:ascii="仿宋_GB2312" w:hAnsi="华文楷体" w:eastAsia="仿宋_GB2312" w:cs="宋体"/>
                <w:bCs/>
                <w:color w:val="auto"/>
                <w:sz w:val="28"/>
                <w:szCs w:val="28"/>
                <w:lang w:val="en-US" w:eastAsia="zh-CN"/>
              </w:rPr>
              <w:t>得13</w:t>
            </w:r>
            <w:r>
              <w:rPr>
                <w:rFonts w:hint="eastAsia" w:ascii="仿宋_GB2312" w:hAnsi="华文楷体" w:eastAsia="仿宋_GB2312" w:cs="宋体"/>
                <w:bCs/>
                <w:color w:val="auto"/>
                <w:sz w:val="28"/>
                <w:szCs w:val="28"/>
                <w:lang w:val="ru-RU"/>
              </w:rPr>
              <w:t>分，</w:t>
            </w:r>
            <w:r>
              <w:rPr>
                <w:rFonts w:hint="eastAsia" w:ascii="仿宋_GB2312" w:hAnsi="华文楷体" w:eastAsia="仿宋_GB2312" w:cs="宋体"/>
                <w:bCs/>
                <w:color w:val="auto"/>
                <w:sz w:val="28"/>
                <w:szCs w:val="28"/>
                <w:lang w:val="en-US" w:eastAsia="zh-CN"/>
              </w:rPr>
              <w:t>第三名得11分，其余得9分</w:t>
            </w:r>
            <w:r>
              <w:rPr>
                <w:rFonts w:hint="eastAsia" w:ascii="仿宋_GB2312" w:hAnsi="华文楷体" w:eastAsia="仿宋_GB2312" w:cs="宋体"/>
                <w:bCs/>
                <w:color w:val="auto"/>
                <w:sz w:val="28"/>
                <w:szCs w:val="28"/>
                <w:lang w:val="ru-RU"/>
              </w:rPr>
              <w:t>；</w:t>
            </w:r>
          </w:p>
          <w:p w14:paraId="5E5CD02C">
            <w:pPr>
              <w:pStyle w:val="29"/>
              <w:spacing w:line="560" w:lineRule="exact"/>
              <w:rPr>
                <w:rFonts w:hint="eastAsia" w:ascii="仿宋_GB2312" w:hAnsi="华文楷体" w:eastAsia="仿宋_GB2312" w:cs="宋体"/>
                <w:bCs/>
                <w:color w:val="auto"/>
                <w:sz w:val="28"/>
                <w:szCs w:val="28"/>
                <w:lang w:val="ru-RU" w:eastAsia="zh-CN"/>
              </w:rPr>
            </w:pPr>
            <w:r>
              <w:rPr>
                <w:rFonts w:hint="eastAsia" w:ascii="仿宋_GB2312" w:hAnsi="华文楷体" w:eastAsia="仿宋_GB2312" w:cs="宋体"/>
                <w:bCs/>
                <w:color w:val="auto"/>
                <w:sz w:val="28"/>
                <w:szCs w:val="28"/>
                <w:lang w:val="ru-RU"/>
              </w:rPr>
              <w:t>（评审依据：</w:t>
            </w:r>
            <w:r>
              <w:rPr>
                <w:rFonts w:hint="eastAsia" w:ascii="仿宋_GB2312" w:hAnsi="华文楷体" w:eastAsia="仿宋_GB2312" w:cs="宋体"/>
                <w:bCs/>
                <w:color w:val="auto"/>
                <w:sz w:val="28"/>
                <w:szCs w:val="28"/>
                <w:highlight w:val="none"/>
                <w:lang w:val="ru-RU"/>
              </w:rPr>
              <w:t>投标供应商提供国家金融监督管理总局</w:t>
            </w:r>
            <w:r>
              <w:rPr>
                <w:rFonts w:hint="eastAsia" w:ascii="仿宋_GB2312" w:hAnsi="华文楷体" w:eastAsia="仿宋_GB2312" w:cs="宋体"/>
                <w:bCs/>
                <w:color w:val="auto"/>
                <w:sz w:val="28"/>
                <w:szCs w:val="28"/>
                <w:highlight w:val="none"/>
                <w:lang w:val="en-US" w:eastAsia="zh-CN"/>
              </w:rPr>
              <w:t>金融消保局发</w:t>
            </w:r>
            <w:r>
              <w:rPr>
                <w:rFonts w:hint="eastAsia" w:ascii="仿宋_GB2312" w:hAnsi="华文楷体" w:eastAsia="仿宋_GB2312" w:cs="宋体"/>
                <w:bCs/>
                <w:color w:val="auto"/>
                <w:sz w:val="28"/>
                <w:szCs w:val="28"/>
                <w:highlight w:val="none"/>
                <w:lang w:val="ru-RU"/>
              </w:rPr>
              <w:t>布的</w:t>
            </w:r>
            <w:r>
              <w:rPr>
                <w:rFonts w:hint="eastAsia" w:ascii="仿宋_GB2312" w:hAnsi="华文楷体" w:eastAsia="仿宋_GB2312" w:cs="宋体"/>
                <w:bCs/>
                <w:color w:val="auto"/>
                <w:sz w:val="28"/>
                <w:szCs w:val="28"/>
                <w:highlight w:val="none"/>
                <w:lang w:val="en-US" w:eastAsia="zh-CN"/>
              </w:rPr>
              <w:t>最新公布的</w:t>
            </w:r>
            <w:r>
              <w:rPr>
                <w:rFonts w:hint="eastAsia" w:ascii="仿宋_GB2312" w:hAnsi="华文楷体" w:eastAsia="仿宋_GB2312" w:cs="宋体"/>
                <w:bCs/>
                <w:color w:val="auto"/>
                <w:sz w:val="28"/>
                <w:szCs w:val="28"/>
                <w:highlight w:val="none"/>
                <w:lang w:val="ru-RU"/>
              </w:rPr>
              <w:t>保险消费投诉情况的通报</w:t>
            </w:r>
            <w:r>
              <w:rPr>
                <w:rFonts w:hint="eastAsia" w:ascii="仿宋_GB2312" w:hAnsi="华文楷体" w:eastAsia="仿宋_GB2312" w:cs="宋体"/>
                <w:bCs/>
                <w:color w:val="auto"/>
                <w:sz w:val="28"/>
                <w:szCs w:val="28"/>
                <w:highlight w:val="none"/>
                <w:lang w:val="en-US" w:eastAsia="zh-CN"/>
              </w:rPr>
              <w:t>结果截图</w:t>
            </w:r>
            <w:r>
              <w:rPr>
                <w:rFonts w:hint="eastAsia" w:ascii="仿宋_GB2312" w:hAnsi="华文楷体" w:eastAsia="仿宋_GB2312" w:cs="宋体"/>
                <w:bCs/>
                <w:color w:val="auto"/>
                <w:sz w:val="28"/>
                <w:szCs w:val="28"/>
                <w:highlight w:val="none"/>
                <w:lang w:val="ru-RU" w:eastAsia="zh-CN"/>
              </w:rPr>
              <w:t>（</w:t>
            </w:r>
            <w:r>
              <w:rPr>
                <w:rFonts w:hint="eastAsia" w:ascii="仿宋_GB2312" w:hAnsi="华文楷体" w:eastAsia="仿宋_GB2312" w:cs="宋体"/>
                <w:bCs/>
                <w:color w:val="auto"/>
                <w:sz w:val="28"/>
                <w:szCs w:val="28"/>
                <w:highlight w:val="none"/>
                <w:lang w:val="en-US" w:eastAsia="zh-CN"/>
              </w:rPr>
              <w:t>含</w:t>
            </w:r>
            <w:r>
              <w:rPr>
                <w:rFonts w:hint="eastAsia" w:ascii="仿宋_GB2312" w:hAnsi="华文楷体" w:eastAsia="仿宋_GB2312" w:cs="宋体"/>
                <w:bCs/>
                <w:color w:val="auto"/>
                <w:sz w:val="28"/>
                <w:szCs w:val="28"/>
                <w:highlight w:val="none"/>
                <w:lang w:val="ru-RU"/>
              </w:rPr>
              <w:t>附件表格</w:t>
            </w:r>
            <w:r>
              <w:rPr>
                <w:rFonts w:hint="eastAsia" w:ascii="仿宋_GB2312" w:hAnsi="华文楷体" w:eastAsia="仿宋_GB2312" w:cs="宋体"/>
                <w:bCs/>
                <w:color w:val="auto"/>
                <w:sz w:val="28"/>
                <w:szCs w:val="28"/>
                <w:highlight w:val="none"/>
                <w:lang w:val="ru-RU" w:eastAsia="zh-CN"/>
              </w:rPr>
              <w:t>）</w:t>
            </w:r>
            <w:r>
              <w:rPr>
                <w:rFonts w:hint="eastAsia" w:ascii="仿宋_GB2312" w:hAnsi="华文楷体" w:eastAsia="仿宋_GB2312" w:cs="宋体"/>
                <w:bCs/>
                <w:color w:val="auto"/>
                <w:sz w:val="28"/>
                <w:szCs w:val="28"/>
                <w:highlight w:val="none"/>
                <w:lang w:val="ru-RU"/>
              </w:rPr>
              <w:t>，</w:t>
            </w:r>
            <w:r>
              <w:rPr>
                <w:rFonts w:hint="eastAsia" w:ascii="仿宋_GB2312" w:hAnsi="华文楷体" w:eastAsia="仿宋_GB2312" w:cs="宋体"/>
                <w:bCs/>
                <w:color w:val="auto"/>
                <w:sz w:val="28"/>
                <w:szCs w:val="28"/>
                <w:highlight w:val="none"/>
                <w:lang w:val="en-US" w:eastAsia="zh-CN"/>
              </w:rPr>
              <w:t>并加盖响应供应商公章，</w:t>
            </w:r>
            <w:r>
              <w:rPr>
                <w:rFonts w:hint="eastAsia" w:ascii="仿宋_GB2312" w:hAnsi="华文楷体" w:eastAsia="仿宋_GB2312" w:cs="宋体"/>
                <w:bCs/>
                <w:color w:val="auto"/>
                <w:sz w:val="28"/>
                <w:szCs w:val="28"/>
                <w:highlight w:val="none"/>
                <w:lang w:val="ru-RU"/>
              </w:rPr>
              <w:t>未提供或提供不符合要求的不得分。）</w:t>
            </w:r>
          </w:p>
          <w:p w14:paraId="5843A415">
            <w:pPr>
              <w:pStyle w:val="29"/>
              <w:spacing w:line="560" w:lineRule="exact"/>
              <w:rPr>
                <w:rFonts w:ascii="仿宋_GB2312" w:hAnsi="华文楷体" w:eastAsia="仿宋_GB2312" w:cs="宋体"/>
                <w:b/>
                <w:bCs/>
                <w:color w:val="auto"/>
                <w:sz w:val="28"/>
                <w:szCs w:val="28"/>
                <w:highlight w:val="green"/>
                <w:lang w:val="ru-RU"/>
              </w:rPr>
            </w:pPr>
            <w:r>
              <w:rPr>
                <w:rFonts w:hint="eastAsia" w:ascii="仿宋_GB2312" w:hAnsi="华文楷体" w:eastAsia="仿宋_GB2312" w:cs="宋体"/>
                <w:b/>
                <w:bCs/>
                <w:color w:val="auto"/>
                <w:sz w:val="28"/>
                <w:szCs w:val="28"/>
                <w:lang w:val="en-US" w:eastAsia="zh-CN"/>
              </w:rPr>
              <w:t>三</w:t>
            </w:r>
            <w:r>
              <w:rPr>
                <w:rFonts w:hint="eastAsia" w:ascii="仿宋_GB2312" w:hAnsi="华文楷体" w:eastAsia="仿宋_GB2312" w:cs="宋体"/>
                <w:b/>
                <w:bCs/>
                <w:color w:val="auto"/>
                <w:sz w:val="28"/>
                <w:szCs w:val="28"/>
                <w:lang w:val="ru-RU"/>
              </w:rPr>
              <w:t>、服务质量评价（1</w:t>
            </w:r>
            <w:r>
              <w:rPr>
                <w:rFonts w:ascii="等线" w:hAnsi="等线" w:eastAsia="仿宋_GB2312" w:cs="宋体"/>
                <w:b/>
                <w:bCs/>
                <w:color w:val="auto"/>
                <w:sz w:val="28"/>
                <w:szCs w:val="28"/>
                <w:lang w:val="ru-RU"/>
              </w:rPr>
              <w:t>5</w:t>
            </w:r>
            <w:r>
              <w:rPr>
                <w:rFonts w:hint="eastAsia" w:ascii="仿宋_GB2312" w:hAnsi="华文楷体" w:eastAsia="仿宋_GB2312" w:cs="宋体"/>
                <w:b/>
                <w:bCs/>
                <w:color w:val="auto"/>
                <w:sz w:val="28"/>
                <w:szCs w:val="28"/>
                <w:lang w:val="ru-RU"/>
              </w:rPr>
              <w:t>分）：</w:t>
            </w:r>
            <w:r>
              <w:rPr>
                <w:rFonts w:hint="eastAsia" w:ascii="仿宋_GB2312" w:hAnsi="华文楷体" w:eastAsia="仿宋_GB2312" w:cs="宋体"/>
                <w:b/>
                <w:bCs/>
                <w:color w:val="auto"/>
                <w:sz w:val="28"/>
                <w:szCs w:val="28"/>
                <w:highlight w:val="green"/>
              </w:rPr>
              <w:t>响应供应商提供其总公司</w:t>
            </w:r>
            <w:r>
              <w:rPr>
                <w:rFonts w:hint="eastAsia" w:ascii="仿宋_GB2312" w:hAnsi="华文楷体" w:eastAsia="仿宋_GB2312" w:cs="宋体"/>
                <w:b/>
                <w:bCs/>
                <w:color w:val="auto"/>
                <w:sz w:val="28"/>
                <w:szCs w:val="28"/>
                <w:highlight w:val="green"/>
                <w:lang w:val="en-US" w:eastAsia="zh-CN"/>
              </w:rPr>
              <w:t>最新公布数据</w:t>
            </w:r>
            <w:r>
              <w:rPr>
                <w:rFonts w:hint="eastAsia" w:ascii="仿宋_GB2312" w:hAnsi="华文楷体" w:eastAsia="仿宋_GB2312" w:cs="宋体"/>
                <w:b/>
                <w:bCs/>
                <w:color w:val="auto"/>
                <w:sz w:val="28"/>
                <w:szCs w:val="28"/>
                <w:highlight w:val="green"/>
                <w:lang w:val="ru-RU"/>
              </w:rPr>
              <w:t>财产保险服务质量指数：</w:t>
            </w:r>
          </w:p>
          <w:p w14:paraId="4C31D690">
            <w:pPr>
              <w:pStyle w:val="29"/>
              <w:spacing w:line="560" w:lineRule="exact"/>
              <w:rPr>
                <w:rFonts w:ascii="仿宋_GB2312" w:hAnsi="华文楷体" w:eastAsia="仿宋_GB2312" w:cs="宋体"/>
                <w:bCs/>
                <w:color w:val="auto"/>
                <w:sz w:val="28"/>
                <w:szCs w:val="28"/>
                <w:lang w:val="ru-RU"/>
              </w:rPr>
            </w:pPr>
            <w:r>
              <w:rPr>
                <w:rFonts w:hint="eastAsia" w:ascii="仿宋_GB2312" w:hAnsi="华文楷体" w:eastAsia="仿宋_GB2312" w:cs="宋体"/>
                <w:bCs/>
                <w:color w:val="auto"/>
                <w:sz w:val="28"/>
                <w:szCs w:val="28"/>
                <w:lang w:val="ru-RU"/>
              </w:rPr>
              <w:t>1）质量指数≥9</w:t>
            </w:r>
            <w:r>
              <w:rPr>
                <w:rFonts w:ascii="等线" w:hAnsi="等线" w:eastAsia="仿宋_GB2312" w:cs="宋体"/>
                <w:bCs/>
                <w:color w:val="auto"/>
                <w:sz w:val="28"/>
                <w:szCs w:val="28"/>
                <w:lang w:val="ru-RU"/>
              </w:rPr>
              <w:t>4</w:t>
            </w:r>
            <w:r>
              <w:rPr>
                <w:rFonts w:hint="eastAsia" w:ascii="仿宋_GB2312" w:hAnsi="华文楷体" w:eastAsia="仿宋_GB2312" w:cs="宋体"/>
                <w:bCs/>
                <w:color w:val="auto"/>
                <w:sz w:val="28"/>
                <w:szCs w:val="28"/>
                <w:lang w:val="ru-RU"/>
              </w:rPr>
              <w:t>分，得</w:t>
            </w:r>
            <w:r>
              <w:rPr>
                <w:rFonts w:ascii="等线" w:hAnsi="等线" w:eastAsia="仿宋_GB2312" w:cs="宋体"/>
                <w:bCs/>
                <w:color w:val="auto"/>
                <w:sz w:val="28"/>
                <w:szCs w:val="28"/>
                <w:lang w:val="ru-RU"/>
              </w:rPr>
              <w:t>15</w:t>
            </w:r>
            <w:r>
              <w:rPr>
                <w:rFonts w:hint="eastAsia" w:ascii="仿宋_GB2312" w:hAnsi="华文楷体" w:eastAsia="仿宋_GB2312" w:cs="宋体"/>
                <w:bCs/>
                <w:color w:val="auto"/>
                <w:sz w:val="28"/>
                <w:szCs w:val="28"/>
                <w:lang w:val="ru-RU"/>
              </w:rPr>
              <w:t>分；</w:t>
            </w:r>
          </w:p>
          <w:p w14:paraId="18E51C9C">
            <w:pPr>
              <w:pStyle w:val="29"/>
              <w:spacing w:line="560" w:lineRule="exact"/>
              <w:rPr>
                <w:rFonts w:ascii="仿宋_GB2312" w:hAnsi="华文楷体" w:eastAsia="仿宋_GB2312" w:cs="宋体"/>
                <w:bCs/>
                <w:color w:val="auto"/>
                <w:sz w:val="28"/>
                <w:szCs w:val="28"/>
                <w:lang w:val="ru-RU"/>
              </w:rPr>
            </w:pPr>
            <w:r>
              <w:rPr>
                <w:rFonts w:hint="eastAsia" w:ascii="仿宋_GB2312" w:hAnsi="华文楷体" w:eastAsia="仿宋_GB2312" w:cs="宋体"/>
                <w:bCs/>
                <w:color w:val="auto"/>
                <w:sz w:val="28"/>
                <w:szCs w:val="28"/>
                <w:lang w:val="ru-RU"/>
              </w:rPr>
              <w:t>2）</w:t>
            </w:r>
            <w:r>
              <w:rPr>
                <w:rFonts w:hint="eastAsia" w:ascii="仿宋_GB2312" w:hAnsi="华文楷体" w:eastAsia="仿宋_GB2312" w:cs="宋体"/>
                <w:bCs/>
                <w:color w:val="auto"/>
                <w:sz w:val="28"/>
                <w:szCs w:val="28"/>
                <w:lang w:val="en-US" w:eastAsia="zh-CN"/>
              </w:rPr>
              <w:t>94</w:t>
            </w:r>
            <w:r>
              <w:rPr>
                <w:rFonts w:hint="eastAsia" w:ascii="仿宋_GB2312" w:hAnsi="华文楷体" w:eastAsia="仿宋_GB2312" w:cs="宋体"/>
                <w:bCs/>
                <w:color w:val="auto"/>
                <w:sz w:val="28"/>
                <w:szCs w:val="28"/>
                <w:lang w:val="ru-RU"/>
              </w:rPr>
              <w:t>分＞质量指数≥</w:t>
            </w:r>
            <w:r>
              <w:rPr>
                <w:rFonts w:ascii="等线" w:hAnsi="等线" w:eastAsia="仿宋_GB2312" w:cs="宋体"/>
                <w:bCs/>
                <w:color w:val="auto"/>
                <w:sz w:val="28"/>
                <w:szCs w:val="28"/>
                <w:lang w:val="ru-RU"/>
              </w:rPr>
              <w:t>92</w:t>
            </w:r>
            <w:r>
              <w:rPr>
                <w:rFonts w:hint="eastAsia" w:ascii="仿宋_GB2312" w:hAnsi="华文楷体" w:eastAsia="仿宋_GB2312" w:cs="宋体"/>
                <w:bCs/>
                <w:color w:val="auto"/>
                <w:sz w:val="28"/>
                <w:szCs w:val="28"/>
                <w:lang w:val="ru-RU"/>
              </w:rPr>
              <w:t>分，得</w:t>
            </w:r>
            <w:r>
              <w:rPr>
                <w:rFonts w:ascii="等线" w:hAnsi="等线" w:eastAsia="仿宋_GB2312" w:cs="宋体"/>
                <w:bCs/>
                <w:color w:val="auto"/>
                <w:sz w:val="28"/>
                <w:szCs w:val="28"/>
                <w:lang w:val="ru-RU"/>
              </w:rPr>
              <w:t>12</w:t>
            </w:r>
            <w:r>
              <w:rPr>
                <w:rFonts w:hint="eastAsia" w:ascii="仿宋_GB2312" w:hAnsi="华文楷体" w:eastAsia="仿宋_GB2312" w:cs="宋体"/>
                <w:bCs/>
                <w:color w:val="auto"/>
                <w:sz w:val="28"/>
                <w:szCs w:val="28"/>
                <w:lang w:val="ru-RU"/>
              </w:rPr>
              <w:t>分；</w:t>
            </w:r>
          </w:p>
          <w:p w14:paraId="72D23193">
            <w:pPr>
              <w:pStyle w:val="29"/>
              <w:spacing w:line="560" w:lineRule="exact"/>
              <w:rPr>
                <w:rFonts w:ascii="仿宋_GB2312" w:hAnsi="华文楷体" w:eastAsia="仿宋_GB2312" w:cs="宋体"/>
                <w:bCs/>
                <w:color w:val="auto"/>
                <w:sz w:val="28"/>
                <w:szCs w:val="28"/>
                <w:lang w:val="ru-RU"/>
              </w:rPr>
            </w:pPr>
            <w:r>
              <w:rPr>
                <w:rFonts w:hint="eastAsia" w:ascii="仿宋_GB2312" w:hAnsi="华文楷体" w:eastAsia="仿宋_GB2312" w:cs="宋体"/>
                <w:bCs/>
                <w:color w:val="auto"/>
                <w:sz w:val="28"/>
                <w:szCs w:val="28"/>
                <w:lang w:val="ru-RU"/>
              </w:rPr>
              <w:t>3）</w:t>
            </w:r>
            <w:r>
              <w:rPr>
                <w:rFonts w:hint="eastAsia" w:ascii="仿宋_GB2312" w:hAnsi="华文楷体" w:eastAsia="仿宋_GB2312" w:cs="宋体"/>
                <w:bCs/>
                <w:color w:val="auto"/>
                <w:sz w:val="28"/>
                <w:szCs w:val="28"/>
                <w:lang w:val="en-US" w:eastAsia="zh-CN"/>
              </w:rPr>
              <w:t>92</w:t>
            </w:r>
            <w:r>
              <w:rPr>
                <w:rFonts w:hint="eastAsia" w:ascii="仿宋_GB2312" w:hAnsi="华文楷体" w:eastAsia="仿宋_GB2312" w:cs="宋体"/>
                <w:bCs/>
                <w:color w:val="auto"/>
                <w:sz w:val="28"/>
                <w:szCs w:val="28"/>
                <w:lang w:val="ru-RU"/>
              </w:rPr>
              <w:t>分＞质量指数≥</w:t>
            </w:r>
            <w:r>
              <w:rPr>
                <w:rFonts w:ascii="等线" w:hAnsi="等线" w:eastAsia="仿宋_GB2312" w:cs="宋体"/>
                <w:bCs/>
                <w:color w:val="auto"/>
                <w:sz w:val="28"/>
                <w:szCs w:val="28"/>
                <w:lang w:val="ru-RU"/>
              </w:rPr>
              <w:t>90</w:t>
            </w:r>
            <w:r>
              <w:rPr>
                <w:rFonts w:hint="eastAsia" w:ascii="仿宋_GB2312" w:hAnsi="华文楷体" w:eastAsia="仿宋_GB2312" w:cs="宋体"/>
                <w:bCs/>
                <w:color w:val="auto"/>
                <w:sz w:val="28"/>
                <w:szCs w:val="28"/>
                <w:lang w:val="ru-RU"/>
              </w:rPr>
              <w:t>分，得</w:t>
            </w:r>
            <w:r>
              <w:rPr>
                <w:rFonts w:ascii="等线" w:hAnsi="等线" w:eastAsia="仿宋_GB2312" w:cs="宋体"/>
                <w:bCs/>
                <w:color w:val="auto"/>
                <w:sz w:val="28"/>
                <w:szCs w:val="28"/>
                <w:lang w:val="ru-RU"/>
              </w:rPr>
              <w:t>9</w:t>
            </w:r>
            <w:r>
              <w:rPr>
                <w:rFonts w:hint="eastAsia" w:ascii="仿宋_GB2312" w:hAnsi="华文楷体" w:eastAsia="仿宋_GB2312" w:cs="宋体"/>
                <w:bCs/>
                <w:color w:val="auto"/>
                <w:sz w:val="28"/>
                <w:szCs w:val="28"/>
                <w:lang w:val="ru-RU"/>
              </w:rPr>
              <w:t>分；</w:t>
            </w:r>
          </w:p>
          <w:p w14:paraId="070BF2AB">
            <w:pPr>
              <w:pStyle w:val="29"/>
              <w:spacing w:line="560" w:lineRule="exact"/>
              <w:rPr>
                <w:rFonts w:ascii="仿宋_GB2312" w:hAnsi="华文楷体" w:eastAsia="仿宋_GB2312" w:cs="宋体"/>
                <w:bCs/>
                <w:color w:val="auto"/>
                <w:sz w:val="28"/>
                <w:szCs w:val="28"/>
                <w:lang w:val="ru-RU"/>
              </w:rPr>
            </w:pPr>
            <w:r>
              <w:rPr>
                <w:rFonts w:ascii="等线" w:hAnsi="等线" w:eastAsia="仿宋_GB2312" w:cs="宋体"/>
                <w:bCs/>
                <w:color w:val="auto"/>
                <w:sz w:val="28"/>
                <w:szCs w:val="28"/>
                <w:lang w:val="ru-RU"/>
              </w:rPr>
              <w:t>4</w:t>
            </w:r>
            <w:r>
              <w:rPr>
                <w:rFonts w:hint="eastAsia" w:ascii="仿宋_GB2312" w:hAnsi="华文楷体" w:eastAsia="仿宋_GB2312" w:cs="宋体"/>
                <w:bCs/>
                <w:color w:val="auto"/>
                <w:sz w:val="28"/>
                <w:szCs w:val="28"/>
                <w:lang w:val="ru-RU"/>
              </w:rPr>
              <w:t>）</w:t>
            </w:r>
            <w:r>
              <w:rPr>
                <w:rFonts w:hint="eastAsia" w:ascii="仿宋_GB2312" w:hAnsi="华文楷体" w:eastAsia="仿宋_GB2312" w:cs="宋体"/>
                <w:bCs/>
                <w:color w:val="auto"/>
                <w:sz w:val="28"/>
                <w:szCs w:val="28"/>
                <w:lang w:val="en-US" w:eastAsia="zh-CN"/>
              </w:rPr>
              <w:t>90</w:t>
            </w:r>
            <w:r>
              <w:rPr>
                <w:rFonts w:hint="eastAsia" w:ascii="仿宋_GB2312" w:hAnsi="华文楷体" w:eastAsia="仿宋_GB2312" w:cs="宋体"/>
                <w:bCs/>
                <w:color w:val="auto"/>
                <w:sz w:val="28"/>
                <w:szCs w:val="28"/>
                <w:lang w:val="ru-RU"/>
              </w:rPr>
              <w:t>分＞质量指数≥</w:t>
            </w:r>
            <w:r>
              <w:rPr>
                <w:rFonts w:ascii="等线" w:hAnsi="等线" w:eastAsia="仿宋_GB2312" w:cs="宋体"/>
                <w:bCs/>
                <w:color w:val="auto"/>
                <w:sz w:val="28"/>
                <w:szCs w:val="28"/>
                <w:lang w:val="ru-RU"/>
              </w:rPr>
              <w:t>85</w:t>
            </w:r>
            <w:r>
              <w:rPr>
                <w:rFonts w:hint="eastAsia" w:ascii="仿宋_GB2312" w:hAnsi="华文楷体" w:eastAsia="仿宋_GB2312" w:cs="宋体"/>
                <w:bCs/>
                <w:color w:val="auto"/>
                <w:sz w:val="28"/>
                <w:szCs w:val="28"/>
                <w:lang w:val="ru-RU"/>
              </w:rPr>
              <w:t>分，得</w:t>
            </w:r>
            <w:r>
              <w:rPr>
                <w:rFonts w:ascii="等线" w:hAnsi="等线" w:eastAsia="仿宋_GB2312" w:cs="宋体"/>
                <w:bCs/>
                <w:color w:val="auto"/>
                <w:sz w:val="28"/>
                <w:szCs w:val="28"/>
                <w:lang w:val="ru-RU"/>
              </w:rPr>
              <w:t>6</w:t>
            </w:r>
            <w:r>
              <w:rPr>
                <w:rFonts w:hint="eastAsia" w:ascii="仿宋_GB2312" w:hAnsi="华文楷体" w:eastAsia="仿宋_GB2312" w:cs="宋体"/>
                <w:bCs/>
                <w:color w:val="auto"/>
                <w:sz w:val="28"/>
                <w:szCs w:val="28"/>
                <w:lang w:val="ru-RU"/>
              </w:rPr>
              <w:t>分；</w:t>
            </w:r>
          </w:p>
          <w:p w14:paraId="26B164F9">
            <w:pPr>
              <w:pStyle w:val="29"/>
              <w:spacing w:line="560" w:lineRule="exact"/>
              <w:rPr>
                <w:rFonts w:ascii="仿宋_GB2312" w:hAnsi="华文楷体" w:eastAsia="仿宋_GB2312" w:cs="宋体"/>
                <w:bCs/>
                <w:color w:val="auto"/>
                <w:sz w:val="28"/>
                <w:szCs w:val="28"/>
                <w:lang w:val="ru-RU"/>
              </w:rPr>
            </w:pPr>
            <w:r>
              <w:rPr>
                <w:rFonts w:ascii="等线" w:hAnsi="等线" w:eastAsia="仿宋_GB2312" w:cs="宋体"/>
                <w:bCs/>
                <w:color w:val="auto"/>
                <w:sz w:val="28"/>
                <w:szCs w:val="28"/>
                <w:lang w:val="ru-RU"/>
              </w:rPr>
              <w:t>4</w:t>
            </w:r>
            <w:r>
              <w:rPr>
                <w:rFonts w:hint="eastAsia" w:ascii="等线" w:hAnsi="等线" w:eastAsia="仿宋_GB2312" w:cs="宋体"/>
                <w:bCs/>
                <w:color w:val="auto"/>
                <w:sz w:val="28"/>
                <w:szCs w:val="28"/>
                <w:lang w:val="ru-RU"/>
              </w:rPr>
              <w:t>）</w:t>
            </w:r>
            <w:r>
              <w:rPr>
                <w:rFonts w:hint="eastAsia" w:ascii="仿宋_GB2312" w:hAnsi="华文楷体" w:eastAsia="仿宋_GB2312" w:cs="宋体"/>
                <w:bCs/>
                <w:color w:val="auto"/>
                <w:sz w:val="28"/>
                <w:szCs w:val="28"/>
                <w:lang w:val="ru-RU"/>
              </w:rPr>
              <w:t>质量指数＜</w:t>
            </w:r>
            <w:r>
              <w:rPr>
                <w:rFonts w:ascii="等线" w:hAnsi="等线" w:eastAsia="仿宋_GB2312" w:cs="宋体"/>
                <w:bCs/>
                <w:color w:val="auto"/>
                <w:sz w:val="28"/>
                <w:szCs w:val="28"/>
                <w:lang w:val="ru-RU"/>
              </w:rPr>
              <w:t>85</w:t>
            </w:r>
            <w:r>
              <w:rPr>
                <w:rFonts w:hint="eastAsia" w:ascii="仿宋_GB2312" w:hAnsi="华文楷体" w:eastAsia="仿宋_GB2312" w:cs="宋体"/>
                <w:bCs/>
                <w:color w:val="auto"/>
                <w:sz w:val="28"/>
                <w:szCs w:val="28"/>
                <w:lang w:val="ru-RU"/>
              </w:rPr>
              <w:t>分，得</w:t>
            </w:r>
            <w:r>
              <w:rPr>
                <w:rFonts w:ascii="等线" w:hAnsi="等线" w:eastAsia="仿宋_GB2312" w:cs="宋体"/>
                <w:bCs/>
                <w:color w:val="auto"/>
                <w:sz w:val="28"/>
                <w:szCs w:val="28"/>
                <w:lang w:val="ru-RU"/>
              </w:rPr>
              <w:t>3</w:t>
            </w:r>
            <w:r>
              <w:rPr>
                <w:rFonts w:hint="eastAsia" w:ascii="仿宋_GB2312" w:hAnsi="华文楷体" w:eastAsia="仿宋_GB2312" w:cs="宋体"/>
                <w:bCs/>
                <w:color w:val="auto"/>
                <w:sz w:val="28"/>
                <w:szCs w:val="28"/>
                <w:lang w:val="ru-RU"/>
              </w:rPr>
              <w:t>分；</w:t>
            </w:r>
          </w:p>
          <w:p w14:paraId="01094247">
            <w:pPr>
              <w:pStyle w:val="29"/>
              <w:spacing w:line="560" w:lineRule="exact"/>
              <w:rPr>
                <w:rFonts w:ascii="仿宋_GB2312" w:hAnsi="华文楷体" w:eastAsia="仿宋_GB2312" w:cs="宋体"/>
                <w:bCs/>
                <w:color w:val="auto"/>
                <w:sz w:val="28"/>
                <w:szCs w:val="28"/>
                <w:highlight w:val="none"/>
                <w:lang w:val="ru-RU"/>
              </w:rPr>
            </w:pPr>
            <w:r>
              <w:rPr>
                <w:rFonts w:hint="eastAsia" w:ascii="仿宋_GB2312" w:hAnsi="华文楷体" w:eastAsia="仿宋_GB2312" w:cs="宋体"/>
                <w:bCs/>
                <w:color w:val="auto"/>
                <w:sz w:val="28"/>
                <w:szCs w:val="28"/>
                <w:highlight w:val="none"/>
                <w:lang w:val="ru-RU"/>
              </w:rPr>
              <w:t>（评审依据：提供中国银行保险信息技术管理有限公司</w:t>
            </w:r>
            <w:r>
              <w:rPr>
                <w:rFonts w:hint="eastAsia" w:ascii="仿宋_GB2312" w:hAnsi="华文楷体" w:eastAsia="仿宋_GB2312" w:cs="宋体"/>
                <w:bCs/>
                <w:color w:val="auto"/>
                <w:sz w:val="28"/>
                <w:szCs w:val="28"/>
                <w:highlight w:val="none"/>
                <w:lang w:val="en-US" w:eastAsia="zh-CN"/>
              </w:rPr>
              <w:t>保险服务质量指数信息查询系统的查询结果截图</w:t>
            </w:r>
            <w:r>
              <w:rPr>
                <w:rFonts w:hint="eastAsia" w:ascii="仿宋_GB2312" w:hAnsi="华文楷体" w:eastAsia="仿宋_GB2312" w:cs="宋体"/>
                <w:bCs/>
                <w:color w:val="auto"/>
                <w:sz w:val="28"/>
                <w:szCs w:val="28"/>
                <w:highlight w:val="none"/>
                <w:lang w:val="ru-RU"/>
              </w:rPr>
              <w:t>，</w:t>
            </w:r>
            <w:r>
              <w:rPr>
                <w:rFonts w:hint="eastAsia" w:ascii="仿宋_GB2312" w:hAnsi="华文楷体" w:eastAsia="仿宋_GB2312" w:cs="宋体"/>
                <w:bCs/>
                <w:color w:val="auto"/>
                <w:sz w:val="28"/>
                <w:szCs w:val="28"/>
                <w:highlight w:val="none"/>
                <w:lang w:val="en-US" w:eastAsia="zh-CN"/>
              </w:rPr>
              <w:t>并加盖响应供应商公章，未提供或提供不符合要求的不得分</w:t>
            </w:r>
            <w:r>
              <w:rPr>
                <w:rFonts w:hint="eastAsia" w:ascii="仿宋_GB2312" w:hAnsi="华文楷体" w:eastAsia="仿宋_GB2312" w:cs="宋体"/>
                <w:bCs/>
                <w:color w:val="auto"/>
                <w:sz w:val="28"/>
                <w:szCs w:val="28"/>
                <w:highlight w:val="none"/>
                <w:lang w:val="ru-RU"/>
              </w:rPr>
              <w:t>。）</w:t>
            </w:r>
          </w:p>
          <w:p w14:paraId="6DC6A84C">
            <w:pPr>
              <w:pStyle w:val="29"/>
              <w:numPr>
                <w:ilvl w:val="0"/>
                <w:numId w:val="2"/>
              </w:numPr>
              <w:spacing w:line="560" w:lineRule="exact"/>
              <w:rPr>
                <w:rFonts w:hint="eastAsia" w:ascii="仿宋_GB2312" w:hAnsi="华文楷体" w:eastAsia="仿宋_GB2312" w:cs="宋体"/>
                <w:color w:val="auto"/>
                <w:sz w:val="28"/>
                <w:szCs w:val="28"/>
                <w:lang w:val="ru-RU"/>
              </w:rPr>
            </w:pPr>
            <w:r>
              <w:rPr>
                <w:rFonts w:hint="eastAsia" w:ascii="仿宋_GB2312" w:hAnsi="华文楷体" w:eastAsia="仿宋_GB2312" w:cs="宋体"/>
                <w:b/>
                <w:bCs/>
                <w:color w:val="auto"/>
                <w:sz w:val="28"/>
                <w:szCs w:val="28"/>
                <w:lang w:val="ru-RU"/>
              </w:rPr>
              <w:t>综合偿付能力（</w:t>
            </w:r>
            <w:r>
              <w:rPr>
                <w:rFonts w:hint="eastAsia" w:ascii="仿宋_GB2312" w:hAnsi="华文楷体" w:eastAsia="仿宋_GB2312" w:cs="宋体"/>
                <w:b/>
                <w:bCs/>
                <w:color w:val="auto"/>
                <w:sz w:val="28"/>
                <w:szCs w:val="28"/>
              </w:rPr>
              <w:t>10</w:t>
            </w:r>
            <w:r>
              <w:rPr>
                <w:rFonts w:hint="eastAsia" w:ascii="仿宋_GB2312" w:hAnsi="华文楷体" w:eastAsia="仿宋_GB2312" w:cs="宋体"/>
                <w:b/>
                <w:bCs/>
                <w:color w:val="auto"/>
                <w:sz w:val="28"/>
                <w:szCs w:val="28"/>
                <w:lang w:val="ru-RU"/>
              </w:rPr>
              <w:t>分）：</w:t>
            </w:r>
            <w:bookmarkStart w:id="130" w:name="_GoBack"/>
            <w:r>
              <w:rPr>
                <w:rFonts w:hint="eastAsia" w:ascii="仿宋_GB2312" w:hAnsi="华文楷体" w:eastAsia="仿宋_GB2312"/>
                <w:b/>
                <w:bCs/>
                <w:color w:val="auto"/>
                <w:sz w:val="28"/>
                <w:szCs w:val="28"/>
                <w:highlight w:val="green"/>
              </w:rPr>
              <w:t>响应供应商所属总公司</w:t>
            </w:r>
            <w:r>
              <w:rPr>
                <w:rFonts w:hint="eastAsia" w:ascii="仿宋_GB2312" w:hAnsi="华文楷体" w:eastAsia="仿宋_GB2312" w:cs="宋体"/>
                <w:b/>
                <w:bCs/>
                <w:color w:val="auto"/>
                <w:sz w:val="28"/>
                <w:szCs w:val="28"/>
                <w:highlight w:val="green"/>
                <w:lang w:val="en-US" w:eastAsia="zh-CN"/>
              </w:rPr>
              <w:t>最新公布</w:t>
            </w:r>
            <w:bookmarkEnd w:id="130"/>
            <w:r>
              <w:rPr>
                <w:rFonts w:hint="eastAsia" w:ascii="仿宋_GB2312" w:hAnsi="华文楷体" w:eastAsia="仿宋_GB2312" w:cs="宋体"/>
                <w:bCs/>
                <w:color w:val="auto"/>
                <w:sz w:val="28"/>
                <w:szCs w:val="28"/>
                <w:lang w:val="en-US" w:eastAsia="zh-CN"/>
              </w:rPr>
              <w:t>数据</w:t>
            </w:r>
            <w:r>
              <w:rPr>
                <w:rFonts w:hint="eastAsia" w:ascii="仿宋_GB2312" w:hAnsi="华文楷体" w:eastAsia="仿宋_GB2312" w:cs="宋体"/>
                <w:color w:val="auto"/>
                <w:sz w:val="28"/>
                <w:szCs w:val="28"/>
                <w:lang w:val="ru-RU"/>
              </w:rPr>
              <w:t>综合偿付能力充足率≥2</w:t>
            </w:r>
            <w:r>
              <w:rPr>
                <w:rFonts w:hint="eastAsia" w:ascii="仿宋_GB2312" w:hAnsi="华文楷体" w:eastAsia="仿宋_GB2312" w:cs="宋体"/>
                <w:color w:val="auto"/>
                <w:sz w:val="28"/>
                <w:szCs w:val="28"/>
                <w:lang w:val="ru-RU" w:eastAsia="zh-CN"/>
              </w:rPr>
              <w:t>5</w:t>
            </w:r>
            <w:r>
              <w:rPr>
                <w:rFonts w:hint="eastAsia" w:ascii="仿宋_GB2312" w:hAnsi="华文楷体" w:eastAsia="仿宋_GB2312" w:cs="宋体"/>
                <w:color w:val="auto"/>
                <w:sz w:val="28"/>
                <w:szCs w:val="28"/>
                <w:lang w:val="ru-RU"/>
              </w:rPr>
              <w:t>0%的得10分；</w:t>
            </w:r>
            <w:r>
              <w:rPr>
                <w:rFonts w:hint="eastAsia" w:ascii="仿宋_GB2312" w:hAnsi="华文楷体" w:eastAsia="仿宋_GB2312" w:cs="宋体"/>
                <w:color w:val="auto"/>
                <w:sz w:val="28"/>
                <w:szCs w:val="28"/>
                <w:lang w:val="ru-RU" w:eastAsia="zh-CN"/>
              </w:rPr>
              <w:t>20</w:t>
            </w:r>
            <w:r>
              <w:rPr>
                <w:rFonts w:hint="eastAsia" w:ascii="仿宋_GB2312" w:hAnsi="华文楷体" w:eastAsia="仿宋_GB2312" w:cs="宋体"/>
                <w:color w:val="auto"/>
                <w:sz w:val="28"/>
                <w:szCs w:val="28"/>
                <w:lang w:val="ru-RU"/>
              </w:rPr>
              <w:t>0%≤充足率</w:t>
            </w:r>
            <w:r>
              <w:rPr>
                <w:rFonts w:hint="eastAsia" w:ascii="仿宋_GB2312" w:hAnsi="华文楷体" w:eastAsia="仿宋_GB2312" w:cs="宋体"/>
                <w:color w:val="auto"/>
                <w:sz w:val="28"/>
                <w:szCs w:val="28"/>
                <w:lang w:val="ru-RU" w:eastAsia="zh-CN"/>
              </w:rPr>
              <w:t>＜</w:t>
            </w:r>
            <w:r>
              <w:rPr>
                <w:rFonts w:hint="eastAsia" w:ascii="仿宋_GB2312" w:hAnsi="华文楷体" w:eastAsia="仿宋_GB2312" w:cs="宋体"/>
                <w:color w:val="auto"/>
                <w:sz w:val="28"/>
                <w:szCs w:val="28"/>
                <w:lang w:val="ru-RU"/>
              </w:rPr>
              <w:t>2</w:t>
            </w:r>
            <w:r>
              <w:rPr>
                <w:rFonts w:hint="eastAsia" w:ascii="仿宋_GB2312" w:hAnsi="华文楷体" w:eastAsia="仿宋_GB2312" w:cs="宋体"/>
                <w:color w:val="auto"/>
                <w:sz w:val="28"/>
                <w:szCs w:val="28"/>
                <w:lang w:val="ru-RU" w:eastAsia="zh-CN"/>
              </w:rPr>
              <w:t>5</w:t>
            </w:r>
            <w:r>
              <w:rPr>
                <w:rFonts w:hint="eastAsia" w:ascii="仿宋_GB2312" w:hAnsi="华文楷体" w:eastAsia="仿宋_GB2312" w:cs="宋体"/>
                <w:color w:val="auto"/>
                <w:sz w:val="28"/>
                <w:szCs w:val="28"/>
                <w:lang w:val="ru-RU"/>
              </w:rPr>
              <w:t>0%的得7分；1</w:t>
            </w:r>
            <w:r>
              <w:rPr>
                <w:rFonts w:hint="eastAsia" w:ascii="仿宋_GB2312" w:hAnsi="华文楷体" w:eastAsia="仿宋_GB2312" w:cs="宋体"/>
                <w:color w:val="auto"/>
                <w:sz w:val="28"/>
                <w:szCs w:val="28"/>
                <w:lang w:val="ru-RU" w:eastAsia="zh-CN"/>
              </w:rPr>
              <w:t>5</w:t>
            </w:r>
            <w:r>
              <w:rPr>
                <w:rFonts w:hint="eastAsia" w:ascii="仿宋_GB2312" w:hAnsi="华文楷体" w:eastAsia="仿宋_GB2312" w:cs="宋体"/>
                <w:color w:val="auto"/>
                <w:sz w:val="28"/>
                <w:szCs w:val="28"/>
                <w:lang w:val="ru-RU"/>
              </w:rPr>
              <w:t>0%≤充足率﹤200%的得4分，1</w:t>
            </w:r>
            <w:r>
              <w:rPr>
                <w:rFonts w:hint="eastAsia" w:ascii="仿宋_GB2312" w:hAnsi="华文楷体" w:eastAsia="仿宋_GB2312" w:cs="宋体"/>
                <w:color w:val="auto"/>
                <w:sz w:val="28"/>
                <w:szCs w:val="28"/>
                <w:lang w:val="ru-RU" w:eastAsia="zh-CN"/>
              </w:rPr>
              <w:t>2</w:t>
            </w:r>
            <w:r>
              <w:rPr>
                <w:rFonts w:hint="eastAsia" w:ascii="仿宋_GB2312" w:hAnsi="华文楷体" w:eastAsia="仿宋_GB2312" w:cs="宋体"/>
                <w:color w:val="auto"/>
                <w:sz w:val="28"/>
                <w:szCs w:val="28"/>
                <w:lang w:val="ru-RU"/>
              </w:rPr>
              <w:t>0%≤充足率</w:t>
            </w:r>
            <w:r>
              <w:rPr>
                <w:rFonts w:hint="eastAsia" w:ascii="仿宋_GB2312" w:hAnsi="华文楷体" w:eastAsia="仿宋_GB2312" w:cs="宋体"/>
                <w:color w:val="auto"/>
                <w:sz w:val="28"/>
                <w:szCs w:val="28"/>
                <w:lang w:val="ru-RU" w:eastAsia="zh-CN"/>
              </w:rPr>
              <w:t>＜</w:t>
            </w:r>
            <w:r>
              <w:rPr>
                <w:rFonts w:hint="eastAsia" w:ascii="仿宋_GB2312" w:hAnsi="华文楷体" w:eastAsia="仿宋_GB2312" w:cs="宋体"/>
                <w:color w:val="auto"/>
                <w:sz w:val="28"/>
                <w:szCs w:val="28"/>
                <w:lang w:val="ru-RU"/>
              </w:rPr>
              <w:t>1</w:t>
            </w:r>
            <w:r>
              <w:rPr>
                <w:rFonts w:hint="eastAsia" w:ascii="仿宋_GB2312" w:hAnsi="华文楷体" w:eastAsia="仿宋_GB2312" w:cs="宋体"/>
                <w:color w:val="auto"/>
                <w:sz w:val="28"/>
                <w:szCs w:val="28"/>
                <w:lang w:val="ru-RU" w:eastAsia="zh-CN"/>
              </w:rPr>
              <w:t>5</w:t>
            </w:r>
            <w:r>
              <w:rPr>
                <w:rFonts w:hint="eastAsia" w:ascii="仿宋_GB2312" w:hAnsi="华文楷体" w:eastAsia="仿宋_GB2312" w:cs="宋体"/>
                <w:color w:val="auto"/>
                <w:sz w:val="28"/>
                <w:szCs w:val="28"/>
                <w:lang w:val="ru-RU"/>
              </w:rPr>
              <w:t>0%的得1分。</w:t>
            </w:r>
          </w:p>
          <w:p w14:paraId="779CD95C">
            <w:pPr>
              <w:pStyle w:val="29"/>
              <w:numPr>
                <w:ilvl w:val="0"/>
                <w:numId w:val="0"/>
              </w:numPr>
              <w:spacing w:line="560" w:lineRule="exact"/>
              <w:rPr>
                <w:rFonts w:hint="eastAsia" w:ascii="仿宋_GB2312" w:hAnsi="华文楷体" w:eastAsia="仿宋_GB2312" w:cs="宋体"/>
                <w:color w:val="auto"/>
                <w:sz w:val="28"/>
                <w:szCs w:val="28"/>
                <w:lang w:val="ru-RU"/>
              </w:rPr>
            </w:pPr>
            <w:r>
              <w:rPr>
                <w:rFonts w:hint="eastAsia" w:ascii="仿宋_GB2312" w:hAnsi="华文楷体" w:eastAsia="仿宋_GB2312" w:cs="宋体"/>
                <w:color w:val="auto"/>
                <w:sz w:val="28"/>
                <w:szCs w:val="28"/>
              </w:rPr>
              <w:t>(评审依据</w:t>
            </w:r>
            <w:r>
              <w:rPr>
                <w:rFonts w:hint="eastAsia" w:ascii="仿宋_GB2312" w:hAnsi="华文楷体" w:eastAsia="仿宋_GB2312" w:cs="宋体"/>
                <w:color w:val="auto"/>
                <w:sz w:val="28"/>
                <w:szCs w:val="28"/>
                <w:lang w:val="ru-RU"/>
              </w:rPr>
              <w:t>：提供总公司</w:t>
            </w:r>
            <w:r>
              <w:rPr>
                <w:rFonts w:hint="eastAsia" w:ascii="仿宋_GB2312" w:hAnsi="华文楷体" w:eastAsia="仿宋_GB2312" w:cs="宋体"/>
                <w:bCs/>
                <w:color w:val="auto"/>
                <w:sz w:val="28"/>
                <w:szCs w:val="28"/>
                <w:lang w:val="en-US" w:eastAsia="zh-CN"/>
              </w:rPr>
              <w:t>度最新公布数据</w:t>
            </w:r>
            <w:r>
              <w:rPr>
                <w:rFonts w:hint="eastAsia" w:ascii="仿宋_GB2312" w:hAnsi="华文楷体" w:eastAsia="仿宋_GB2312" w:cs="宋体"/>
                <w:color w:val="auto"/>
                <w:sz w:val="28"/>
                <w:szCs w:val="28"/>
                <w:lang w:val="ru-RU"/>
              </w:rPr>
              <w:t>经会计(审计)师事务所审计的会计报表中“偿付能力报告含核心偿付能力充足率相关页面”或“中国银保监会确认的核心偿付能力充足率材料、偿付能力状况技术分表”或中国保险行业协会官方网站公开披露的偿付能力报告截图(复印件或扫描件加盖投标人公章)，未提供或提供无效者不得分）</w:t>
            </w:r>
          </w:p>
          <w:p w14:paraId="6BBC92E9">
            <w:pPr>
              <w:pStyle w:val="29"/>
              <w:spacing w:line="560" w:lineRule="exact"/>
              <w:rPr>
                <w:rFonts w:hint="default" w:ascii="仿宋_GB2312" w:hAnsi="华文楷体" w:eastAsia="仿宋_GB2312" w:cs="宋体"/>
                <w:b/>
                <w:bCs/>
                <w:color w:val="auto"/>
                <w:sz w:val="28"/>
                <w:szCs w:val="28"/>
                <w:highlight w:val="yellow"/>
                <w:lang w:val="en-US" w:eastAsia="zh-CN"/>
              </w:rPr>
            </w:pPr>
            <w:r>
              <w:rPr>
                <w:rFonts w:hint="eastAsia" w:ascii="仿宋_GB2312" w:hAnsi="华文楷体" w:eastAsia="仿宋_GB2312" w:cs="宋体"/>
                <w:b/>
                <w:bCs/>
                <w:color w:val="auto"/>
                <w:sz w:val="28"/>
                <w:szCs w:val="28"/>
                <w:lang w:val="en-US" w:eastAsia="zh-CN"/>
              </w:rPr>
              <w:t>五、风险综合评级（5分）</w:t>
            </w:r>
            <w:r>
              <w:rPr>
                <w:rFonts w:hint="eastAsia" w:ascii="仿宋_GB2312" w:hAnsi="华文楷体" w:eastAsia="仿宋_GB2312" w:cs="宋体"/>
                <w:b/>
                <w:bCs/>
                <w:color w:val="auto"/>
                <w:sz w:val="28"/>
                <w:szCs w:val="28"/>
                <w:highlight w:val="none"/>
                <w:lang w:val="en-US" w:eastAsia="zh-CN"/>
              </w:rPr>
              <w:t>：</w:t>
            </w:r>
            <w:r>
              <w:rPr>
                <w:rFonts w:hint="eastAsia" w:ascii="仿宋_GB2312" w:hAnsi="华文楷体" w:eastAsia="仿宋_GB2312"/>
                <w:color w:val="auto"/>
                <w:sz w:val="28"/>
                <w:szCs w:val="28"/>
                <w:highlight w:val="none"/>
              </w:rPr>
              <w:t>响应供应商所属总公司</w:t>
            </w:r>
            <w:r>
              <w:rPr>
                <w:rFonts w:hint="eastAsia" w:ascii="仿宋_GB2312" w:hAnsi="华文楷体" w:eastAsia="仿宋_GB2312"/>
                <w:color w:val="auto"/>
                <w:sz w:val="28"/>
                <w:szCs w:val="28"/>
                <w:highlight w:val="none"/>
                <w:lang w:val="en-US" w:eastAsia="zh-CN"/>
              </w:rPr>
              <w:t>最新风险综合评级为A级以上的得5分，B级以上的得3分，其他不得分。</w:t>
            </w:r>
          </w:p>
          <w:p w14:paraId="1209ED70">
            <w:pPr>
              <w:pStyle w:val="29"/>
              <w:numPr>
                <w:ilvl w:val="0"/>
                <w:numId w:val="0"/>
              </w:numPr>
              <w:spacing w:line="560" w:lineRule="exact"/>
              <w:rPr>
                <w:rFonts w:hint="eastAsia" w:ascii="仿宋_GB2312" w:hAnsi="华文楷体" w:eastAsia="仿宋_GB2312" w:cs="宋体"/>
                <w:color w:val="auto"/>
                <w:sz w:val="28"/>
                <w:szCs w:val="28"/>
                <w:lang w:val="ru-RU"/>
              </w:rPr>
            </w:pPr>
            <w:r>
              <w:rPr>
                <w:rFonts w:hint="eastAsia" w:ascii="仿宋_GB2312" w:hAnsi="华文楷体" w:eastAsia="仿宋_GB2312" w:cs="宋体"/>
                <w:color w:val="auto"/>
                <w:sz w:val="28"/>
                <w:szCs w:val="28"/>
              </w:rPr>
              <w:t>(评审依据</w:t>
            </w:r>
            <w:r>
              <w:rPr>
                <w:rFonts w:hint="eastAsia" w:ascii="仿宋_GB2312" w:hAnsi="华文楷体" w:eastAsia="仿宋_GB2312" w:cs="宋体"/>
                <w:color w:val="auto"/>
                <w:sz w:val="28"/>
                <w:szCs w:val="28"/>
                <w:lang w:val="ru-RU"/>
              </w:rPr>
              <w:t>：提供总公司202</w:t>
            </w:r>
            <w:r>
              <w:rPr>
                <w:rFonts w:hint="eastAsia" w:ascii="仿宋_GB2312" w:hAnsi="华文楷体" w:eastAsia="仿宋_GB2312" w:cs="宋体"/>
                <w:color w:val="auto"/>
                <w:sz w:val="28"/>
                <w:szCs w:val="28"/>
                <w:lang w:val="en-US" w:eastAsia="zh-CN"/>
              </w:rPr>
              <w:t>4</w:t>
            </w:r>
            <w:r>
              <w:rPr>
                <w:rFonts w:hint="eastAsia" w:ascii="仿宋_GB2312" w:hAnsi="华文楷体" w:eastAsia="仿宋_GB2312" w:cs="宋体"/>
                <w:color w:val="auto"/>
                <w:sz w:val="28"/>
                <w:szCs w:val="28"/>
                <w:lang w:val="ru-RU"/>
              </w:rPr>
              <w:t>年</w:t>
            </w:r>
            <w:r>
              <w:rPr>
                <w:rFonts w:hint="eastAsia" w:ascii="仿宋_GB2312" w:hAnsi="华文楷体" w:eastAsia="仿宋_GB2312" w:cs="宋体"/>
                <w:color w:val="auto"/>
                <w:sz w:val="28"/>
                <w:szCs w:val="28"/>
                <w:lang w:val="en-US" w:eastAsia="zh-CN"/>
              </w:rPr>
              <w:t>4季度在</w:t>
            </w:r>
            <w:r>
              <w:rPr>
                <w:rFonts w:hint="eastAsia" w:ascii="仿宋_GB2312" w:hAnsi="华文楷体" w:eastAsia="仿宋_GB2312"/>
                <w:color w:val="auto"/>
                <w:sz w:val="28"/>
                <w:szCs w:val="28"/>
                <w:lang w:val="en-US" w:eastAsia="zh-CN"/>
              </w:rPr>
              <w:t>国家金融监督管理总-C-ROSS偿付能力监管信息系统风险综合评级</w:t>
            </w:r>
            <w:r>
              <w:rPr>
                <w:rFonts w:hint="eastAsia" w:ascii="仿宋_GB2312" w:hAnsi="华文楷体" w:eastAsia="仿宋_GB2312" w:cs="宋体"/>
                <w:color w:val="auto"/>
                <w:sz w:val="28"/>
                <w:szCs w:val="28"/>
                <w:lang w:val="en-US" w:eastAsia="zh-CN"/>
              </w:rPr>
              <w:t>查询截图，</w:t>
            </w:r>
            <w:r>
              <w:rPr>
                <w:rFonts w:hint="eastAsia" w:ascii="仿宋_GB2312" w:hAnsi="华文楷体" w:eastAsia="仿宋_GB2312" w:cs="宋体"/>
                <w:color w:val="auto"/>
                <w:sz w:val="28"/>
                <w:szCs w:val="28"/>
                <w:lang w:val="ru-RU"/>
              </w:rPr>
              <w:t>加盖投标人公章</w:t>
            </w:r>
            <w:r>
              <w:rPr>
                <w:rFonts w:hint="eastAsia" w:ascii="仿宋_GB2312" w:hAnsi="华文楷体" w:eastAsia="仿宋_GB2312" w:cs="宋体"/>
                <w:color w:val="auto"/>
                <w:sz w:val="28"/>
                <w:szCs w:val="28"/>
                <w:lang w:val="ru-RU" w:eastAsia="zh-CN"/>
              </w:rPr>
              <w:t>，</w:t>
            </w:r>
            <w:r>
              <w:rPr>
                <w:rFonts w:hint="eastAsia" w:ascii="仿宋_GB2312" w:hAnsi="华文楷体" w:eastAsia="仿宋_GB2312" w:cs="宋体"/>
                <w:color w:val="auto"/>
                <w:sz w:val="28"/>
                <w:szCs w:val="28"/>
                <w:lang w:val="en-US" w:eastAsia="zh-CN"/>
              </w:rPr>
              <w:t>未提供或提供无效者不得分）</w:t>
            </w:r>
          </w:p>
        </w:tc>
      </w:tr>
      <w:tr w14:paraId="4991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4" w:hRule="atLeast"/>
        </w:trPr>
        <w:tc>
          <w:tcPr>
            <w:tcW w:w="1283" w:type="dxa"/>
            <w:vAlign w:val="center"/>
          </w:tcPr>
          <w:p w14:paraId="7C14FCE6">
            <w:pPr>
              <w:widowControl/>
              <w:spacing w:line="360" w:lineRule="auto"/>
              <w:jc w:val="center"/>
              <w:rPr>
                <w:rFonts w:ascii="仿宋_GB2312" w:hAnsi="华文楷体" w:eastAsia="仿宋_GB2312" w:cs="宋体"/>
                <w:kern w:val="0"/>
                <w:sz w:val="28"/>
                <w:szCs w:val="28"/>
              </w:rPr>
            </w:pPr>
            <w:r>
              <w:rPr>
                <w:rFonts w:hint="eastAsia" w:ascii="仿宋_GB2312" w:hAnsi="华文楷体" w:eastAsia="仿宋_GB2312" w:cs="宋体"/>
                <w:kern w:val="0"/>
                <w:sz w:val="28"/>
                <w:szCs w:val="28"/>
                <w:lang w:val="en-US" w:eastAsia="zh-CN"/>
              </w:rPr>
              <w:t>技术</w:t>
            </w:r>
            <w:r>
              <w:rPr>
                <w:rFonts w:hint="eastAsia" w:ascii="仿宋_GB2312" w:hAnsi="华文楷体" w:eastAsia="仿宋_GB2312" w:cs="宋体"/>
                <w:kern w:val="0"/>
                <w:sz w:val="28"/>
                <w:szCs w:val="28"/>
              </w:rPr>
              <w:t>分</w:t>
            </w:r>
          </w:p>
          <w:p w14:paraId="706FD607">
            <w:pPr>
              <w:widowControl/>
              <w:spacing w:line="360" w:lineRule="auto"/>
              <w:jc w:val="center"/>
              <w:rPr>
                <w:rFonts w:ascii="仿宋_GB2312" w:hAnsi="华文楷体" w:eastAsia="仿宋_GB2312" w:cs="宋体"/>
                <w:kern w:val="0"/>
                <w:sz w:val="28"/>
                <w:szCs w:val="28"/>
              </w:rPr>
            </w:pPr>
            <w:r>
              <w:rPr>
                <w:rFonts w:hint="eastAsia" w:ascii="仿宋_GB2312" w:hAnsi="华文楷体" w:eastAsia="仿宋_GB2312" w:cs="宋体"/>
                <w:kern w:val="0"/>
                <w:sz w:val="28"/>
                <w:szCs w:val="28"/>
              </w:rPr>
              <w:t>（</w:t>
            </w:r>
            <w:r>
              <w:rPr>
                <w:rFonts w:hint="eastAsia" w:ascii="仿宋_GB2312" w:hAnsi="华文楷体" w:eastAsia="仿宋_GB2312" w:cs="宋体"/>
                <w:kern w:val="0"/>
                <w:sz w:val="28"/>
                <w:szCs w:val="28"/>
                <w:lang w:val="en-US" w:eastAsia="zh-CN"/>
              </w:rPr>
              <w:t>5</w:t>
            </w:r>
            <w:r>
              <w:rPr>
                <w:rFonts w:hint="eastAsia" w:ascii="仿宋_GB2312" w:hAnsi="华文楷体" w:eastAsia="仿宋_GB2312" w:cs="宋体"/>
                <w:kern w:val="0"/>
                <w:sz w:val="28"/>
                <w:szCs w:val="28"/>
              </w:rPr>
              <w:t>0分）</w:t>
            </w:r>
          </w:p>
        </w:tc>
        <w:tc>
          <w:tcPr>
            <w:tcW w:w="6914" w:type="dxa"/>
          </w:tcPr>
          <w:p w14:paraId="61433C58">
            <w:pPr>
              <w:autoSpaceDE w:val="0"/>
              <w:autoSpaceDN w:val="0"/>
              <w:spacing w:line="560" w:lineRule="exact"/>
              <w:jc w:val="left"/>
              <w:rPr>
                <w:rFonts w:ascii="仿宋_GB2312" w:hAnsi="华文楷体" w:eastAsia="仿宋_GB2312" w:cs="宋体"/>
                <w:b/>
                <w:bCs/>
                <w:kern w:val="0"/>
                <w:sz w:val="24"/>
                <w:szCs w:val="24"/>
              </w:rPr>
            </w:pPr>
            <w:r>
              <w:rPr>
                <w:rFonts w:hint="eastAsia" w:ascii="仿宋_GB2312" w:hAnsi="华文楷体" w:eastAsia="仿宋_GB2312" w:cs="宋体"/>
                <w:b/>
                <w:bCs/>
                <w:kern w:val="0"/>
                <w:sz w:val="24"/>
                <w:szCs w:val="24"/>
              </w:rPr>
              <w:t>一、服务</w:t>
            </w:r>
            <w:r>
              <w:rPr>
                <w:rFonts w:hint="eastAsia" w:ascii="仿宋_GB2312" w:hAnsi="华文楷体" w:eastAsia="仿宋_GB2312" w:cs="宋体"/>
                <w:b/>
                <w:bCs/>
                <w:kern w:val="0"/>
                <w:sz w:val="24"/>
                <w:szCs w:val="24"/>
                <w:lang w:val="en-US" w:eastAsia="zh-CN"/>
              </w:rPr>
              <w:t>与承诺</w:t>
            </w:r>
            <w:r>
              <w:rPr>
                <w:rFonts w:hint="eastAsia" w:ascii="仿宋_GB2312" w:hAnsi="华文楷体" w:eastAsia="仿宋_GB2312" w:cs="宋体"/>
                <w:b/>
                <w:bCs/>
                <w:kern w:val="0"/>
                <w:sz w:val="24"/>
                <w:szCs w:val="24"/>
              </w:rPr>
              <w:t>（</w:t>
            </w:r>
            <w:r>
              <w:rPr>
                <w:rFonts w:hint="eastAsia" w:ascii="仿宋_GB2312" w:hAnsi="华文楷体" w:eastAsia="仿宋_GB2312" w:cs="宋体"/>
                <w:b/>
                <w:bCs/>
                <w:kern w:val="0"/>
                <w:sz w:val="24"/>
                <w:szCs w:val="24"/>
                <w:lang w:val="en-US" w:eastAsia="zh-CN"/>
              </w:rPr>
              <w:t>5</w:t>
            </w:r>
            <w:r>
              <w:rPr>
                <w:rFonts w:hint="eastAsia" w:ascii="仿宋_GB2312" w:hAnsi="华文楷体" w:eastAsia="仿宋_GB2312" w:cs="宋体"/>
                <w:b/>
                <w:bCs/>
                <w:kern w:val="0"/>
                <w:sz w:val="24"/>
                <w:szCs w:val="24"/>
              </w:rPr>
              <w:t>0分）：</w:t>
            </w:r>
          </w:p>
          <w:p w14:paraId="2FC47180">
            <w:pPr>
              <w:autoSpaceDE w:val="0"/>
              <w:autoSpaceDN w:val="0"/>
              <w:spacing w:line="560" w:lineRule="exact"/>
              <w:jc w:val="left"/>
              <w:rPr>
                <w:rFonts w:hint="eastAsia" w:ascii="仿宋_GB2312" w:hAnsi="华文楷体" w:eastAsia="仿宋_GB2312" w:cs="宋体"/>
                <w:b/>
                <w:bCs/>
                <w:color w:val="auto"/>
                <w:kern w:val="0"/>
                <w:sz w:val="32"/>
                <w:szCs w:val="32"/>
                <w:lang w:val="en-US" w:eastAsia="zh-CN" w:bidi="ar-SA"/>
              </w:rPr>
            </w:pPr>
            <w:r>
              <w:rPr>
                <w:rFonts w:hint="eastAsia" w:ascii="仿宋_GB2312" w:hAnsi="华文楷体" w:eastAsia="仿宋_GB2312" w:cs="宋体"/>
                <w:b/>
                <w:bCs/>
                <w:color w:val="auto"/>
                <w:kern w:val="0"/>
                <w:sz w:val="32"/>
                <w:szCs w:val="32"/>
                <w:lang w:val="en-US" w:eastAsia="zh-CN" w:bidi="ar-SA"/>
              </w:rPr>
              <w:t>1、建筑工程安全生产责任险赔偿限额承诺（15分）</w:t>
            </w:r>
          </w:p>
          <w:p w14:paraId="64FCA0D2">
            <w:pPr>
              <w:ind w:left="0" w:leftChars="0" w:firstLine="0" w:firstLineChars="0"/>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4"/>
                <w:szCs w:val="24"/>
                <w:lang w:val="en-US" w:eastAsia="zh-CN" w:bidi="ar-SA"/>
              </w:rPr>
              <w:t>（1）施工人员每次事故每人死亡、伤残赔偿限额承诺（最低60万元）（3分）</w:t>
            </w:r>
          </w:p>
          <w:p w14:paraId="0560181D">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所有参与询价单位承诺赔偿限额排名，第一名得3分，第二名得2.5分，第三名得2分，三名以外均得1.8分。</w:t>
            </w:r>
          </w:p>
          <w:p w14:paraId="72367B65">
            <w:pPr>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4"/>
                <w:szCs w:val="24"/>
                <w:lang w:val="en-US" w:eastAsia="zh-CN" w:bidi="ar-SA"/>
              </w:rPr>
              <w:t>（2）施工人员每次事故每人医疗费用赔偿限额承诺</w:t>
            </w:r>
            <w:r>
              <w:rPr>
                <w:rFonts w:hint="eastAsia" w:ascii="仿宋_GB2312" w:hAnsi="华文楷体" w:eastAsia="仿宋_GB2312" w:cs="宋体"/>
                <w:b/>
                <w:bCs/>
                <w:color w:val="auto"/>
                <w:kern w:val="0"/>
                <w:sz w:val="24"/>
                <w:szCs w:val="24"/>
                <w:highlight w:val="none"/>
                <w:lang w:val="en-US" w:eastAsia="zh-CN" w:bidi="ar-SA"/>
              </w:rPr>
              <w:t>（最低6万元）</w:t>
            </w:r>
            <w:r>
              <w:rPr>
                <w:rFonts w:hint="eastAsia" w:ascii="仿宋_GB2312" w:hAnsi="华文楷体" w:eastAsia="仿宋_GB2312" w:cs="宋体"/>
                <w:b/>
                <w:bCs/>
                <w:color w:val="auto"/>
                <w:kern w:val="0"/>
                <w:sz w:val="24"/>
                <w:szCs w:val="24"/>
                <w:lang w:val="en-US" w:eastAsia="zh-CN" w:bidi="ar-SA"/>
              </w:rPr>
              <w:t>（3分）</w:t>
            </w:r>
          </w:p>
          <w:p w14:paraId="3D774E7A">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所有参与询价单位承诺赔偿限额排名，第一名得3分，第二名得2.5分，第三名得2分，三名以外均得1.8分。</w:t>
            </w:r>
          </w:p>
          <w:p w14:paraId="2B0360EE">
            <w:pPr>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4"/>
                <w:szCs w:val="24"/>
                <w:lang w:val="en-US" w:eastAsia="zh-CN" w:bidi="ar-SA"/>
              </w:rPr>
              <w:t>（3）累计责任限额承诺（最低500万元）（3分）</w:t>
            </w:r>
          </w:p>
          <w:p w14:paraId="00B0C72F">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所有参与询价单位承诺赔偿限额排名，第一名得3分，第二名得2.5分，第三名得2分，三名以外均得1.8分。</w:t>
            </w:r>
          </w:p>
          <w:p w14:paraId="67B46D7D">
            <w:pPr>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4"/>
                <w:szCs w:val="24"/>
                <w:lang w:val="en-US" w:eastAsia="zh-CN" w:bidi="ar-SA"/>
              </w:rPr>
              <w:t>（4）安全生产责任险第三者保障承诺（最低80万元）（3分）</w:t>
            </w:r>
          </w:p>
          <w:p w14:paraId="51694B9D">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所有参与询价单位承诺赔偿限额排名，第一名得3分，第二名得2.5分，第三名得2分，三名以外均得1.8分。</w:t>
            </w:r>
          </w:p>
          <w:p w14:paraId="06748871">
            <w:pPr>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4"/>
                <w:szCs w:val="24"/>
                <w:lang w:val="en-US" w:eastAsia="zh-CN" w:bidi="ar-SA"/>
              </w:rPr>
              <w:t>（5）每次事故责任限额承诺（最低300万元）（3分）</w:t>
            </w:r>
          </w:p>
          <w:p w14:paraId="2B8D5F9A">
            <w:pPr>
              <w:ind w:firstLine="560" w:firstLineChars="200"/>
              <w:rPr>
                <w:rFonts w:hint="default"/>
                <w:lang w:val="en-US" w:eastAsia="zh-CN"/>
              </w:rPr>
            </w:pPr>
            <w:r>
              <w:rPr>
                <w:rFonts w:hint="eastAsia" w:ascii="仿宋_GB2312" w:hAnsi="华文楷体" w:eastAsia="仿宋_GB2312" w:cs="宋体"/>
                <w:b w:val="0"/>
                <w:color w:val="auto"/>
                <w:kern w:val="0"/>
                <w:sz w:val="28"/>
                <w:szCs w:val="28"/>
                <w:lang w:val="en-US" w:eastAsia="zh-CN" w:bidi="ar-SA"/>
              </w:rPr>
              <w:t>所有参与询价单位承诺赔偿限额排名，第一名得3分，第二名得2.5分，第三名得2分，三名以外均得1.8分。</w:t>
            </w:r>
          </w:p>
          <w:p w14:paraId="40D9C77E">
            <w:pPr>
              <w:rPr>
                <w:rFonts w:hint="eastAsia" w:ascii="仿宋_GB2312" w:hAnsi="华文楷体" w:eastAsia="仿宋_GB2312" w:cs="宋体"/>
                <w:b/>
                <w:bCs/>
                <w:color w:val="auto"/>
                <w:kern w:val="0"/>
                <w:sz w:val="32"/>
                <w:szCs w:val="32"/>
                <w:lang w:val="en-US" w:eastAsia="zh-CN" w:bidi="ar-SA"/>
              </w:rPr>
            </w:pPr>
            <w:r>
              <w:rPr>
                <w:rFonts w:hint="eastAsia" w:ascii="仿宋_GB2312" w:hAnsi="华文楷体" w:eastAsia="仿宋_GB2312" w:cs="宋体"/>
                <w:b/>
                <w:bCs/>
                <w:color w:val="auto"/>
                <w:kern w:val="0"/>
                <w:sz w:val="32"/>
                <w:szCs w:val="32"/>
                <w:lang w:val="en-US" w:eastAsia="zh-CN" w:bidi="ar-SA"/>
              </w:rPr>
              <w:t>2、工程一切险承诺（6分）</w:t>
            </w:r>
          </w:p>
          <w:p w14:paraId="5C9A6663">
            <w:p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（1）赔偿限额承诺（3分）</w:t>
            </w:r>
          </w:p>
          <w:p w14:paraId="032E9E89">
            <w:pPr>
              <w:ind w:firstLine="560" w:firstLineChars="200"/>
              <w:rPr>
                <w:rFonts w:hint="default"/>
                <w:sz w:val="21"/>
                <w:szCs w:val="24"/>
                <w:lang w:val="en-US" w:eastAsia="zh-CN"/>
              </w:rPr>
            </w:pPr>
            <w:r>
              <w:rPr>
                <w:rFonts w:hint="eastAsia" w:ascii="仿宋_GB2312" w:hAnsi="华文楷体" w:eastAsia="仿宋_GB2312" w:cs="宋体"/>
                <w:b w:val="0"/>
                <w:color w:val="auto"/>
                <w:kern w:val="0"/>
                <w:sz w:val="28"/>
                <w:szCs w:val="28"/>
                <w:lang w:val="en-US" w:eastAsia="zh-CN" w:bidi="ar-SA"/>
              </w:rPr>
              <w:t>所有参与询价单位承诺赔偿限额排名，第一名得3分，第二名得2.5分，第三名得2分，三名以外均得1.8分。</w:t>
            </w:r>
          </w:p>
          <w:p w14:paraId="23E314C6">
            <w:pPr>
              <w:numPr>
                <w:ilvl w:val="0"/>
                <w:numId w:val="3"/>
              </w:num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每次事故免赔承诺（3分）</w:t>
            </w:r>
          </w:p>
          <w:p w14:paraId="62DB1579">
            <w:pPr>
              <w:ind w:firstLine="560" w:firstLineChars="200"/>
              <w:rPr>
                <w:rFonts w:hint="default"/>
                <w:sz w:val="21"/>
                <w:szCs w:val="24"/>
                <w:lang w:val="en-US" w:eastAsia="zh-CN"/>
              </w:rPr>
            </w:pPr>
            <w:r>
              <w:rPr>
                <w:rFonts w:hint="eastAsia" w:ascii="仿宋_GB2312" w:hAnsi="华文楷体" w:eastAsia="仿宋_GB2312" w:cs="宋体"/>
                <w:b w:val="0"/>
                <w:color w:val="auto"/>
                <w:kern w:val="0"/>
                <w:sz w:val="28"/>
                <w:szCs w:val="28"/>
                <w:lang w:val="en-US" w:eastAsia="zh-CN" w:bidi="ar-SA"/>
              </w:rPr>
              <w:t>所有参与询价单位承诺赔偿限额排名，第一名得3分，第二名得2.5分，第三名得2分，三名以外均得1.8分。</w:t>
            </w:r>
          </w:p>
          <w:p w14:paraId="0706954B">
            <w:pPr>
              <w:numPr>
                <w:ilvl w:val="0"/>
                <w:numId w:val="4"/>
              </w:numPr>
              <w:rPr>
                <w:rFonts w:hint="eastAsia" w:ascii="仿宋_GB2312" w:hAnsi="华文楷体" w:eastAsia="仿宋_GB2312" w:cs="宋体"/>
                <w:b/>
                <w:bCs/>
                <w:color w:val="auto"/>
                <w:kern w:val="0"/>
                <w:sz w:val="32"/>
                <w:szCs w:val="32"/>
                <w:lang w:val="en-US" w:eastAsia="zh-CN" w:bidi="ar-SA"/>
              </w:rPr>
            </w:pPr>
            <w:r>
              <w:rPr>
                <w:rFonts w:hint="eastAsia" w:ascii="仿宋_GB2312" w:hAnsi="华文楷体" w:eastAsia="仿宋_GB2312" w:cs="宋体"/>
                <w:b/>
                <w:bCs/>
                <w:color w:val="auto"/>
                <w:kern w:val="0"/>
                <w:sz w:val="32"/>
                <w:szCs w:val="32"/>
                <w:lang w:val="en-US" w:eastAsia="zh-CN" w:bidi="ar-SA"/>
              </w:rPr>
              <w:t>第三者责任险承诺（15分）</w:t>
            </w:r>
          </w:p>
          <w:p w14:paraId="66F6F237">
            <w:p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（1）每次事故赔偿限额承诺</w:t>
            </w:r>
            <w:r>
              <w:rPr>
                <w:rFonts w:hint="eastAsia" w:ascii="仿宋_GB2312" w:hAnsi="华文楷体" w:eastAsia="仿宋_GB2312" w:cs="宋体"/>
                <w:b/>
                <w:bCs/>
                <w:color w:val="auto"/>
                <w:kern w:val="0"/>
                <w:sz w:val="24"/>
                <w:szCs w:val="24"/>
                <w:lang w:val="en-US" w:eastAsia="zh-CN" w:bidi="ar-SA"/>
              </w:rPr>
              <w:t>（最低300万元）</w:t>
            </w:r>
            <w:r>
              <w:rPr>
                <w:rFonts w:hint="eastAsia" w:ascii="仿宋_GB2312" w:hAnsi="华文楷体" w:eastAsia="仿宋_GB2312" w:cs="宋体"/>
                <w:b/>
                <w:bCs/>
                <w:color w:val="auto"/>
                <w:kern w:val="0"/>
                <w:sz w:val="28"/>
                <w:szCs w:val="28"/>
                <w:lang w:val="en-US" w:eastAsia="zh-CN" w:bidi="ar-SA"/>
              </w:rPr>
              <w:t>（3分）</w:t>
            </w:r>
          </w:p>
          <w:p w14:paraId="662F002A">
            <w:pPr>
              <w:ind w:firstLine="560" w:firstLineChars="200"/>
              <w:rPr>
                <w:rFonts w:hint="eastAsia"/>
                <w:lang w:val="en-US" w:eastAsia="zh-CN"/>
              </w:rPr>
            </w:pP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14:paraId="403D3EDE">
            <w:p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（2）累计赔偿限额承诺（最低1000万元）（3分）</w:t>
            </w:r>
          </w:p>
          <w:p w14:paraId="278DCF50">
            <w:pPr>
              <w:ind w:firstLine="560" w:firstLineChars="200"/>
              <w:rPr>
                <w:rFonts w:hint="eastAsia"/>
                <w:lang w:val="en-US" w:eastAsia="zh-CN"/>
              </w:rPr>
            </w:pP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14:paraId="5EB520A2">
            <w:pPr>
              <w:numPr>
                <w:ilvl w:val="0"/>
                <w:numId w:val="0"/>
              </w:numPr>
              <w:ind w:leftChars="0"/>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8"/>
                <w:szCs w:val="28"/>
                <w:lang w:val="en-US" w:eastAsia="zh-CN" w:bidi="ar-SA"/>
              </w:rPr>
              <w:t>（3）每次财产损失、人员伤亡限额（最低300万元）（3分）</w:t>
            </w:r>
          </w:p>
          <w:p w14:paraId="2F44F182">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14:paraId="14FE9755">
            <w:pPr>
              <w:numPr>
                <w:ilvl w:val="0"/>
                <w:numId w:val="0"/>
              </w:numPr>
              <w:ind w:leftChars="0"/>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（4）每人每次伤亡限额（最低60万元）（3分）</w:t>
            </w:r>
          </w:p>
          <w:p w14:paraId="4C3DB27D">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14:paraId="70A22CC1">
            <w:pPr>
              <w:keepNext w:val="0"/>
              <w:keepLines w:val="0"/>
              <w:widowControl/>
              <w:suppressLineNumbers w:val="0"/>
              <w:jc w:val="left"/>
              <w:rPr>
                <w:rFonts w:hint="default"/>
                <w:lang w:val="en-US" w:eastAsia="zh-CN"/>
              </w:rPr>
            </w:pPr>
          </w:p>
          <w:p w14:paraId="53C26E6F">
            <w:pPr>
              <w:numPr>
                <w:ilvl w:val="0"/>
                <w:numId w:val="0"/>
              </w:num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（5）每次事故免赔承诺（3分）</w:t>
            </w:r>
          </w:p>
          <w:p w14:paraId="2F648F68">
            <w:pPr>
              <w:ind w:firstLine="560" w:firstLineChars="200"/>
              <w:rPr>
                <w:rFonts w:hint="default"/>
                <w:sz w:val="21"/>
                <w:szCs w:val="24"/>
                <w:lang w:val="en-US" w:eastAsia="zh-CN"/>
              </w:rPr>
            </w:pP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14:paraId="1B84C0CA">
            <w:pPr>
              <w:pStyle w:val="2"/>
              <w:rPr>
                <w:rFonts w:hint="eastAsia"/>
                <w:lang w:val="en-US" w:eastAsia="zh-CN"/>
              </w:rPr>
            </w:pPr>
            <w:r>
              <w:rPr>
                <w:rFonts w:hint="eastAsia" w:ascii="宋体" w:hAnsi="宋体" w:eastAsia="宋体" w:cs="宋体"/>
                <w:snapToGrid/>
                <w:kern w:val="0"/>
                <w:sz w:val="24"/>
                <w:highlight w:val="none"/>
              </w:rPr>
              <w:t>注：以上“事故”是指每一次事故或由同一原因/同一事件引起的一系列事故。</w:t>
            </w:r>
          </w:p>
          <w:p w14:paraId="242C3780">
            <w:pPr>
              <w:numPr>
                <w:ilvl w:val="0"/>
                <w:numId w:val="4"/>
              </w:numPr>
              <w:rPr>
                <w:rFonts w:hint="default"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售后服务方案（14分）</w:t>
            </w:r>
          </w:p>
          <w:p w14:paraId="37671D03">
            <w:pPr>
              <w:numPr>
                <w:ilvl w:val="0"/>
                <w:numId w:val="5"/>
              </w:num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对售后服务团队建设、后续理赔方案及承诺（2分）</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autofit"/>
              <w:tblCellMar>
                <w:top w:w="0" w:type="dxa"/>
                <w:left w:w="0" w:type="dxa"/>
                <w:bottom w:w="0" w:type="dxa"/>
                <w:right w:w="0" w:type="dxa"/>
              </w:tblCellMar>
            </w:tblPr>
            <w:tblGrid>
              <w:gridCol w:w="1392"/>
              <w:gridCol w:w="1080"/>
              <w:gridCol w:w="1236"/>
              <w:gridCol w:w="1236"/>
              <w:gridCol w:w="1236"/>
              <w:gridCol w:w="1236"/>
            </w:tblGrid>
            <w:tr w14:paraId="6E4F9EA4">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7416" w:type="dxa"/>
                  <w:gridSpan w:val="6"/>
                  <w:tcBorders>
                    <w:top w:val="single" w:color="auto" w:sz="12" w:space="0"/>
                    <w:bottom w:val="single" w:color="auto" w:sz="4" w:space="0"/>
                  </w:tcBorders>
                  <w:shd w:val="clear" w:color="auto" w:fill="CCCCCC"/>
                  <w:noWrap w:val="0"/>
                  <w:vAlign w:val="center"/>
                </w:tcPr>
                <w:p w14:paraId="733FA803">
                  <w:pPr>
                    <w:spacing w:after="0" w:line="480" w:lineRule="exact"/>
                    <w:jc w:val="center"/>
                    <w:rPr>
                      <w:rFonts w:hint="default" w:ascii="宋体" w:hAnsi="宋体" w:eastAsia="宋体"/>
                      <w:b/>
                      <w:sz w:val="21"/>
                      <w:szCs w:val="21"/>
                      <w:highlight w:val="none"/>
                      <w:lang w:val="en-US" w:eastAsia="zh-CN"/>
                    </w:rPr>
                  </w:pPr>
                  <w:r>
                    <w:rPr>
                      <w:rFonts w:hint="eastAsia" w:ascii="宋体" w:hAnsi="宋体"/>
                      <w:b/>
                      <w:sz w:val="21"/>
                      <w:szCs w:val="21"/>
                      <w:highlight w:val="none"/>
                      <w:lang w:val="en-US" w:eastAsia="zh-CN"/>
                    </w:rPr>
                    <w:t>团队建设</w:t>
                  </w:r>
                </w:p>
              </w:tc>
            </w:tr>
            <w:tr w14:paraId="1700570A">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tcBorders>
                    <w:top w:val="single" w:color="auto" w:sz="4" w:space="0"/>
                  </w:tcBorders>
                  <w:noWrap w:val="0"/>
                  <w:vAlign w:val="center"/>
                </w:tcPr>
                <w:p w14:paraId="3E35B56A">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职责</w:t>
                  </w:r>
                </w:p>
              </w:tc>
              <w:tc>
                <w:tcPr>
                  <w:tcW w:w="1080" w:type="dxa"/>
                  <w:tcBorders>
                    <w:top w:val="single" w:color="auto" w:sz="4" w:space="0"/>
                  </w:tcBorders>
                  <w:noWrap w:val="0"/>
                  <w:vAlign w:val="center"/>
                </w:tcPr>
                <w:p w14:paraId="552A6861">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姓名</w:t>
                  </w:r>
                </w:p>
              </w:tc>
              <w:tc>
                <w:tcPr>
                  <w:tcW w:w="1236" w:type="dxa"/>
                  <w:tcBorders>
                    <w:top w:val="single" w:color="auto" w:sz="4" w:space="0"/>
                  </w:tcBorders>
                  <w:noWrap w:val="0"/>
                  <w:vAlign w:val="center"/>
                </w:tcPr>
                <w:p w14:paraId="51BAC567">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职务</w:t>
                  </w:r>
                </w:p>
              </w:tc>
              <w:tc>
                <w:tcPr>
                  <w:tcW w:w="1236" w:type="dxa"/>
                  <w:tcBorders>
                    <w:top w:val="single" w:color="auto" w:sz="4" w:space="0"/>
                  </w:tcBorders>
                  <w:noWrap w:val="0"/>
                  <w:vAlign w:val="center"/>
                </w:tcPr>
                <w:p w14:paraId="16D1DA09">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手机</w:t>
                  </w:r>
                </w:p>
              </w:tc>
              <w:tc>
                <w:tcPr>
                  <w:tcW w:w="1236" w:type="dxa"/>
                  <w:tcBorders>
                    <w:top w:val="single" w:color="auto" w:sz="4" w:space="0"/>
                  </w:tcBorders>
                  <w:noWrap w:val="0"/>
                  <w:vAlign w:val="center"/>
                </w:tcPr>
                <w:p w14:paraId="7E04A8DD">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固话</w:t>
                  </w:r>
                </w:p>
              </w:tc>
              <w:tc>
                <w:tcPr>
                  <w:tcW w:w="1236" w:type="dxa"/>
                  <w:tcBorders>
                    <w:top w:val="single" w:color="auto" w:sz="4" w:space="0"/>
                  </w:tcBorders>
                  <w:noWrap w:val="0"/>
                  <w:vAlign w:val="center"/>
                </w:tcPr>
                <w:p w14:paraId="0FE0361B">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传真</w:t>
                  </w:r>
                </w:p>
              </w:tc>
            </w:tr>
            <w:tr w14:paraId="12D98CC0">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tcBorders>
                    <w:top w:val="single" w:color="auto" w:sz="4" w:space="0"/>
                  </w:tcBorders>
                  <w:noWrap w:val="0"/>
                  <w:vAlign w:val="center"/>
                </w:tcPr>
                <w:p w14:paraId="68A9F006">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hint="eastAsia" w:ascii="宋体" w:hAnsi="宋体"/>
                      <w:kern w:val="0"/>
                      <w:sz w:val="21"/>
                      <w:szCs w:val="21"/>
                      <w:highlight w:val="none"/>
                      <w:lang w:eastAsia="zh-CN" w:bidi="en-US"/>
                    </w:rPr>
                    <w:t>总</w:t>
                  </w:r>
                  <w:r>
                    <w:rPr>
                      <w:rFonts w:ascii="宋体" w:hAnsi="宋体"/>
                      <w:kern w:val="0"/>
                      <w:sz w:val="21"/>
                      <w:szCs w:val="21"/>
                      <w:highlight w:val="none"/>
                      <w:lang w:eastAsia="zh-CN" w:bidi="en-US"/>
                    </w:rPr>
                    <w:t>公司协调</w:t>
                  </w:r>
                  <w:r>
                    <w:rPr>
                      <w:rFonts w:hint="eastAsia" w:ascii="宋体" w:hAnsi="宋体"/>
                      <w:kern w:val="0"/>
                      <w:sz w:val="21"/>
                      <w:szCs w:val="21"/>
                      <w:highlight w:val="none"/>
                      <w:lang w:eastAsia="zh-CN" w:bidi="en-US"/>
                    </w:rPr>
                    <w:t>人</w:t>
                  </w:r>
                </w:p>
              </w:tc>
              <w:tc>
                <w:tcPr>
                  <w:tcW w:w="1080" w:type="dxa"/>
                  <w:tcBorders>
                    <w:top w:val="single" w:color="auto" w:sz="4" w:space="0"/>
                  </w:tcBorders>
                  <w:noWrap w:val="0"/>
                  <w:vAlign w:val="center"/>
                </w:tcPr>
                <w:p w14:paraId="7BD94765">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3E493E4F">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095F817B">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33A24B98">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3E73CF80">
                  <w:pPr>
                    <w:spacing w:after="0" w:line="480" w:lineRule="exact"/>
                    <w:jc w:val="center"/>
                    <w:rPr>
                      <w:rFonts w:ascii="宋体" w:hAnsi="宋体" w:eastAsia="宋体"/>
                      <w:b/>
                      <w:sz w:val="21"/>
                      <w:szCs w:val="21"/>
                      <w:highlight w:val="none"/>
                    </w:rPr>
                  </w:pPr>
                </w:p>
              </w:tc>
            </w:tr>
            <w:tr w14:paraId="221EF258">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79266BDF">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项目负责人</w:t>
                  </w:r>
                </w:p>
              </w:tc>
              <w:tc>
                <w:tcPr>
                  <w:tcW w:w="1080" w:type="dxa"/>
                  <w:noWrap w:val="0"/>
                  <w:vAlign w:val="center"/>
                </w:tcPr>
                <w:p w14:paraId="09D68ABB">
                  <w:pPr>
                    <w:spacing w:after="0" w:line="480" w:lineRule="exact"/>
                    <w:jc w:val="center"/>
                    <w:rPr>
                      <w:rFonts w:ascii="宋体" w:hAnsi="宋体" w:eastAsia="宋体"/>
                      <w:sz w:val="21"/>
                      <w:szCs w:val="21"/>
                      <w:highlight w:val="none"/>
                    </w:rPr>
                  </w:pPr>
                </w:p>
              </w:tc>
              <w:tc>
                <w:tcPr>
                  <w:tcW w:w="1236" w:type="dxa"/>
                  <w:noWrap w:val="0"/>
                  <w:vAlign w:val="center"/>
                </w:tcPr>
                <w:p w14:paraId="25441C43">
                  <w:pPr>
                    <w:spacing w:after="0" w:line="480" w:lineRule="exact"/>
                    <w:jc w:val="center"/>
                    <w:rPr>
                      <w:rFonts w:ascii="宋体" w:hAnsi="宋体" w:eastAsia="宋体"/>
                      <w:sz w:val="21"/>
                      <w:szCs w:val="21"/>
                      <w:highlight w:val="none"/>
                    </w:rPr>
                  </w:pPr>
                </w:p>
              </w:tc>
              <w:tc>
                <w:tcPr>
                  <w:tcW w:w="1236" w:type="dxa"/>
                  <w:noWrap w:val="0"/>
                  <w:vAlign w:val="center"/>
                </w:tcPr>
                <w:p w14:paraId="1AA6B06D">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4948899A">
                  <w:pPr>
                    <w:spacing w:after="0" w:line="480" w:lineRule="exact"/>
                    <w:jc w:val="center"/>
                    <w:rPr>
                      <w:rFonts w:ascii="宋体" w:hAnsi="宋体" w:eastAsia="宋体"/>
                      <w:sz w:val="21"/>
                      <w:szCs w:val="21"/>
                      <w:highlight w:val="none"/>
                    </w:rPr>
                  </w:pPr>
                </w:p>
              </w:tc>
              <w:tc>
                <w:tcPr>
                  <w:tcW w:w="1236" w:type="dxa"/>
                  <w:noWrap w:val="0"/>
                  <w:vAlign w:val="center"/>
                </w:tcPr>
                <w:p w14:paraId="5020B81A">
                  <w:pPr>
                    <w:spacing w:after="0" w:line="480" w:lineRule="exact"/>
                    <w:jc w:val="center"/>
                    <w:rPr>
                      <w:rFonts w:ascii="宋体" w:hAnsi="宋体" w:eastAsia="宋体"/>
                      <w:sz w:val="21"/>
                      <w:szCs w:val="21"/>
                      <w:highlight w:val="none"/>
                    </w:rPr>
                  </w:pPr>
                </w:p>
              </w:tc>
            </w:tr>
            <w:tr w14:paraId="0C73D59F">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4D365A45">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承保服务</w:t>
                  </w:r>
                </w:p>
              </w:tc>
              <w:tc>
                <w:tcPr>
                  <w:tcW w:w="1080" w:type="dxa"/>
                  <w:noWrap w:val="0"/>
                  <w:vAlign w:val="center"/>
                </w:tcPr>
                <w:p w14:paraId="4F3AD1B1">
                  <w:pPr>
                    <w:spacing w:after="0" w:line="480" w:lineRule="exact"/>
                    <w:jc w:val="center"/>
                    <w:rPr>
                      <w:rFonts w:ascii="宋体" w:hAnsi="宋体" w:eastAsia="宋体"/>
                      <w:sz w:val="21"/>
                      <w:szCs w:val="21"/>
                      <w:highlight w:val="none"/>
                    </w:rPr>
                  </w:pPr>
                </w:p>
              </w:tc>
              <w:tc>
                <w:tcPr>
                  <w:tcW w:w="1236" w:type="dxa"/>
                  <w:noWrap w:val="0"/>
                  <w:vAlign w:val="center"/>
                </w:tcPr>
                <w:p w14:paraId="61C59F95">
                  <w:pPr>
                    <w:spacing w:after="0" w:line="480" w:lineRule="exact"/>
                    <w:jc w:val="center"/>
                    <w:rPr>
                      <w:rFonts w:ascii="宋体" w:hAnsi="宋体" w:eastAsia="宋体"/>
                      <w:sz w:val="21"/>
                      <w:szCs w:val="21"/>
                      <w:highlight w:val="none"/>
                    </w:rPr>
                  </w:pPr>
                </w:p>
              </w:tc>
              <w:tc>
                <w:tcPr>
                  <w:tcW w:w="1236" w:type="dxa"/>
                  <w:noWrap w:val="0"/>
                  <w:vAlign w:val="center"/>
                </w:tcPr>
                <w:p w14:paraId="3298BF30">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4A1009A0">
                  <w:pPr>
                    <w:spacing w:after="0" w:line="480" w:lineRule="exact"/>
                    <w:jc w:val="center"/>
                    <w:rPr>
                      <w:rFonts w:ascii="宋体" w:hAnsi="宋体" w:eastAsia="宋体"/>
                      <w:sz w:val="21"/>
                      <w:szCs w:val="21"/>
                      <w:highlight w:val="none"/>
                    </w:rPr>
                  </w:pPr>
                </w:p>
              </w:tc>
              <w:tc>
                <w:tcPr>
                  <w:tcW w:w="1236" w:type="dxa"/>
                  <w:noWrap w:val="0"/>
                  <w:vAlign w:val="center"/>
                </w:tcPr>
                <w:p w14:paraId="47B8D4A0">
                  <w:pPr>
                    <w:spacing w:after="0" w:line="480" w:lineRule="exact"/>
                    <w:jc w:val="center"/>
                    <w:rPr>
                      <w:rFonts w:ascii="宋体" w:hAnsi="宋体" w:eastAsia="宋体"/>
                      <w:sz w:val="21"/>
                      <w:szCs w:val="21"/>
                      <w:highlight w:val="none"/>
                    </w:rPr>
                  </w:pPr>
                </w:p>
              </w:tc>
            </w:tr>
            <w:tr w14:paraId="581829E2">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2948B120">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理赔服务</w:t>
                  </w:r>
                </w:p>
              </w:tc>
              <w:tc>
                <w:tcPr>
                  <w:tcW w:w="1080" w:type="dxa"/>
                  <w:noWrap w:val="0"/>
                  <w:vAlign w:val="center"/>
                </w:tcPr>
                <w:p w14:paraId="1A2E1D33">
                  <w:pPr>
                    <w:spacing w:after="0" w:line="480" w:lineRule="exact"/>
                    <w:jc w:val="center"/>
                    <w:rPr>
                      <w:rFonts w:ascii="宋体" w:hAnsi="宋体" w:eastAsia="宋体"/>
                      <w:sz w:val="21"/>
                      <w:szCs w:val="21"/>
                      <w:highlight w:val="none"/>
                    </w:rPr>
                  </w:pPr>
                </w:p>
              </w:tc>
              <w:tc>
                <w:tcPr>
                  <w:tcW w:w="1236" w:type="dxa"/>
                  <w:noWrap w:val="0"/>
                  <w:vAlign w:val="center"/>
                </w:tcPr>
                <w:p w14:paraId="0AA93E7E">
                  <w:pPr>
                    <w:spacing w:after="0" w:line="480" w:lineRule="exact"/>
                    <w:jc w:val="center"/>
                    <w:rPr>
                      <w:rFonts w:ascii="宋体" w:hAnsi="宋体" w:eastAsia="宋体"/>
                      <w:sz w:val="21"/>
                      <w:szCs w:val="21"/>
                      <w:highlight w:val="none"/>
                    </w:rPr>
                  </w:pPr>
                </w:p>
              </w:tc>
              <w:tc>
                <w:tcPr>
                  <w:tcW w:w="1236" w:type="dxa"/>
                  <w:noWrap w:val="0"/>
                  <w:vAlign w:val="center"/>
                </w:tcPr>
                <w:p w14:paraId="1BF07DC6">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21572C8B">
                  <w:pPr>
                    <w:spacing w:after="0" w:line="480" w:lineRule="exact"/>
                    <w:jc w:val="center"/>
                    <w:rPr>
                      <w:rFonts w:ascii="宋体" w:hAnsi="宋体" w:eastAsia="宋体"/>
                      <w:sz w:val="21"/>
                      <w:szCs w:val="21"/>
                      <w:highlight w:val="none"/>
                    </w:rPr>
                  </w:pPr>
                </w:p>
              </w:tc>
              <w:tc>
                <w:tcPr>
                  <w:tcW w:w="1236" w:type="dxa"/>
                  <w:noWrap w:val="0"/>
                  <w:vAlign w:val="center"/>
                </w:tcPr>
                <w:p w14:paraId="0A8189E9">
                  <w:pPr>
                    <w:spacing w:after="0" w:line="480" w:lineRule="exact"/>
                    <w:jc w:val="center"/>
                    <w:rPr>
                      <w:rFonts w:ascii="宋体" w:hAnsi="宋体" w:eastAsia="宋体"/>
                      <w:sz w:val="21"/>
                      <w:szCs w:val="21"/>
                      <w:highlight w:val="none"/>
                    </w:rPr>
                  </w:pPr>
                </w:p>
              </w:tc>
            </w:tr>
            <w:tr w14:paraId="43BF6C34">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1A03F048">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第一联系人</w:t>
                  </w:r>
                </w:p>
              </w:tc>
              <w:tc>
                <w:tcPr>
                  <w:tcW w:w="1080" w:type="dxa"/>
                  <w:noWrap w:val="0"/>
                  <w:vAlign w:val="center"/>
                </w:tcPr>
                <w:p w14:paraId="7CD9645F">
                  <w:pPr>
                    <w:spacing w:after="0" w:line="480" w:lineRule="exact"/>
                    <w:jc w:val="center"/>
                    <w:rPr>
                      <w:rFonts w:ascii="宋体" w:hAnsi="宋体" w:eastAsia="宋体"/>
                      <w:sz w:val="21"/>
                      <w:szCs w:val="21"/>
                      <w:highlight w:val="none"/>
                    </w:rPr>
                  </w:pPr>
                </w:p>
              </w:tc>
              <w:tc>
                <w:tcPr>
                  <w:tcW w:w="1236" w:type="dxa"/>
                  <w:noWrap w:val="0"/>
                  <w:vAlign w:val="center"/>
                </w:tcPr>
                <w:p w14:paraId="4F090BDF">
                  <w:pPr>
                    <w:spacing w:after="0" w:line="480" w:lineRule="exact"/>
                    <w:jc w:val="center"/>
                    <w:rPr>
                      <w:rFonts w:ascii="宋体" w:hAnsi="宋体" w:eastAsia="宋体"/>
                      <w:sz w:val="21"/>
                      <w:szCs w:val="21"/>
                      <w:highlight w:val="none"/>
                    </w:rPr>
                  </w:pPr>
                </w:p>
              </w:tc>
              <w:tc>
                <w:tcPr>
                  <w:tcW w:w="1236" w:type="dxa"/>
                  <w:noWrap w:val="0"/>
                  <w:vAlign w:val="center"/>
                </w:tcPr>
                <w:p w14:paraId="40483736">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1953E3CD">
                  <w:pPr>
                    <w:spacing w:after="0" w:line="480" w:lineRule="exact"/>
                    <w:jc w:val="center"/>
                    <w:rPr>
                      <w:rFonts w:ascii="宋体" w:hAnsi="宋体" w:eastAsia="宋体"/>
                      <w:sz w:val="21"/>
                      <w:szCs w:val="21"/>
                      <w:highlight w:val="none"/>
                    </w:rPr>
                  </w:pPr>
                </w:p>
              </w:tc>
              <w:tc>
                <w:tcPr>
                  <w:tcW w:w="1236" w:type="dxa"/>
                  <w:noWrap w:val="0"/>
                  <w:vAlign w:val="center"/>
                </w:tcPr>
                <w:p w14:paraId="1FDE9F7D">
                  <w:pPr>
                    <w:spacing w:after="0" w:line="480" w:lineRule="exact"/>
                    <w:jc w:val="center"/>
                    <w:rPr>
                      <w:rFonts w:ascii="宋体" w:hAnsi="宋体" w:eastAsia="宋体"/>
                      <w:sz w:val="21"/>
                      <w:szCs w:val="21"/>
                      <w:highlight w:val="none"/>
                    </w:rPr>
                  </w:pPr>
                </w:p>
              </w:tc>
            </w:tr>
            <w:tr w14:paraId="035C39E6">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178BB800">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第二联系人</w:t>
                  </w:r>
                </w:p>
              </w:tc>
              <w:tc>
                <w:tcPr>
                  <w:tcW w:w="1080" w:type="dxa"/>
                  <w:noWrap w:val="0"/>
                  <w:vAlign w:val="center"/>
                </w:tcPr>
                <w:p w14:paraId="3392C893">
                  <w:pPr>
                    <w:spacing w:after="0" w:line="480" w:lineRule="exact"/>
                    <w:jc w:val="center"/>
                    <w:rPr>
                      <w:rFonts w:ascii="宋体" w:hAnsi="宋体" w:eastAsia="宋体"/>
                      <w:sz w:val="21"/>
                      <w:szCs w:val="21"/>
                      <w:highlight w:val="none"/>
                    </w:rPr>
                  </w:pPr>
                </w:p>
              </w:tc>
              <w:tc>
                <w:tcPr>
                  <w:tcW w:w="1236" w:type="dxa"/>
                  <w:noWrap w:val="0"/>
                  <w:vAlign w:val="center"/>
                </w:tcPr>
                <w:p w14:paraId="33055923">
                  <w:pPr>
                    <w:spacing w:after="0" w:line="480" w:lineRule="exact"/>
                    <w:jc w:val="center"/>
                    <w:rPr>
                      <w:rFonts w:ascii="宋体" w:hAnsi="宋体" w:eastAsia="宋体"/>
                      <w:sz w:val="21"/>
                      <w:szCs w:val="21"/>
                      <w:highlight w:val="none"/>
                    </w:rPr>
                  </w:pPr>
                </w:p>
              </w:tc>
              <w:tc>
                <w:tcPr>
                  <w:tcW w:w="1236" w:type="dxa"/>
                  <w:noWrap w:val="0"/>
                  <w:vAlign w:val="center"/>
                </w:tcPr>
                <w:p w14:paraId="108DECCF">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65C806FD">
                  <w:pPr>
                    <w:spacing w:after="0" w:line="480" w:lineRule="exact"/>
                    <w:jc w:val="center"/>
                    <w:rPr>
                      <w:rFonts w:ascii="宋体" w:hAnsi="宋体" w:eastAsia="宋体"/>
                      <w:sz w:val="21"/>
                      <w:szCs w:val="21"/>
                      <w:highlight w:val="none"/>
                    </w:rPr>
                  </w:pPr>
                </w:p>
              </w:tc>
              <w:tc>
                <w:tcPr>
                  <w:tcW w:w="1236" w:type="dxa"/>
                  <w:noWrap w:val="0"/>
                  <w:vAlign w:val="center"/>
                </w:tcPr>
                <w:p w14:paraId="4EAB9FB9">
                  <w:pPr>
                    <w:spacing w:after="0" w:line="480" w:lineRule="exact"/>
                    <w:jc w:val="center"/>
                    <w:rPr>
                      <w:rFonts w:ascii="宋体" w:hAnsi="宋体" w:eastAsia="宋体"/>
                      <w:sz w:val="21"/>
                      <w:szCs w:val="21"/>
                      <w:highlight w:val="none"/>
                    </w:rPr>
                  </w:pPr>
                </w:p>
              </w:tc>
            </w:tr>
            <w:tr w14:paraId="6A0E0EEE">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4BF8B693">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现场服务</w:t>
                  </w:r>
                </w:p>
              </w:tc>
              <w:tc>
                <w:tcPr>
                  <w:tcW w:w="1080" w:type="dxa"/>
                  <w:noWrap w:val="0"/>
                  <w:vAlign w:val="center"/>
                </w:tcPr>
                <w:p w14:paraId="644BB25A">
                  <w:pPr>
                    <w:spacing w:after="0" w:line="480" w:lineRule="exact"/>
                    <w:jc w:val="center"/>
                    <w:rPr>
                      <w:rFonts w:ascii="宋体" w:hAnsi="宋体" w:eastAsia="宋体"/>
                      <w:sz w:val="21"/>
                      <w:szCs w:val="21"/>
                      <w:highlight w:val="none"/>
                    </w:rPr>
                  </w:pPr>
                </w:p>
              </w:tc>
              <w:tc>
                <w:tcPr>
                  <w:tcW w:w="1236" w:type="dxa"/>
                  <w:noWrap w:val="0"/>
                  <w:vAlign w:val="center"/>
                </w:tcPr>
                <w:p w14:paraId="11B0215B">
                  <w:pPr>
                    <w:spacing w:after="0" w:line="480" w:lineRule="exact"/>
                    <w:jc w:val="center"/>
                    <w:rPr>
                      <w:rFonts w:ascii="宋体" w:hAnsi="宋体" w:eastAsia="宋体"/>
                      <w:sz w:val="21"/>
                      <w:szCs w:val="21"/>
                      <w:highlight w:val="none"/>
                    </w:rPr>
                  </w:pPr>
                </w:p>
              </w:tc>
              <w:tc>
                <w:tcPr>
                  <w:tcW w:w="1236" w:type="dxa"/>
                  <w:noWrap w:val="0"/>
                  <w:vAlign w:val="center"/>
                </w:tcPr>
                <w:p w14:paraId="6C9317F2">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1333F8CA">
                  <w:pPr>
                    <w:spacing w:after="0" w:line="480" w:lineRule="exact"/>
                    <w:jc w:val="center"/>
                    <w:rPr>
                      <w:rFonts w:ascii="宋体" w:hAnsi="宋体" w:eastAsia="宋体"/>
                      <w:sz w:val="21"/>
                      <w:szCs w:val="21"/>
                      <w:highlight w:val="none"/>
                    </w:rPr>
                  </w:pPr>
                </w:p>
              </w:tc>
              <w:tc>
                <w:tcPr>
                  <w:tcW w:w="1236" w:type="dxa"/>
                  <w:noWrap w:val="0"/>
                  <w:vAlign w:val="center"/>
                </w:tcPr>
                <w:p w14:paraId="7E639979">
                  <w:pPr>
                    <w:spacing w:after="0" w:line="480" w:lineRule="exact"/>
                    <w:jc w:val="center"/>
                    <w:rPr>
                      <w:rFonts w:ascii="宋体" w:hAnsi="宋体" w:eastAsia="宋体"/>
                      <w:sz w:val="21"/>
                      <w:szCs w:val="21"/>
                      <w:highlight w:val="none"/>
                    </w:rPr>
                  </w:pPr>
                </w:p>
              </w:tc>
            </w:tr>
            <w:tr w14:paraId="2A698A02">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370" w:hRule="atLeast"/>
                <w:jc w:val="center"/>
              </w:trPr>
              <w:tc>
                <w:tcPr>
                  <w:tcW w:w="1392" w:type="dxa"/>
                  <w:noWrap w:val="0"/>
                  <w:vAlign w:val="center"/>
                </w:tcPr>
                <w:p w14:paraId="6E7FE7CE">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w:t>
                  </w:r>
                </w:p>
              </w:tc>
              <w:tc>
                <w:tcPr>
                  <w:tcW w:w="1080" w:type="dxa"/>
                  <w:noWrap w:val="0"/>
                  <w:vAlign w:val="center"/>
                </w:tcPr>
                <w:p w14:paraId="6266A6DE">
                  <w:pPr>
                    <w:spacing w:after="0" w:line="480" w:lineRule="exact"/>
                    <w:jc w:val="center"/>
                    <w:rPr>
                      <w:rFonts w:ascii="宋体" w:hAnsi="宋体" w:eastAsia="宋体"/>
                      <w:sz w:val="21"/>
                      <w:szCs w:val="21"/>
                      <w:highlight w:val="none"/>
                    </w:rPr>
                  </w:pPr>
                </w:p>
              </w:tc>
              <w:tc>
                <w:tcPr>
                  <w:tcW w:w="1236" w:type="dxa"/>
                  <w:noWrap w:val="0"/>
                  <w:vAlign w:val="center"/>
                </w:tcPr>
                <w:p w14:paraId="755B4401">
                  <w:pPr>
                    <w:spacing w:after="0" w:line="480" w:lineRule="exact"/>
                    <w:jc w:val="center"/>
                    <w:rPr>
                      <w:rFonts w:ascii="宋体" w:hAnsi="宋体" w:eastAsia="宋体"/>
                      <w:sz w:val="21"/>
                      <w:szCs w:val="21"/>
                      <w:highlight w:val="none"/>
                    </w:rPr>
                  </w:pPr>
                </w:p>
              </w:tc>
              <w:tc>
                <w:tcPr>
                  <w:tcW w:w="1236" w:type="dxa"/>
                  <w:noWrap w:val="0"/>
                  <w:vAlign w:val="center"/>
                </w:tcPr>
                <w:p w14:paraId="5DA6F559">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35B72496">
                  <w:pPr>
                    <w:spacing w:after="0" w:line="480" w:lineRule="exact"/>
                    <w:jc w:val="center"/>
                    <w:rPr>
                      <w:rFonts w:ascii="宋体" w:hAnsi="宋体" w:eastAsia="宋体"/>
                      <w:sz w:val="21"/>
                      <w:szCs w:val="21"/>
                      <w:highlight w:val="none"/>
                    </w:rPr>
                  </w:pPr>
                </w:p>
              </w:tc>
              <w:tc>
                <w:tcPr>
                  <w:tcW w:w="1236" w:type="dxa"/>
                  <w:noWrap w:val="0"/>
                  <w:vAlign w:val="center"/>
                </w:tcPr>
                <w:p w14:paraId="1BB57423">
                  <w:pPr>
                    <w:spacing w:after="0" w:line="480" w:lineRule="exact"/>
                    <w:jc w:val="center"/>
                    <w:rPr>
                      <w:rFonts w:ascii="宋体" w:hAnsi="宋体" w:eastAsia="宋体"/>
                      <w:sz w:val="21"/>
                      <w:szCs w:val="21"/>
                      <w:highlight w:val="none"/>
                    </w:rPr>
                  </w:pPr>
                </w:p>
              </w:tc>
            </w:tr>
            <w:tr w14:paraId="77A4AE74">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1914" w:hRule="atLeast"/>
                <w:jc w:val="center"/>
              </w:trPr>
              <w:tc>
                <w:tcPr>
                  <w:tcW w:w="7416" w:type="dxa"/>
                  <w:gridSpan w:val="6"/>
                  <w:tcBorders>
                    <w:bottom w:val="single" w:color="auto" w:sz="4" w:space="0"/>
                  </w:tcBorders>
                  <w:noWrap w:val="0"/>
                  <w:vAlign w:val="center"/>
                </w:tcPr>
                <w:p w14:paraId="318F6A20">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 xml:space="preserve">第一联系人： </w:t>
                  </w:r>
                </w:p>
                <w:p w14:paraId="556AC312">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14:paraId="76326FD9">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联系地址：                                  邮编：</w:t>
                  </w:r>
                </w:p>
                <w:p w14:paraId="7976E0AF">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第二联系人：</w:t>
                  </w:r>
                </w:p>
                <w:p w14:paraId="0BBD8718">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14:paraId="36963A56">
                  <w:pPr>
                    <w:pStyle w:val="6"/>
                    <w:snapToGrid w:val="0"/>
                    <w:spacing w:after="0" w:line="264" w:lineRule="auto"/>
                    <w:rPr>
                      <w:rFonts w:ascii="宋体" w:hAnsi="宋体" w:eastAsia="宋体"/>
                      <w:szCs w:val="21"/>
                      <w:highlight w:val="none"/>
                      <w:lang w:eastAsia="en-US" w:bidi="en-US"/>
                    </w:rPr>
                  </w:pPr>
                  <w:r>
                    <w:rPr>
                      <w:rFonts w:ascii="宋体" w:hAnsi="宋体" w:eastAsia="宋体"/>
                      <w:szCs w:val="21"/>
                      <w:highlight w:val="none"/>
                      <w:lang w:bidi="en-US"/>
                    </w:rPr>
                    <w:t>联系地址：                                  邮编：</w:t>
                  </w:r>
                </w:p>
              </w:tc>
            </w:tr>
          </w:tbl>
          <w:p w14:paraId="65CEB102">
            <w:pPr>
              <w:spacing w:line="360" w:lineRule="auto"/>
              <w:rPr>
                <w:rFonts w:hint="eastAsia" w:ascii="宋体" w:hAnsi="宋体"/>
                <w:b/>
                <w:sz w:val="21"/>
                <w:szCs w:val="21"/>
                <w:highlight w:val="none"/>
                <w:lang w:eastAsia="zh-CN"/>
              </w:rPr>
            </w:pPr>
            <w:r>
              <w:rPr>
                <w:rFonts w:hint="eastAsia" w:ascii="宋体" w:hAnsi="宋体"/>
                <w:b/>
                <w:sz w:val="21"/>
                <w:szCs w:val="21"/>
                <w:highlight w:val="none"/>
                <w:lang w:eastAsia="zh-CN"/>
              </w:rPr>
              <w:t>表格可自行延展，但必须包含上表内容。</w:t>
            </w:r>
          </w:p>
          <w:p w14:paraId="7526E706">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自保险赔付达成一致意见并签署相关文件之日起，在以下时限内结案并向投保人支付全部赔款。</w:t>
            </w:r>
          </w:p>
          <w:p w14:paraId="0D1B73C3">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(1) 赔款金额在人民币100万元以下，</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个工作日内支付赔款（3分）；</w:t>
            </w:r>
          </w:p>
          <w:p w14:paraId="2019F463">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(2) 赔款金额在人民币100万元（含）以上，300万元以下，</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个工作日内支付赔款（3分）；</w:t>
            </w:r>
          </w:p>
          <w:p w14:paraId="2FDE8E6E">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 xml:space="preserve">(3)赔款金额在人民币300万元（含）以上， </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个工作日内支付赔款（3分）；</w:t>
            </w:r>
          </w:p>
          <w:p w14:paraId="7F2AA6AD">
            <w:pPr>
              <w:ind w:firstLine="560" w:firstLineChars="200"/>
              <w:rPr>
                <w:rFonts w:hint="default"/>
                <w:sz w:val="21"/>
                <w:szCs w:val="24"/>
                <w:lang w:val="en-US" w:eastAsia="zh-CN"/>
              </w:rPr>
            </w:pPr>
            <w:r>
              <w:rPr>
                <w:rFonts w:hint="default" w:ascii="仿宋_GB2312" w:hAnsi="华文楷体" w:eastAsia="仿宋_GB2312" w:cs="宋体"/>
                <w:b w:val="0"/>
                <w:color w:val="auto"/>
                <w:kern w:val="0"/>
                <w:sz w:val="28"/>
                <w:szCs w:val="28"/>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14:paraId="6E64F76D">
            <w:pPr>
              <w:ind w:firstLine="560" w:firstLineChars="200"/>
              <w:rPr>
                <w:rFonts w:hint="default"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（2）现场踏勘（3分）</w:t>
            </w:r>
          </w:p>
          <w:p w14:paraId="7D83FA30">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所有参与询价单位承诺，保险责任事故发生并接到投保人报险电话后，保险公司查勘员到达现场进行现场踏勘工作时效排名，最高者得3分，第二名得2.5分，第三名得2分，三名以外均得1.8分。</w:t>
            </w:r>
          </w:p>
          <w:p w14:paraId="76531AED">
            <w:pPr>
              <w:pStyle w:val="2"/>
              <w:rPr>
                <w:rFonts w:hint="default"/>
                <w:b/>
                <w:bCs/>
                <w:sz w:val="28"/>
                <w:szCs w:val="22"/>
                <w:lang w:val="en-US" w:eastAsia="zh-CN"/>
              </w:rPr>
            </w:pPr>
            <w:r>
              <w:rPr>
                <w:rFonts w:hint="eastAsia" w:ascii="仿宋_GB2312" w:hAnsi="华文楷体" w:eastAsia="仿宋_GB2312" w:cs="宋体"/>
                <w:b/>
                <w:bCs/>
                <w:color w:val="auto"/>
                <w:kern w:val="0"/>
                <w:sz w:val="24"/>
                <w:szCs w:val="24"/>
                <w:lang w:val="en-US" w:eastAsia="zh-CN" w:bidi="ar-SA"/>
              </w:rPr>
              <w:t>备注：当多个询价单位承诺一致时，采用并列排名。</w:t>
            </w:r>
          </w:p>
          <w:p w14:paraId="582C22BC">
            <w:pPr>
              <w:rPr>
                <w:rFonts w:hint="default"/>
                <w:lang w:val="en-US" w:eastAsia="zh-CN"/>
              </w:rPr>
            </w:pPr>
          </w:p>
        </w:tc>
      </w:tr>
    </w:tbl>
    <w:p w14:paraId="3E3DA6F0">
      <w:pPr>
        <w:rPr>
          <w:rFonts w:ascii="宋体" w:hAnsi="宋体"/>
          <w:bCs/>
          <w:sz w:val="24"/>
        </w:rPr>
      </w:pPr>
      <w:r>
        <w:rPr>
          <w:rFonts w:ascii="宋体" w:hAnsi="宋体"/>
          <w:bCs/>
          <w:sz w:val="24"/>
        </w:rPr>
        <w:br w:type="page"/>
      </w:r>
    </w:p>
    <w:p w14:paraId="3447796E">
      <w:pPr>
        <w:pStyle w:val="3"/>
        <w:bidi w:val="0"/>
        <w:jc w:val="center"/>
        <w:rPr>
          <w:rFonts w:hint="eastAsia"/>
          <w:lang w:val="en-US" w:eastAsia="zh-CN"/>
        </w:rPr>
      </w:pPr>
      <w:bookmarkStart w:id="89" w:name="_Toc18964"/>
      <w:bookmarkStart w:id="90" w:name="_Toc21006"/>
      <w:bookmarkStart w:id="91" w:name="_Toc2277"/>
      <w:r>
        <w:rPr>
          <w:rFonts w:hint="eastAsia"/>
        </w:rPr>
        <w:t>第</w:t>
      </w:r>
      <w:r>
        <w:rPr>
          <w:rFonts w:hint="eastAsia"/>
          <w:lang w:val="en-US" w:eastAsia="zh-CN"/>
        </w:rPr>
        <w:t>四</w:t>
      </w:r>
      <w:r>
        <w:rPr>
          <w:rFonts w:hint="eastAsia"/>
        </w:rPr>
        <w:t>章</w:t>
      </w:r>
      <w:r>
        <w:rPr>
          <w:rFonts w:hint="eastAsia"/>
          <w:lang w:val="en-US" w:eastAsia="zh-CN"/>
        </w:rPr>
        <w:t xml:space="preserve">  </w:t>
      </w:r>
      <w:r>
        <w:rPr>
          <w:rFonts w:hint="eastAsia"/>
          <w:lang w:eastAsia="zh-CN"/>
        </w:rPr>
        <w:t>报价文件格式</w:t>
      </w:r>
      <w:bookmarkEnd w:id="89"/>
    </w:p>
    <w:p w14:paraId="20EC7CCA">
      <w:pPr>
        <w:pStyle w:val="4"/>
        <w:jc w:val="center"/>
        <w:rPr>
          <w:rFonts w:hint="eastAsia" w:ascii="宋体" w:hAnsi="宋体" w:eastAsia="宋体" w:cs="宋体"/>
          <w:color w:val="auto"/>
          <w:highlight w:val="none"/>
          <w:lang w:val="en-US" w:eastAsia="zh-CN"/>
        </w:rPr>
      </w:pPr>
      <w:bookmarkStart w:id="92" w:name="_Toc11458"/>
      <w:r>
        <w:rPr>
          <w:rFonts w:hint="eastAsia" w:ascii="宋体" w:hAnsi="宋体" w:eastAsia="宋体" w:cs="宋体"/>
          <w:color w:val="auto"/>
          <w:highlight w:val="none"/>
          <w:lang w:val="en-US" w:eastAsia="zh-CN"/>
        </w:rPr>
        <w:t>（封面、授权委托书、报价函、发票承诺函、信誉承诺表、其它资料等格式）</w:t>
      </w:r>
      <w:bookmarkEnd w:id="92"/>
    </w:p>
    <w:p w14:paraId="404F823B">
      <w:pPr>
        <w:spacing w:line="360" w:lineRule="auto"/>
        <w:jc w:val="center"/>
        <w:outlineLvl w:val="1"/>
        <w:rPr>
          <w:rFonts w:hint="eastAsia" w:ascii="Times New Roman" w:hAnsi="Times New Roman" w:eastAsia="黑体" w:cs="Times New Roman"/>
          <w:color w:val="auto"/>
          <w:sz w:val="30"/>
          <w:szCs w:val="30"/>
          <w:highlight w:val="none"/>
          <w:lang w:val="en-US" w:eastAsia="zh-CN"/>
        </w:rPr>
      </w:pPr>
      <w:bookmarkStart w:id="93" w:name="_Toc2439"/>
      <w:r>
        <w:rPr>
          <w:rFonts w:hint="eastAsia" w:ascii="Times New Roman" w:hAnsi="Times New Roman" w:eastAsia="黑体" w:cs="Times New Roman"/>
          <w:color w:val="auto"/>
          <w:sz w:val="30"/>
          <w:szCs w:val="30"/>
          <w:highlight w:val="none"/>
          <w:lang w:val="en-US" w:eastAsia="zh-CN"/>
        </w:rPr>
        <w:t>0、封面格式</w:t>
      </w:r>
      <w:bookmarkEnd w:id="93"/>
    </w:p>
    <w:p w14:paraId="62EC7EE3">
      <w:pPr>
        <w:spacing w:line="800" w:lineRule="exact"/>
        <w:jc w:val="center"/>
        <w:rPr>
          <w:rFonts w:hint="eastAsia" w:ascii="宋体" w:hAnsi="宋体" w:eastAsia="宋体" w:cs="宋体"/>
          <w:b/>
          <w:color w:val="auto"/>
          <w:kern w:val="2"/>
          <w:sz w:val="40"/>
          <w:szCs w:val="40"/>
          <w:highlight w:val="none"/>
          <w:lang w:val="en-US" w:eastAsia="zh-CN" w:bidi="ar-SA"/>
        </w:rPr>
      </w:pPr>
      <w:r>
        <w:rPr>
          <w:color w:val="auto"/>
          <w:sz w:val="30"/>
          <w:highlight w:val="none"/>
        </w:rPr>
        <mc:AlternateContent>
          <mc:Choice Requires="wps">
            <w:drawing>
              <wp:anchor distT="0" distB="0" distL="114300" distR="114300" simplePos="0" relativeHeight="251659264" behindDoc="0" locked="0" layoutInCell="1" allowOverlap="1">
                <wp:simplePos x="0" y="0"/>
                <wp:positionH relativeFrom="column">
                  <wp:posOffset>4647565</wp:posOffset>
                </wp:positionH>
                <wp:positionV relativeFrom="paragraph">
                  <wp:posOffset>403860</wp:posOffset>
                </wp:positionV>
                <wp:extent cx="1151890" cy="475615"/>
                <wp:effectExtent l="19050" t="19050" r="33020" b="23495"/>
                <wp:wrapNone/>
                <wp:docPr id="2" name="文本框 2"/>
                <wp:cNvGraphicFramePr/>
                <a:graphic xmlns:a="http://schemas.openxmlformats.org/drawingml/2006/main">
                  <a:graphicData uri="http://schemas.microsoft.com/office/word/2010/wordprocessingShape">
                    <wps:wsp>
                      <wps:cNvSpPr txBox="1"/>
                      <wps:spPr>
                        <a:xfrm>
                          <a:off x="0" y="0"/>
                          <a:ext cx="1151890" cy="475615"/>
                        </a:xfrm>
                        <a:prstGeom prst="rect">
                          <a:avLst/>
                        </a:prstGeom>
                        <a:solidFill>
                          <a:srgbClr val="FFFFFF"/>
                        </a:solidFill>
                        <a:ln w="38100" cap="flat" cmpd="sng">
                          <a:solidFill>
                            <a:srgbClr val="000000"/>
                          </a:solidFill>
                          <a:prstDash val="solid"/>
                          <a:miter/>
                          <a:headEnd type="none" w="med" len="med"/>
                          <a:tailEnd type="none" w="med" len="med"/>
                        </a:ln>
                      </wps:spPr>
                      <wps:txbx>
                        <w:txbxContent>
                          <w:p w14:paraId="22795E0E">
                            <w:pPr>
                              <w:jc w:val="center"/>
                              <w:rPr>
                                <w:rFonts w:hint="default" w:eastAsia="宋体"/>
                                <w:b/>
                                <w:bCs/>
                                <w:sz w:val="30"/>
                                <w:szCs w:val="30"/>
                                <w:lang w:val="en-US" w:eastAsia="zh-CN"/>
                              </w:rPr>
                            </w:pPr>
                            <w:r>
                              <w:rPr>
                                <w:rFonts w:hint="eastAsia"/>
                                <w:b/>
                                <w:bCs/>
                                <w:sz w:val="30"/>
                                <w:szCs w:val="30"/>
                                <w:lang w:eastAsia="zh-CN"/>
                              </w:rPr>
                              <w:t>正</w:t>
                            </w:r>
                            <w:r>
                              <w:rPr>
                                <w:rFonts w:hint="eastAsia"/>
                                <w:b/>
                                <w:bCs/>
                                <w:sz w:val="30"/>
                                <w:szCs w:val="30"/>
                                <w:lang w:val="en-US" w:eastAsia="zh-CN"/>
                              </w:rPr>
                              <w:t>（副）本</w:t>
                            </w:r>
                          </w:p>
                        </w:txbxContent>
                      </wps:txbx>
                      <wps:bodyPr upright="1"/>
                    </wps:wsp>
                  </a:graphicData>
                </a:graphic>
              </wp:anchor>
            </w:drawing>
          </mc:Choice>
          <mc:Fallback>
            <w:pict>
              <v:shape id="_x0000_s1026" o:spid="_x0000_s1026" o:spt="202" type="#_x0000_t202" style="position:absolute;left:0pt;margin-left:365.95pt;margin-top:31.8pt;height:37.45pt;width:90.7pt;z-index:251659264;mso-width-relative:page;mso-height-relative:page;" fillcolor="#FFFFFF" filled="t" stroked="t" coordsize="21600,21600" o:gfxdata="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TmVftgAAAAKAQAADwAAAAAAAAABACAAAAAi&#10;AAAAZHJzL2Rvd25yZXYueG1sUEsBAhQAFAAAAAgAh07iQF+Xh/gKAgAANwQAAA4AAAAAAAAAAQAg&#10;AAAAJwEAAGRycy9lMm9Eb2MueG1sUEsFBgAAAAAGAAYAWQEAAKMFAAAAAA==&#10;">
                <v:fill on="t" focussize="0,0"/>
                <v:stroke weight="3pt" color="#000000" joinstyle="miter"/>
                <v:imagedata o:title=""/>
                <o:lock v:ext="edit" aspectratio="f"/>
                <v:textbox>
                  <w:txbxContent>
                    <w:p w14:paraId="22795E0E">
                      <w:pPr>
                        <w:jc w:val="center"/>
                        <w:rPr>
                          <w:rFonts w:hint="default" w:eastAsia="宋体"/>
                          <w:b/>
                          <w:bCs/>
                          <w:sz w:val="30"/>
                          <w:szCs w:val="30"/>
                          <w:lang w:val="en-US" w:eastAsia="zh-CN"/>
                        </w:rPr>
                      </w:pPr>
                      <w:r>
                        <w:rPr>
                          <w:rFonts w:hint="eastAsia"/>
                          <w:b/>
                          <w:bCs/>
                          <w:sz w:val="30"/>
                          <w:szCs w:val="30"/>
                          <w:lang w:eastAsia="zh-CN"/>
                        </w:rPr>
                        <w:t>正</w:t>
                      </w:r>
                      <w:r>
                        <w:rPr>
                          <w:rFonts w:hint="eastAsia"/>
                          <w:b/>
                          <w:bCs/>
                          <w:sz w:val="30"/>
                          <w:szCs w:val="30"/>
                          <w:lang w:val="en-US" w:eastAsia="zh-CN"/>
                        </w:rPr>
                        <w:t>（副）本</w:t>
                      </w:r>
                    </w:p>
                  </w:txbxContent>
                </v:textbox>
              </v:shape>
            </w:pict>
          </mc:Fallback>
        </mc:AlternateContent>
      </w:r>
      <w:r>
        <w:rPr>
          <w:rFonts w:hint="eastAsia" w:ascii="宋体" w:hAnsi="宋体" w:eastAsia="宋体" w:cs="宋体"/>
          <w:b/>
          <w:color w:val="auto"/>
          <w:kern w:val="2"/>
          <w:sz w:val="40"/>
          <w:szCs w:val="40"/>
          <w:highlight w:val="none"/>
          <w:lang w:val="en-US" w:eastAsia="zh-CN" w:bidi="ar-SA"/>
        </w:rPr>
        <w:t>江西联兴公路工程有限公司</w:t>
      </w:r>
    </w:p>
    <w:p w14:paraId="194564DB">
      <w:pPr>
        <w:pStyle w:val="9"/>
        <w:jc w:val="center"/>
        <w:rPr>
          <w:rFonts w:hint="eastAsia" w:ascii="宋体" w:hAnsi="宋体" w:eastAsia="宋体" w:cs="宋体"/>
          <w:b/>
          <w:bCs/>
          <w:color w:val="auto"/>
          <w:kern w:val="2"/>
          <w:sz w:val="40"/>
          <w:szCs w:val="40"/>
          <w:highlight w:val="none"/>
          <w:lang w:val="en-US" w:eastAsia="zh-CN" w:bidi="ar-SA"/>
        </w:rPr>
      </w:pPr>
    </w:p>
    <w:p w14:paraId="6F6C5CA9">
      <w:pPr>
        <w:pStyle w:val="2"/>
        <w:jc w:val="center"/>
        <w:rPr>
          <w:rFonts w:hint="eastAsia" w:ascii="Times New Roman" w:hAnsi="Times New Roman" w:eastAsia="黑体" w:cs="Times New Roman"/>
          <w:color w:val="auto"/>
          <w:sz w:val="30"/>
          <w:szCs w:val="30"/>
          <w:highlight w:val="none"/>
          <w:lang w:val="en-US" w:eastAsia="zh-CN"/>
        </w:rPr>
      </w:pPr>
      <w:r>
        <w:rPr>
          <w:rFonts w:hint="eastAsia" w:ascii="宋体" w:hAnsi="宋体" w:eastAsia="宋体" w:cs="宋体"/>
          <w:b/>
          <w:bCs/>
          <w:color w:val="auto"/>
          <w:kern w:val="2"/>
          <w:sz w:val="40"/>
          <w:szCs w:val="40"/>
          <w:highlight w:val="none"/>
          <w:lang w:val="en-US" w:eastAsia="zh-CN" w:bidi="ar-SA"/>
        </w:rPr>
        <w:t>2025年赣定、龙河、龙杨、兴赣高速公路路面病害处治专项工程</w:t>
      </w:r>
      <w:r>
        <w:rPr>
          <w:rFonts w:hint="eastAsia" w:ascii="宋体" w:hAnsi="宋体" w:cs="宋体"/>
          <w:b/>
          <w:bCs/>
          <w:color w:val="auto"/>
          <w:kern w:val="2"/>
          <w:sz w:val="40"/>
          <w:szCs w:val="40"/>
          <w:highlight w:val="none"/>
          <w:lang w:val="en-US" w:eastAsia="zh-CN" w:bidi="ar-SA"/>
        </w:rPr>
        <w:t>A2标段</w:t>
      </w:r>
      <w:r>
        <w:rPr>
          <w:rFonts w:hint="eastAsia" w:ascii="宋体" w:hAnsi="宋体" w:eastAsia="宋体" w:cs="宋体"/>
          <w:b/>
          <w:bCs/>
          <w:color w:val="auto"/>
          <w:kern w:val="2"/>
          <w:sz w:val="40"/>
          <w:szCs w:val="40"/>
          <w:highlight w:val="none"/>
          <w:lang w:val="en-US" w:eastAsia="zh-CN" w:bidi="ar-SA"/>
        </w:rPr>
        <w:t>保险采购项目</w:t>
      </w:r>
    </w:p>
    <w:p w14:paraId="517F3771">
      <w:pPr>
        <w:spacing w:line="360" w:lineRule="auto"/>
        <w:jc w:val="center"/>
        <w:outlineLvl w:val="1"/>
        <w:rPr>
          <w:rFonts w:hint="eastAsia" w:ascii="Times New Roman" w:hAnsi="Times New Roman" w:eastAsia="黑体" w:cs="Times New Roman"/>
          <w:color w:val="auto"/>
          <w:sz w:val="30"/>
          <w:szCs w:val="30"/>
          <w:highlight w:val="none"/>
          <w:lang w:val="en-US" w:eastAsia="zh-CN"/>
        </w:rPr>
      </w:pPr>
    </w:p>
    <w:p w14:paraId="4082E1D6">
      <w:pPr>
        <w:spacing w:line="360" w:lineRule="auto"/>
        <w:jc w:val="center"/>
        <w:outlineLvl w:val="1"/>
        <w:rPr>
          <w:rFonts w:hint="eastAsia" w:ascii="Times New Roman" w:hAnsi="Times New Roman" w:eastAsia="黑体" w:cs="Times New Roman"/>
          <w:color w:val="auto"/>
          <w:sz w:val="72"/>
          <w:szCs w:val="72"/>
          <w:highlight w:val="none"/>
          <w:lang w:val="en-US" w:eastAsia="zh-CN"/>
        </w:rPr>
      </w:pPr>
      <w:bookmarkStart w:id="94" w:name="_Toc2042"/>
      <w:r>
        <w:rPr>
          <w:rFonts w:hint="eastAsia" w:ascii="Times New Roman" w:hAnsi="Times New Roman" w:eastAsia="黑体" w:cs="Times New Roman"/>
          <w:color w:val="auto"/>
          <w:sz w:val="72"/>
          <w:szCs w:val="72"/>
          <w:highlight w:val="none"/>
          <w:lang w:val="en-US" w:eastAsia="zh-CN"/>
        </w:rPr>
        <w:t>报价文件</w:t>
      </w:r>
      <w:bookmarkEnd w:id="94"/>
    </w:p>
    <w:p w14:paraId="2E975F56">
      <w:pPr>
        <w:spacing w:line="360" w:lineRule="auto"/>
        <w:jc w:val="both"/>
        <w:outlineLvl w:val="1"/>
        <w:rPr>
          <w:rFonts w:hint="eastAsia" w:ascii="Times New Roman" w:hAnsi="Times New Roman" w:eastAsia="黑体" w:cs="Times New Roman"/>
          <w:color w:val="auto"/>
          <w:sz w:val="30"/>
          <w:szCs w:val="30"/>
          <w:highlight w:val="none"/>
          <w:lang w:val="en-US" w:eastAsia="zh-CN"/>
        </w:rPr>
      </w:pPr>
    </w:p>
    <w:p w14:paraId="5CEA9AA1">
      <w:pPr>
        <w:spacing w:line="360" w:lineRule="auto"/>
        <w:jc w:val="center"/>
        <w:outlineLvl w:val="1"/>
        <w:rPr>
          <w:rFonts w:hint="eastAsia" w:ascii="Times New Roman" w:hAnsi="Times New Roman" w:eastAsia="黑体" w:cs="Times New Roman"/>
          <w:color w:val="auto"/>
          <w:sz w:val="30"/>
          <w:szCs w:val="30"/>
          <w:highlight w:val="none"/>
          <w:lang w:val="en-US" w:eastAsia="zh-CN"/>
        </w:rPr>
      </w:pPr>
    </w:p>
    <w:p w14:paraId="47425EE7">
      <w:pPr>
        <w:spacing w:line="360" w:lineRule="auto"/>
        <w:jc w:val="center"/>
        <w:outlineLvl w:val="1"/>
        <w:rPr>
          <w:rFonts w:hint="eastAsia" w:ascii="Times New Roman" w:hAnsi="Times New Roman" w:eastAsia="黑体" w:cs="Times New Roman"/>
          <w:color w:val="auto"/>
          <w:sz w:val="30"/>
          <w:szCs w:val="30"/>
          <w:highlight w:val="none"/>
          <w:lang w:val="en-US" w:eastAsia="zh-CN"/>
        </w:rPr>
      </w:pPr>
      <w:bookmarkStart w:id="95" w:name="_Toc9416"/>
    </w:p>
    <w:p w14:paraId="1FB7561F">
      <w:pPr>
        <w:spacing w:line="360" w:lineRule="auto"/>
        <w:jc w:val="center"/>
        <w:outlineLvl w:val="1"/>
        <w:rPr>
          <w:rFonts w:hint="eastAsia" w:ascii="Times New Roman" w:hAnsi="Times New Roman" w:eastAsia="黑体" w:cs="Times New Roman"/>
          <w:color w:val="auto"/>
          <w:sz w:val="30"/>
          <w:szCs w:val="30"/>
          <w:highlight w:val="none"/>
          <w:lang w:val="en-US" w:eastAsia="zh-CN"/>
        </w:rPr>
      </w:pPr>
    </w:p>
    <w:p w14:paraId="2CEC26DE">
      <w:pPr>
        <w:spacing w:line="360" w:lineRule="auto"/>
        <w:jc w:val="center"/>
        <w:outlineLvl w:val="1"/>
        <w:rPr>
          <w:rFonts w:hint="eastAsia" w:ascii="Times New Roman" w:hAnsi="Times New Roman" w:eastAsia="黑体" w:cs="Times New Roman"/>
          <w:color w:val="auto"/>
          <w:sz w:val="30"/>
          <w:szCs w:val="30"/>
          <w:highlight w:val="none"/>
          <w:lang w:val="en-US" w:eastAsia="zh-CN"/>
        </w:rPr>
      </w:pPr>
    </w:p>
    <w:p w14:paraId="5548912A">
      <w:pPr>
        <w:spacing w:line="360" w:lineRule="auto"/>
        <w:jc w:val="center"/>
        <w:outlineLvl w:val="1"/>
        <w:rPr>
          <w:rFonts w:hint="eastAsia" w:ascii="Times New Roman" w:hAnsi="Times New Roman" w:eastAsia="黑体" w:cs="Times New Roman"/>
          <w:color w:val="auto"/>
          <w:sz w:val="30"/>
          <w:szCs w:val="30"/>
          <w:highlight w:val="none"/>
          <w:lang w:val="en-US" w:eastAsia="zh-CN"/>
        </w:rPr>
      </w:pPr>
      <w:r>
        <w:rPr>
          <w:rFonts w:hint="eastAsia" w:ascii="Times New Roman" w:hAnsi="Times New Roman" w:eastAsia="黑体" w:cs="Times New Roman"/>
          <w:color w:val="auto"/>
          <w:sz w:val="30"/>
          <w:szCs w:val="30"/>
          <w:highlight w:val="none"/>
          <w:lang w:val="en-US" w:eastAsia="zh-CN"/>
        </w:rPr>
        <w:t>报价人：</w:t>
      </w:r>
      <w:r>
        <w:rPr>
          <w:rFonts w:hint="eastAsia" w:ascii="Times New Roman" w:hAnsi="Times New Roman" w:eastAsia="黑体" w:cs="Times New Roman"/>
          <w:color w:val="auto"/>
          <w:sz w:val="30"/>
          <w:szCs w:val="30"/>
          <w:highlight w:val="none"/>
          <w:u w:val="single"/>
          <w:lang w:val="en-US" w:eastAsia="zh-CN"/>
        </w:rPr>
        <w:t xml:space="preserve">                      </w:t>
      </w:r>
      <w:r>
        <w:rPr>
          <w:rFonts w:hint="eastAsia" w:ascii="Times New Roman" w:hAnsi="Times New Roman" w:eastAsia="黑体" w:cs="Times New Roman"/>
          <w:color w:val="auto"/>
          <w:sz w:val="30"/>
          <w:szCs w:val="30"/>
          <w:highlight w:val="none"/>
          <w:lang w:val="en-US" w:eastAsia="zh-CN"/>
        </w:rPr>
        <w:t xml:space="preserve"> （盖章）</w:t>
      </w:r>
      <w:bookmarkEnd w:id="95"/>
    </w:p>
    <w:p w14:paraId="35666346">
      <w:pPr>
        <w:spacing w:line="360" w:lineRule="auto"/>
        <w:jc w:val="center"/>
        <w:outlineLvl w:val="1"/>
        <w:rPr>
          <w:rFonts w:hint="eastAsia" w:ascii="宋体" w:hAnsi="宋体" w:eastAsia="宋体" w:cs="宋体"/>
          <w:sz w:val="28"/>
          <w:szCs w:val="28"/>
          <w:lang w:val="en-US" w:eastAsia="zh-CN"/>
        </w:rPr>
      </w:pPr>
      <w:bookmarkStart w:id="96" w:name="_Toc17048"/>
      <w:r>
        <w:rPr>
          <w:rFonts w:hint="eastAsia" w:ascii="Times New Roman" w:hAnsi="Times New Roman" w:eastAsia="黑体" w:cs="Times New Roman"/>
          <w:color w:val="auto"/>
          <w:sz w:val="30"/>
          <w:szCs w:val="30"/>
          <w:highlight w:val="none"/>
          <w:lang w:val="en-US" w:eastAsia="zh-CN"/>
        </w:rPr>
        <w:t>日期：202  年   月   日</w:t>
      </w:r>
      <w:bookmarkEnd w:id="96"/>
      <w:bookmarkStart w:id="97" w:name="_Toc7050"/>
    </w:p>
    <w:p w14:paraId="7CC44B31">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bookmarkStart w:id="98" w:name="_Toc5739"/>
    </w:p>
    <w:p w14:paraId="60627A8E">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1、授权委托书</w:t>
      </w:r>
      <w:bookmarkEnd w:id="98"/>
    </w:p>
    <w:p w14:paraId="2EC29E05">
      <w:pPr>
        <w:widowControl w:val="0"/>
        <w:adjustRightInd w:val="0"/>
        <w:snapToGrid w:val="0"/>
        <w:spacing w:line="360" w:lineRule="auto"/>
        <w:ind w:firstLine="0" w:firstLineChars="0"/>
        <w:jc w:val="both"/>
        <w:rPr>
          <w:rFonts w:ascii="宋体" w:hAnsi="宋体" w:eastAsia="宋体" w:cs="Times New Roman"/>
          <w:color w:val="auto"/>
          <w:kern w:val="0"/>
          <w:sz w:val="24"/>
          <w:szCs w:val="24"/>
          <w:highlight w:val="none"/>
          <w:lang w:val="en-US" w:eastAsia="zh-CN" w:bidi="ar-SA"/>
        </w:rPr>
      </w:pPr>
    </w:p>
    <w:p w14:paraId="5704BF9A">
      <w:pPr>
        <w:spacing w:line="360" w:lineRule="auto"/>
        <w:ind w:firstLine="480"/>
        <w:jc w:val="both"/>
        <w:rPr>
          <w:rFonts w:ascii="宋体" w:hAnsi="宋体" w:eastAsia="宋体" w:cs="Times New Roman"/>
          <w:color w:val="auto"/>
          <w:sz w:val="24"/>
          <w:highlight w:val="none"/>
        </w:rPr>
      </w:pPr>
      <w:r>
        <w:rPr>
          <w:rFonts w:hint="eastAsia" w:ascii="宋体" w:hAnsi="宋体" w:eastAsia="宋体" w:cs="Times New Roman"/>
          <w:color w:val="auto"/>
          <w:sz w:val="24"/>
          <w:highlight w:val="none"/>
        </w:rPr>
        <w:t>本人</w:t>
      </w:r>
      <w:r>
        <w:rPr>
          <w:rFonts w:hint="eastAsia" w:ascii="宋体" w:hAnsi="宋体" w:eastAsia="宋体" w:cs="Times New Roman"/>
          <w:color w:val="auto"/>
          <w:sz w:val="24"/>
          <w:highlight w:val="none"/>
          <w:u w:val="single"/>
        </w:rPr>
        <w:t xml:space="preserve"> </w:t>
      </w:r>
      <w:r>
        <w:rPr>
          <w:rFonts w:hint="eastAsia" w:ascii="宋体" w:hAnsi="宋体" w:eastAsia="宋体" w:cs="华文楷体"/>
          <w:color w:val="auto"/>
          <w:sz w:val="24"/>
          <w:highlight w:val="none"/>
          <w:u w:val="single"/>
        </w:rPr>
        <w:t>（姓名）</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华文楷体"/>
          <w:color w:val="auto"/>
          <w:sz w:val="24"/>
          <w:highlight w:val="none"/>
          <w:u w:val="single"/>
        </w:rPr>
        <w:t>（</w:t>
      </w:r>
      <w:r>
        <w:rPr>
          <w:rFonts w:hint="eastAsia" w:ascii="宋体" w:hAnsi="宋体" w:eastAsia="宋体" w:cs="Times New Roman"/>
          <w:color w:val="auto"/>
          <w:sz w:val="24"/>
          <w:highlight w:val="none"/>
          <w:u w:val="single"/>
          <w:lang w:eastAsia="zh-CN"/>
        </w:rPr>
        <w:t>报价人</w:t>
      </w:r>
      <w:r>
        <w:rPr>
          <w:rFonts w:hint="eastAsia" w:ascii="宋体" w:hAnsi="宋体" w:eastAsia="宋体" w:cs="华文楷体"/>
          <w:color w:val="auto"/>
          <w:sz w:val="24"/>
          <w:highlight w:val="none"/>
          <w:u w:val="single"/>
        </w:rPr>
        <w:t>名称）</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法定代表人/单位负责人，</w:t>
      </w:r>
      <w:r>
        <w:rPr>
          <w:rFonts w:ascii="宋体" w:hAnsi="宋体" w:eastAsia="宋体" w:cs="Times New Roman"/>
          <w:color w:val="auto"/>
          <w:sz w:val="24"/>
          <w:highlight w:val="none"/>
        </w:rPr>
        <w:t>现委托</w:t>
      </w:r>
      <w:r>
        <w:rPr>
          <w:rFonts w:hint="eastAsia" w:ascii="宋体" w:hAnsi="宋体" w:eastAsia="宋体" w:cs="华文楷体"/>
          <w:color w:val="auto"/>
          <w:sz w:val="24"/>
          <w:highlight w:val="none"/>
          <w:u w:val="single"/>
        </w:rPr>
        <w:t>（姓名）</w:t>
      </w:r>
      <w:r>
        <w:rPr>
          <w:rFonts w:ascii="宋体" w:hAnsi="宋体" w:eastAsia="宋体" w:cs="Times New Roman"/>
          <w:color w:val="auto"/>
          <w:sz w:val="24"/>
          <w:highlight w:val="none"/>
        </w:rPr>
        <w:t>为我方代理人。代理人</w:t>
      </w:r>
      <w:r>
        <w:rPr>
          <w:rFonts w:hint="eastAsia" w:ascii="宋体" w:hAnsi="宋体" w:eastAsia="宋体" w:cs="Times New Roman"/>
          <w:color w:val="auto"/>
          <w:sz w:val="24"/>
          <w:highlight w:val="none"/>
        </w:rPr>
        <w:t>根据授权，</w:t>
      </w:r>
      <w:r>
        <w:rPr>
          <w:rFonts w:ascii="宋体" w:hAnsi="宋体" w:eastAsia="宋体" w:cs="Times New Roman"/>
          <w:color w:val="auto"/>
          <w:sz w:val="24"/>
          <w:highlight w:val="none"/>
        </w:rPr>
        <w:t>以我方名义签署、澄清</w:t>
      </w:r>
      <w:r>
        <w:rPr>
          <w:rFonts w:hint="eastAsia" w:ascii="宋体" w:hAnsi="宋体" w:eastAsia="宋体" w:cs="Times New Roman"/>
          <w:color w:val="auto"/>
          <w:sz w:val="24"/>
          <w:highlight w:val="none"/>
        </w:rPr>
        <w:t>、确认</w:t>
      </w:r>
      <w:r>
        <w:rPr>
          <w:rFonts w:ascii="宋体" w:hAnsi="宋体" w:eastAsia="宋体" w:cs="Times New Roman"/>
          <w:color w:val="auto"/>
          <w:sz w:val="24"/>
          <w:highlight w:val="none"/>
        </w:rPr>
        <w:t>、递交、撤回、修改</w:t>
      </w:r>
      <w:r>
        <w:rPr>
          <w:rFonts w:hint="eastAsia" w:ascii="宋体" w:hAnsi="宋体" w:eastAsia="宋体" w:cs="Times New Roman"/>
          <w:color w:val="auto"/>
          <w:sz w:val="24"/>
          <w:highlight w:val="none"/>
          <w:u w:val="single"/>
        </w:rPr>
        <w:t>（项目名称）</w:t>
      </w:r>
      <w:r>
        <w:rPr>
          <w:rFonts w:ascii="宋体" w:hAnsi="宋体" w:eastAsia="宋体" w:cs="Times New Roman"/>
          <w:color w:val="auto"/>
          <w:sz w:val="24"/>
          <w:highlight w:val="none"/>
        </w:rPr>
        <w:t>报价文件、签订合同和处理有关事宜，其法律后果由我方承担。</w:t>
      </w:r>
    </w:p>
    <w:p w14:paraId="4121A8BD">
      <w:pPr>
        <w:spacing w:line="360" w:lineRule="auto"/>
        <w:ind w:firstLine="480"/>
        <w:jc w:val="both"/>
        <w:rPr>
          <w:rFonts w:ascii="宋体" w:hAnsi="宋体" w:eastAsia="宋体" w:cs="Times New Roman"/>
          <w:color w:val="auto"/>
          <w:sz w:val="24"/>
          <w:highlight w:val="none"/>
        </w:rPr>
      </w:pPr>
      <w:r>
        <w:rPr>
          <w:rFonts w:ascii="宋体" w:hAnsi="宋体" w:eastAsia="宋体" w:cs="Times New Roman"/>
          <w:color w:val="auto"/>
          <w:sz w:val="24"/>
          <w:highlight w:val="none"/>
        </w:rPr>
        <w:t>委托期限：</w:t>
      </w:r>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日至</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04552337">
      <w:pPr>
        <w:spacing w:line="360" w:lineRule="auto"/>
        <w:ind w:firstLine="480"/>
        <w:jc w:val="both"/>
        <w:rPr>
          <w:rFonts w:ascii="宋体" w:hAnsi="宋体" w:eastAsia="宋体" w:cs="Times New Roman"/>
          <w:color w:val="auto"/>
          <w:sz w:val="24"/>
          <w:highlight w:val="none"/>
        </w:rPr>
      </w:pPr>
      <w:r>
        <w:rPr>
          <w:rFonts w:ascii="宋体" w:hAnsi="宋体" w:eastAsia="宋体" w:cs="Times New Roman"/>
          <w:color w:val="auto"/>
          <w:sz w:val="24"/>
          <w:highlight w:val="none"/>
        </w:rPr>
        <w:t>代理人无转委托权。</w:t>
      </w:r>
    </w:p>
    <w:p w14:paraId="03C20E6A">
      <w:pPr>
        <w:spacing w:line="360" w:lineRule="auto"/>
        <w:ind w:firstLine="480"/>
        <w:jc w:val="both"/>
        <w:rPr>
          <w:rFonts w:ascii="宋体" w:hAnsi="宋体" w:eastAsia="宋体" w:cs="Times New Roman"/>
          <w:color w:val="auto"/>
          <w:sz w:val="24"/>
          <w:highlight w:val="none"/>
        </w:rPr>
      </w:pPr>
      <w:r>
        <w:rPr>
          <w:rFonts w:hint="eastAsia" w:ascii="宋体" w:hAnsi="宋体" w:eastAsia="宋体" w:cs="Times New Roman"/>
          <w:b/>
          <w:bCs/>
          <w:color w:val="auto"/>
          <w:sz w:val="24"/>
          <w:highlight w:val="none"/>
        </w:rPr>
        <w:t>附：法定代表人/单位负责人身份证复印件及委托代理人身份证复印件</w:t>
      </w:r>
    </w:p>
    <w:p w14:paraId="221C8DEB">
      <w:pPr>
        <w:spacing w:line="360" w:lineRule="auto"/>
        <w:ind w:firstLine="480"/>
        <w:jc w:val="both"/>
        <w:rPr>
          <w:rFonts w:ascii="宋体" w:hAnsi="宋体" w:eastAsia="宋体" w:cs="Times New Roman"/>
          <w:color w:val="auto"/>
          <w:sz w:val="24"/>
          <w:highlight w:val="none"/>
        </w:rPr>
      </w:pPr>
    </w:p>
    <w:p w14:paraId="43434AE9">
      <w:pPr>
        <w:spacing w:line="360" w:lineRule="auto"/>
        <w:ind w:firstLine="480"/>
        <w:jc w:val="both"/>
        <w:rPr>
          <w:rFonts w:ascii="宋体" w:hAnsi="宋体" w:eastAsia="宋体" w:cs="Times New Roman"/>
          <w:color w:val="auto"/>
          <w:sz w:val="24"/>
          <w:highlight w:val="none"/>
        </w:rPr>
      </w:pPr>
      <w:r>
        <w:rPr>
          <w:rFonts w:hint="eastAsia" w:ascii="宋体" w:hAnsi="宋体" w:eastAsia="宋体" w:cs="Times New Roman"/>
          <w:color w:val="auto"/>
          <w:sz w:val="24"/>
          <w:highlight w:val="none"/>
        </w:rPr>
        <w:t>注：本授权委托书需由</w:t>
      </w:r>
      <w:r>
        <w:rPr>
          <w:rFonts w:hint="eastAsia" w:ascii="宋体" w:hAnsi="宋体" w:eastAsia="宋体" w:cs="Times New Roman"/>
          <w:color w:val="auto"/>
          <w:sz w:val="24"/>
          <w:highlight w:val="none"/>
          <w:lang w:eastAsia="zh-CN"/>
        </w:rPr>
        <w:t>报价人</w:t>
      </w:r>
      <w:r>
        <w:rPr>
          <w:rFonts w:hint="eastAsia" w:ascii="宋体" w:hAnsi="宋体" w:eastAsia="宋体" w:cs="Times New Roman"/>
          <w:color w:val="auto"/>
          <w:sz w:val="24"/>
          <w:highlight w:val="none"/>
        </w:rPr>
        <w:t>加盖单位公章并由其法定代表人/单位负责人签字。</w:t>
      </w:r>
    </w:p>
    <w:p w14:paraId="151000E4">
      <w:pPr>
        <w:spacing w:line="360" w:lineRule="auto"/>
        <w:ind w:firstLine="480"/>
        <w:jc w:val="both"/>
        <w:rPr>
          <w:rFonts w:ascii="宋体" w:hAnsi="宋体" w:eastAsia="宋体" w:cs="Times New Roman"/>
          <w:color w:val="auto"/>
          <w:sz w:val="24"/>
          <w:highlight w:val="none"/>
        </w:rPr>
      </w:pPr>
    </w:p>
    <w:p w14:paraId="3B80C412">
      <w:pPr>
        <w:spacing w:line="360" w:lineRule="auto"/>
        <w:ind w:firstLine="3076" w:firstLineChars="1282"/>
        <w:jc w:val="both"/>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lang w:eastAsia="zh-CN"/>
        </w:rPr>
        <w:t>报价人</w:t>
      </w:r>
      <w:r>
        <w:rPr>
          <w:rFonts w:hint="eastAsia" w:ascii="宋体" w:hAnsi="宋体" w:eastAsia="宋体" w:cs="Times New Roman"/>
          <w:color w:val="auto"/>
          <w:sz w:val="24"/>
          <w:highlight w:val="none"/>
        </w:rPr>
        <w:t>（单位公章）</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p>
    <w:p w14:paraId="5516D200">
      <w:pPr>
        <w:spacing w:line="360" w:lineRule="auto"/>
        <w:ind w:firstLine="3074" w:firstLineChars="1281"/>
        <w:jc w:val="both"/>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法定代表人/单位负责人（签字）</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p>
    <w:p w14:paraId="7A6C1F4B">
      <w:pPr>
        <w:spacing w:line="360" w:lineRule="auto"/>
        <w:ind w:firstLine="3076" w:firstLineChars="1282"/>
        <w:jc w:val="both"/>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委托</w:t>
      </w:r>
      <w:r>
        <w:rPr>
          <w:rFonts w:ascii="宋体" w:hAnsi="宋体" w:eastAsia="宋体" w:cs="Times New Roman"/>
          <w:color w:val="auto"/>
          <w:sz w:val="24"/>
          <w:highlight w:val="none"/>
        </w:rPr>
        <w:t>代理人</w:t>
      </w:r>
      <w:r>
        <w:rPr>
          <w:rFonts w:hint="eastAsia" w:ascii="宋体" w:hAnsi="宋体" w:eastAsia="宋体" w:cs="Times New Roman"/>
          <w:color w:val="auto"/>
          <w:sz w:val="24"/>
          <w:highlight w:val="none"/>
        </w:rPr>
        <w:t>（签字）</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p>
    <w:p w14:paraId="01B5DCA8">
      <w:pPr>
        <w:spacing w:line="360" w:lineRule="auto"/>
        <w:ind w:firstLine="5520" w:firstLineChars="2300"/>
        <w:jc w:val="both"/>
        <w:rPr>
          <w:rFonts w:ascii="宋体" w:hAnsi="宋体" w:eastAsia="宋体" w:cs="Times New Roman"/>
          <w:color w:val="auto"/>
          <w:sz w:val="24"/>
          <w:highlight w:val="none"/>
        </w:rPr>
      </w:pP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年</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月</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日</w:t>
      </w:r>
    </w:p>
    <w:p w14:paraId="2CFF1FD3">
      <w:pPr>
        <w:spacing w:line="360" w:lineRule="auto"/>
        <w:jc w:val="both"/>
        <w:rPr>
          <w:rFonts w:ascii="宋体" w:hAnsi="宋体" w:eastAsia="宋体" w:cs="Times New Roman"/>
          <w:color w:val="auto"/>
          <w:sz w:val="24"/>
          <w:highlight w:val="none"/>
        </w:rPr>
      </w:pPr>
    </w:p>
    <w:p w14:paraId="61ED7C39">
      <w:pPr>
        <w:spacing w:line="360" w:lineRule="auto"/>
        <w:ind w:firstLine="482" w:firstLineChars="200"/>
        <w:jc w:val="left"/>
        <w:outlineLvl w:val="1"/>
        <w:rPr>
          <w:rFonts w:hint="eastAsia" w:ascii="宋体" w:hAnsi="宋体" w:eastAsia="宋体" w:cs="Times New Roman"/>
          <w:b/>
          <w:bCs/>
          <w:color w:val="auto"/>
          <w:sz w:val="24"/>
          <w:szCs w:val="24"/>
          <w:highlight w:val="none"/>
        </w:rPr>
      </w:pPr>
      <w:bookmarkStart w:id="99" w:name="_Toc13658"/>
      <w:r>
        <w:rPr>
          <w:rFonts w:hint="eastAsia" w:ascii="宋体" w:hAnsi="宋体" w:eastAsia="宋体" w:cs="Times New Roman"/>
          <w:b/>
          <w:bCs/>
          <w:color w:val="auto"/>
          <w:sz w:val="24"/>
          <w:szCs w:val="24"/>
          <w:highlight w:val="none"/>
        </w:rPr>
        <w:t>注：如</w:t>
      </w:r>
      <w:r>
        <w:rPr>
          <w:rFonts w:hint="eastAsia" w:ascii="宋体" w:hAnsi="宋体" w:eastAsia="宋体" w:cs="Times New Roman"/>
          <w:b/>
          <w:bCs/>
          <w:color w:val="auto"/>
          <w:sz w:val="24"/>
          <w:szCs w:val="24"/>
          <w:highlight w:val="none"/>
          <w:lang w:eastAsia="zh-CN"/>
        </w:rPr>
        <w:t>报价人</w:t>
      </w:r>
      <w:r>
        <w:rPr>
          <w:rFonts w:hint="eastAsia" w:ascii="宋体" w:hAnsi="宋体" w:eastAsia="宋体" w:cs="Times New Roman"/>
          <w:b/>
          <w:bCs/>
          <w:color w:val="auto"/>
          <w:sz w:val="24"/>
          <w:szCs w:val="24"/>
          <w:highlight w:val="none"/>
        </w:rPr>
        <w:t>法定代表人/单位负责人参加</w:t>
      </w:r>
      <w:r>
        <w:rPr>
          <w:rFonts w:hint="eastAsia" w:ascii="宋体" w:hAnsi="宋体" w:eastAsia="宋体" w:cs="Times New Roman"/>
          <w:b/>
          <w:bCs/>
          <w:color w:val="auto"/>
          <w:sz w:val="24"/>
          <w:szCs w:val="24"/>
          <w:highlight w:val="none"/>
          <w:lang w:val="en-US" w:eastAsia="zh-CN"/>
        </w:rPr>
        <w:t>询价</w:t>
      </w:r>
      <w:r>
        <w:rPr>
          <w:rFonts w:hint="eastAsia" w:ascii="宋体" w:hAnsi="宋体" w:eastAsia="宋体" w:cs="Times New Roman"/>
          <w:b/>
          <w:bCs/>
          <w:color w:val="auto"/>
          <w:sz w:val="24"/>
          <w:szCs w:val="24"/>
          <w:highlight w:val="none"/>
        </w:rPr>
        <w:t>行为，只需附其身份证复印件、法人代表证书</w:t>
      </w:r>
      <w:r>
        <w:rPr>
          <w:rFonts w:hint="eastAsia" w:ascii="宋体" w:hAnsi="宋体" w:eastAsia="宋体" w:cs="Times New Roman"/>
          <w:b/>
          <w:bCs/>
          <w:color w:val="auto"/>
          <w:sz w:val="24"/>
          <w:szCs w:val="24"/>
          <w:highlight w:val="none"/>
          <w:lang w:eastAsia="zh-CN"/>
        </w:rPr>
        <w:t>（如有）</w:t>
      </w:r>
      <w:r>
        <w:rPr>
          <w:rFonts w:hint="eastAsia" w:ascii="宋体" w:hAnsi="宋体" w:eastAsia="宋体" w:cs="Times New Roman"/>
          <w:b/>
          <w:bCs/>
          <w:color w:val="auto"/>
          <w:sz w:val="24"/>
          <w:szCs w:val="24"/>
          <w:highlight w:val="none"/>
        </w:rPr>
        <w:t>等复印件。</w:t>
      </w:r>
      <w:bookmarkEnd w:id="99"/>
    </w:p>
    <w:p w14:paraId="3CA3C470">
      <w:pPr>
        <w:spacing w:line="360" w:lineRule="auto"/>
        <w:jc w:val="center"/>
        <w:outlineLvl w:val="1"/>
        <w:rPr>
          <w:rFonts w:hint="eastAsia" w:ascii="宋体" w:hAnsi="宋体" w:eastAsia="宋体" w:cs="Times New Roman"/>
          <w:b/>
          <w:bCs/>
          <w:color w:val="auto"/>
          <w:sz w:val="24"/>
          <w:szCs w:val="24"/>
          <w:highlight w:val="none"/>
        </w:rPr>
      </w:pPr>
    </w:p>
    <w:p w14:paraId="405D8103">
      <w:pPr>
        <w:spacing w:line="360" w:lineRule="auto"/>
        <w:jc w:val="center"/>
        <w:outlineLvl w:val="1"/>
        <w:rPr>
          <w:rFonts w:hint="eastAsia" w:ascii="宋体" w:hAnsi="宋体" w:eastAsia="宋体" w:cs="Times New Roman"/>
          <w:b/>
          <w:bCs/>
          <w:color w:val="auto"/>
          <w:sz w:val="24"/>
          <w:szCs w:val="24"/>
          <w:highlight w:val="none"/>
        </w:rPr>
      </w:pPr>
    </w:p>
    <w:p w14:paraId="42AAE1E2">
      <w:pPr>
        <w:spacing w:line="360" w:lineRule="auto"/>
        <w:jc w:val="center"/>
        <w:outlineLvl w:val="1"/>
        <w:rPr>
          <w:rFonts w:hint="eastAsia" w:ascii="宋体" w:hAnsi="宋体" w:eastAsia="宋体" w:cs="Times New Roman"/>
          <w:b/>
          <w:bCs/>
          <w:color w:val="auto"/>
          <w:sz w:val="24"/>
          <w:szCs w:val="24"/>
          <w:highlight w:val="none"/>
        </w:rPr>
      </w:pPr>
    </w:p>
    <w:p w14:paraId="398A9CC8">
      <w:pPr>
        <w:jc w:val="center"/>
        <w:outlineLvl w:val="1"/>
        <w:rPr>
          <w:b/>
          <w:sz w:val="36"/>
          <w:szCs w:val="36"/>
        </w:rPr>
      </w:pPr>
    </w:p>
    <w:p w14:paraId="790C4235">
      <w:pPr>
        <w:jc w:val="center"/>
        <w:outlineLvl w:val="1"/>
        <w:rPr>
          <w:b/>
          <w:sz w:val="36"/>
          <w:szCs w:val="36"/>
        </w:rPr>
      </w:pPr>
    </w:p>
    <w:p w14:paraId="4C40B551">
      <w:pPr>
        <w:jc w:val="center"/>
        <w:outlineLvl w:val="1"/>
        <w:rPr>
          <w:b/>
          <w:sz w:val="36"/>
          <w:szCs w:val="36"/>
        </w:rPr>
      </w:pPr>
    </w:p>
    <w:p w14:paraId="4CB94131">
      <w:pPr>
        <w:jc w:val="both"/>
        <w:outlineLvl w:val="1"/>
        <w:rPr>
          <w:b/>
          <w:sz w:val="36"/>
          <w:szCs w:val="36"/>
        </w:rPr>
      </w:pPr>
    </w:p>
    <w:p w14:paraId="5E27D54B">
      <w:pPr>
        <w:rPr>
          <w:rFonts w:hint="eastAsia"/>
          <w:b/>
          <w:sz w:val="36"/>
          <w:szCs w:val="36"/>
        </w:rPr>
      </w:pPr>
      <w:bookmarkStart w:id="100" w:name="_Toc7775"/>
      <w:r>
        <w:rPr>
          <w:rFonts w:hint="eastAsia"/>
          <w:b/>
          <w:sz w:val="36"/>
          <w:szCs w:val="36"/>
        </w:rPr>
        <w:br w:type="page"/>
      </w:r>
    </w:p>
    <w:p w14:paraId="0CA881C2">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bookmarkStart w:id="101" w:name="_Toc25286"/>
      <w:r>
        <w:rPr>
          <w:rFonts w:hint="eastAsia" w:ascii="宋体" w:hAnsi="宋体" w:eastAsia="宋体" w:cs="宋体"/>
          <w:sz w:val="28"/>
          <w:szCs w:val="28"/>
          <w:lang w:val="en-US" w:eastAsia="zh-CN"/>
        </w:rPr>
        <w:t>2、报价函</w:t>
      </w:r>
      <w:bookmarkEnd w:id="97"/>
      <w:bookmarkEnd w:id="100"/>
      <w:bookmarkEnd w:id="101"/>
    </w:p>
    <w:p w14:paraId="3318A8FB">
      <w:pPr>
        <w:tabs>
          <w:tab w:val="left" w:pos="2500"/>
        </w:tabs>
        <w:autoSpaceDE w:val="0"/>
        <w:autoSpaceDN w:val="0"/>
        <w:adjustRightInd w:val="0"/>
        <w:rPr>
          <w:sz w:val="24"/>
        </w:rPr>
      </w:pPr>
      <w:r>
        <w:rPr>
          <w:b/>
          <w:position w:val="-4"/>
          <w:sz w:val="24"/>
        </w:rPr>
        <w:t>致：</w:t>
      </w:r>
      <w:r>
        <w:rPr>
          <w:rFonts w:hint="eastAsia"/>
          <w:b/>
          <w:position w:val="-4"/>
          <w:sz w:val="24"/>
          <w:u w:val="single"/>
        </w:rPr>
        <w:t>江西联兴公路工程有限公司</w:t>
      </w:r>
      <w:r>
        <w:rPr>
          <w:rFonts w:hint="eastAsia"/>
          <w:b/>
          <w:position w:val="-4"/>
          <w:sz w:val="24"/>
          <w:u w:val="single"/>
          <w:lang w:val="en-US" w:eastAsia="zh-CN"/>
        </w:rPr>
        <w:t xml:space="preserve">  </w:t>
      </w:r>
      <w:r>
        <w:rPr>
          <w:b/>
          <w:position w:val="-4"/>
          <w:sz w:val="24"/>
          <w:u w:val="single"/>
        </w:rPr>
        <w:t xml:space="preserve"> </w:t>
      </w:r>
    </w:p>
    <w:p w14:paraId="431299C7">
      <w:pPr>
        <w:pStyle w:val="9"/>
        <w:jc w:val="left"/>
        <w:rPr>
          <w:rFonts w:hint="eastAsia" w:ascii="宋体" w:hAnsi="宋体" w:eastAsia="宋体" w:cs="宋体"/>
          <w:color w:val="auto"/>
          <w:sz w:val="24"/>
          <w:szCs w:val="24"/>
          <w:highlight w:val="none"/>
        </w:rPr>
      </w:pPr>
      <w:r>
        <w:rPr>
          <w:rFonts w:hint="eastAsia"/>
          <w:sz w:val="24"/>
        </w:rPr>
        <w:t xml:space="preserve">    </w:t>
      </w:r>
      <w:r>
        <w:rPr>
          <w:sz w:val="24"/>
        </w:rPr>
        <w:t>经研究，我方</w:t>
      </w:r>
      <w:r>
        <w:rPr>
          <w:rFonts w:hint="eastAsia"/>
          <w:sz w:val="24"/>
        </w:rPr>
        <w:t>同意《2025年赣定、龙河、龙杨、兴赣高速公路路面病害处治专项工程</w:t>
      </w:r>
      <w:r>
        <w:rPr>
          <w:rFonts w:hint="eastAsia"/>
          <w:sz w:val="24"/>
          <w:lang w:val="en-US" w:eastAsia="zh-CN"/>
        </w:rPr>
        <w:t>A2标段</w:t>
      </w:r>
      <w:r>
        <w:rPr>
          <w:rFonts w:hint="eastAsia"/>
          <w:sz w:val="24"/>
        </w:rPr>
        <w:t>保险</w:t>
      </w:r>
      <w:r>
        <w:rPr>
          <w:rFonts w:hint="eastAsia"/>
          <w:sz w:val="24"/>
          <w:lang w:val="en-US" w:eastAsia="zh-CN"/>
        </w:rPr>
        <w:t>采购项目询价文件</w:t>
      </w:r>
      <w:r>
        <w:rPr>
          <w:rFonts w:hint="eastAsia"/>
          <w:sz w:val="24"/>
        </w:rPr>
        <w:t>》</w:t>
      </w:r>
      <w:r>
        <w:rPr>
          <w:rFonts w:hint="eastAsia" w:ascii="宋体" w:hAnsi="宋体"/>
          <w:sz w:val="24"/>
        </w:rPr>
        <w:t>的所有内容及条款并就</w:t>
      </w:r>
      <w:r>
        <w:rPr>
          <w:rFonts w:ascii="宋体" w:hAnsi="宋体"/>
          <w:sz w:val="24"/>
        </w:rPr>
        <w:t>上述</w:t>
      </w:r>
      <w:r>
        <w:rPr>
          <w:rFonts w:hint="eastAsia" w:ascii="宋体" w:hAnsi="宋体"/>
          <w:sz w:val="24"/>
        </w:rPr>
        <w:t>内容</w:t>
      </w:r>
      <w:r>
        <w:rPr>
          <w:rFonts w:ascii="宋体" w:hAnsi="宋体"/>
          <w:sz w:val="24"/>
        </w:rPr>
        <w:t>进行</w:t>
      </w:r>
      <w:r>
        <w:rPr>
          <w:rFonts w:hint="eastAsia" w:ascii="宋体" w:hAnsi="宋体"/>
          <w:sz w:val="24"/>
        </w:rPr>
        <w:t>报价</w:t>
      </w:r>
      <w:r>
        <w:rPr>
          <w:sz w:val="24"/>
        </w:rPr>
        <w:t>。</w:t>
      </w:r>
      <w:r>
        <w:rPr>
          <w:rFonts w:hint="eastAsia" w:ascii="宋体" w:hAnsi="宋体" w:eastAsia="宋体" w:cs="宋体"/>
          <w:color w:val="auto"/>
          <w:sz w:val="24"/>
          <w:szCs w:val="24"/>
          <w:highlight w:val="none"/>
        </w:rPr>
        <w:t>完成贵公司规定的所有工作内容。</w:t>
      </w:r>
    </w:p>
    <w:p w14:paraId="3C5A64BB">
      <w:pPr>
        <w:spacing w:line="570" w:lineRule="exact"/>
        <w:ind w:firstLine="555"/>
        <w:jc w:val="left"/>
        <w:rPr>
          <w:rFonts w:hint="eastAsia" w:ascii="宋体" w:hAnsi="宋体" w:eastAsia="宋体" w:cs="宋体"/>
          <w:b w:val="0"/>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根据分析计算，我方愿以</w:t>
      </w:r>
      <w:r>
        <w:rPr>
          <w:rFonts w:hint="eastAsia" w:ascii="宋体" w:hAnsi="宋体" w:eastAsia="宋体" w:cs="宋体"/>
          <w:b/>
          <w:bCs/>
          <w:color w:val="auto"/>
          <w:sz w:val="24"/>
          <w:szCs w:val="24"/>
          <w:highlight w:val="none"/>
          <w:lang w:eastAsia="zh-CN"/>
        </w:rPr>
        <w:t>含税</w:t>
      </w:r>
      <w:r>
        <w:rPr>
          <w:rFonts w:hint="eastAsia" w:ascii="宋体" w:hAnsi="宋体" w:eastAsia="宋体" w:cs="宋体"/>
          <w:b/>
          <w:bCs/>
          <w:color w:val="auto"/>
          <w:sz w:val="24"/>
          <w:szCs w:val="24"/>
          <w:highlight w:val="none"/>
        </w:rPr>
        <w:t>总价人民币（大写）</w:t>
      </w:r>
      <w:r>
        <w:rPr>
          <w:rFonts w:hint="eastAsia" w:ascii="宋体" w:hAnsi="宋体" w:cs="宋体"/>
          <w:b/>
          <w:bCs/>
          <w:color w:val="auto"/>
          <w:sz w:val="24"/>
          <w:szCs w:val="24"/>
          <w:highlight w:val="none"/>
          <w:u w:val="single"/>
          <w:lang w:val="en-US" w:eastAsia="zh-CN"/>
        </w:rPr>
        <w:t>贰拾万零柒仟玖佰伍拾柒元叁角壹分</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w:t>
      </w:r>
      <w:r>
        <w:rPr>
          <w:rFonts w:hint="eastAsia" w:ascii="宋体" w:hAnsi="宋体"/>
          <w:b/>
          <w:bCs w:val="0"/>
          <w:sz w:val="24"/>
          <w:highlight w:val="none"/>
          <w:u w:val="single"/>
          <w:lang w:val="en-US" w:eastAsia="zh-CN"/>
        </w:rPr>
        <w:t>207957.31</w:t>
      </w:r>
      <w:r>
        <w:rPr>
          <w:rFonts w:hint="eastAsia" w:ascii="宋体" w:hAnsi="宋体" w:eastAsia="宋体" w:cs="宋体"/>
          <w:b w:val="0"/>
          <w:bCs w:val="0"/>
          <w:color w:val="auto"/>
          <w:sz w:val="24"/>
          <w:szCs w:val="24"/>
          <w:highlight w:val="none"/>
          <w:u w:val="single"/>
        </w:rPr>
        <w:t>元</w:t>
      </w:r>
      <w:r>
        <w:rPr>
          <w:rFonts w:hint="eastAsia" w:ascii="宋体" w:hAnsi="宋体" w:eastAsia="宋体" w:cs="宋体"/>
          <w:b w:val="0"/>
          <w:bCs w:val="0"/>
          <w:color w:val="auto"/>
          <w:sz w:val="24"/>
          <w:szCs w:val="24"/>
          <w:highlight w:val="none"/>
          <w:u w:val="none"/>
          <w:lang w:eastAsia="zh-CN"/>
        </w:rPr>
        <w:t>，税率：</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szCs w:val="24"/>
          <w:highlight w:val="none"/>
        </w:rPr>
        <w:t>完成贵公司规定的所有</w:t>
      </w:r>
      <w:r>
        <w:rPr>
          <w:rFonts w:hint="eastAsia" w:ascii="宋体" w:hAnsi="宋体" w:eastAsia="宋体" w:cs="宋体"/>
          <w:b w:val="0"/>
          <w:color w:val="auto"/>
          <w:sz w:val="24"/>
          <w:szCs w:val="24"/>
          <w:highlight w:val="none"/>
          <w:lang w:val="en-US" w:eastAsia="zh-CN"/>
        </w:rPr>
        <w:t>施工</w:t>
      </w:r>
      <w:r>
        <w:rPr>
          <w:rFonts w:hint="eastAsia" w:ascii="宋体" w:hAnsi="宋体" w:eastAsia="宋体" w:cs="宋体"/>
          <w:b w:val="0"/>
          <w:color w:val="auto"/>
          <w:sz w:val="24"/>
          <w:szCs w:val="24"/>
          <w:highlight w:val="none"/>
        </w:rPr>
        <w:t>内容。</w:t>
      </w:r>
    </w:p>
    <w:p w14:paraId="15185288">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firstLine="0" w:firstLineChars="0"/>
        <w:jc w:val="center"/>
        <w:textAlignment w:val="auto"/>
        <w:rPr>
          <w:rFonts w:hint="default" w:eastAsia="宋体"/>
          <w:b/>
          <w:bCs/>
          <w:sz w:val="24"/>
          <w:lang w:val="en-US" w:eastAsia="zh-CN"/>
        </w:rPr>
      </w:pPr>
      <w:r>
        <w:rPr>
          <w:rFonts w:hint="eastAsia"/>
          <w:b/>
          <w:bCs/>
          <w:sz w:val="24"/>
          <w:lang w:val="en-US" w:eastAsia="zh-CN"/>
        </w:rPr>
        <w:t>报价清单</w:t>
      </w:r>
    </w:p>
    <w:tbl>
      <w:tblPr>
        <w:tblStyle w:val="23"/>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491"/>
        <w:gridCol w:w="732"/>
        <w:gridCol w:w="562"/>
        <w:gridCol w:w="1296"/>
        <w:gridCol w:w="1348"/>
        <w:gridCol w:w="1461"/>
        <w:gridCol w:w="1914"/>
      </w:tblGrid>
      <w:tr w14:paraId="4F7F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99" w:type="dxa"/>
            <w:vAlign w:val="center"/>
          </w:tcPr>
          <w:p w14:paraId="116047F1">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序号</w:t>
            </w:r>
          </w:p>
        </w:tc>
        <w:tc>
          <w:tcPr>
            <w:tcW w:w="1491" w:type="dxa"/>
            <w:vAlign w:val="center"/>
          </w:tcPr>
          <w:p w14:paraId="2E0DE4C6">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b/>
                <w:bCs/>
                <w:i w:val="0"/>
                <w:iCs w:val="0"/>
                <w:color w:val="000000"/>
                <w:kern w:val="0"/>
                <w:sz w:val="22"/>
                <w:szCs w:val="22"/>
                <w:u w:val="none"/>
                <w:lang w:val="en-US" w:eastAsia="zh-CN" w:bidi="ar"/>
              </w:rPr>
              <w:t>子目名称</w:t>
            </w:r>
          </w:p>
        </w:tc>
        <w:tc>
          <w:tcPr>
            <w:tcW w:w="732" w:type="dxa"/>
            <w:vAlign w:val="center"/>
          </w:tcPr>
          <w:p w14:paraId="6EC86A41">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单位</w:t>
            </w:r>
          </w:p>
        </w:tc>
        <w:tc>
          <w:tcPr>
            <w:tcW w:w="562" w:type="dxa"/>
            <w:vAlign w:val="center"/>
          </w:tcPr>
          <w:p w14:paraId="6608A2D6">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数量</w:t>
            </w:r>
          </w:p>
        </w:tc>
        <w:tc>
          <w:tcPr>
            <w:tcW w:w="1296" w:type="dxa"/>
            <w:vAlign w:val="center"/>
          </w:tcPr>
          <w:p w14:paraId="231E6901">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控制单价含税（元）</w:t>
            </w:r>
          </w:p>
        </w:tc>
        <w:tc>
          <w:tcPr>
            <w:tcW w:w="1348" w:type="dxa"/>
            <w:vAlign w:val="center"/>
          </w:tcPr>
          <w:p w14:paraId="503D238E">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投标单价含税（元）</w:t>
            </w:r>
          </w:p>
        </w:tc>
        <w:tc>
          <w:tcPr>
            <w:tcW w:w="1461" w:type="dxa"/>
            <w:vAlign w:val="center"/>
          </w:tcPr>
          <w:p w14:paraId="50348622">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保费金额含税（元）</w:t>
            </w:r>
          </w:p>
        </w:tc>
        <w:tc>
          <w:tcPr>
            <w:tcW w:w="1914" w:type="dxa"/>
            <w:vAlign w:val="center"/>
          </w:tcPr>
          <w:p w14:paraId="057CCC63">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备注</w:t>
            </w:r>
          </w:p>
        </w:tc>
      </w:tr>
      <w:tr w14:paraId="1438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99" w:type="dxa"/>
            <w:vAlign w:val="center"/>
          </w:tcPr>
          <w:p w14:paraId="53ECBBEF">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491" w:type="dxa"/>
            <w:vAlign w:val="center"/>
          </w:tcPr>
          <w:p w14:paraId="2D91F074">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建筑工程一切险</w:t>
            </w:r>
          </w:p>
        </w:tc>
        <w:tc>
          <w:tcPr>
            <w:tcW w:w="732" w:type="dxa"/>
            <w:vAlign w:val="center"/>
          </w:tcPr>
          <w:p w14:paraId="25D5AE27">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562" w:type="dxa"/>
            <w:vAlign w:val="center"/>
          </w:tcPr>
          <w:p w14:paraId="1A5416F3">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1</w:t>
            </w:r>
          </w:p>
        </w:tc>
        <w:tc>
          <w:tcPr>
            <w:tcW w:w="1296" w:type="dxa"/>
            <w:shd w:val="clear" w:color="auto" w:fill="auto"/>
            <w:vAlign w:val="center"/>
          </w:tcPr>
          <w:p w14:paraId="222BA1E0">
            <w:pPr>
              <w:keepNext w:val="0"/>
              <w:keepLines w:val="0"/>
              <w:widowControl/>
              <w:suppressLineNumbers w:val="0"/>
              <w:jc w:val="center"/>
              <w:textAlignment w:val="center"/>
              <w:rPr>
                <w:rFonts w:hint="default"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vertAlign w:val="baseline"/>
                <w:lang w:val="en-US" w:eastAsia="zh-CN"/>
              </w:rPr>
              <w:t>107367.31</w:t>
            </w:r>
          </w:p>
        </w:tc>
        <w:tc>
          <w:tcPr>
            <w:tcW w:w="1348" w:type="dxa"/>
            <w:vAlign w:val="center"/>
          </w:tcPr>
          <w:p w14:paraId="692FDCE5">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107367.31</w:t>
            </w:r>
          </w:p>
        </w:tc>
        <w:tc>
          <w:tcPr>
            <w:tcW w:w="1461" w:type="dxa"/>
            <w:vAlign w:val="center"/>
          </w:tcPr>
          <w:p w14:paraId="17FD6736">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107367.31</w:t>
            </w:r>
          </w:p>
        </w:tc>
        <w:tc>
          <w:tcPr>
            <w:tcW w:w="1914" w:type="dxa"/>
            <w:vAlign w:val="center"/>
          </w:tcPr>
          <w:p w14:paraId="733A423C">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p>
        </w:tc>
      </w:tr>
      <w:tr w14:paraId="244E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99" w:type="dxa"/>
            <w:vAlign w:val="center"/>
          </w:tcPr>
          <w:p w14:paraId="137E511E">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491" w:type="dxa"/>
            <w:vAlign w:val="center"/>
          </w:tcPr>
          <w:p w14:paraId="0D7985E2">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第三者责任险</w:t>
            </w:r>
          </w:p>
        </w:tc>
        <w:tc>
          <w:tcPr>
            <w:tcW w:w="732" w:type="dxa"/>
            <w:vAlign w:val="center"/>
          </w:tcPr>
          <w:p w14:paraId="7F5D5AFB">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562" w:type="dxa"/>
            <w:vAlign w:val="center"/>
          </w:tcPr>
          <w:p w14:paraId="712F7496">
            <w:pPr>
              <w:keepNext w:val="0"/>
              <w:keepLines w:val="0"/>
              <w:widowControl/>
              <w:suppressLineNumbers w:val="0"/>
              <w:jc w:val="center"/>
              <w:textAlignment w:val="center"/>
              <w:rPr>
                <w:rFonts w:hint="eastAsia" w:ascii="宋体" w:hAnsi="宋体" w:eastAsia="宋体" w:cs="宋体"/>
                <w:b w:val="0"/>
                <w:bCs/>
                <w:sz w:val="24"/>
                <w:szCs w:val="24"/>
                <w:vertAlign w:val="baseline"/>
              </w:rPr>
            </w:pPr>
            <w:r>
              <w:rPr>
                <w:rFonts w:hint="eastAsia" w:ascii="宋体" w:hAnsi="宋体" w:cs="宋体"/>
                <w:i w:val="0"/>
                <w:iCs w:val="0"/>
                <w:color w:val="000000"/>
                <w:kern w:val="0"/>
                <w:sz w:val="22"/>
                <w:szCs w:val="22"/>
                <w:u w:val="none"/>
                <w:lang w:val="en-US" w:eastAsia="zh-CN" w:bidi="ar"/>
              </w:rPr>
              <w:t>1</w:t>
            </w:r>
          </w:p>
        </w:tc>
        <w:tc>
          <w:tcPr>
            <w:tcW w:w="1296" w:type="dxa"/>
            <w:shd w:val="clear" w:color="auto" w:fill="auto"/>
            <w:vAlign w:val="center"/>
          </w:tcPr>
          <w:p w14:paraId="093E70B3">
            <w:pPr>
              <w:keepNext w:val="0"/>
              <w:keepLines w:val="0"/>
              <w:widowControl/>
              <w:suppressLineNumbers w:val="0"/>
              <w:jc w:val="center"/>
              <w:textAlignment w:val="center"/>
              <w:rPr>
                <w:rFonts w:hint="default" w:ascii="宋体" w:hAnsi="宋体" w:eastAsia="宋体" w:cs="宋体"/>
                <w:b w:val="0"/>
                <w:bCs/>
                <w:kern w:val="2"/>
                <w:sz w:val="24"/>
                <w:szCs w:val="24"/>
                <w:vertAlign w:val="baseline"/>
                <w:lang w:val="en-US" w:eastAsia="zh-CN" w:bidi="ar-SA"/>
              </w:rPr>
            </w:pPr>
            <w:r>
              <w:rPr>
                <w:rFonts w:hint="eastAsia" w:ascii="宋体" w:hAnsi="宋体" w:cs="宋体"/>
                <w:b w:val="0"/>
                <w:bCs/>
                <w:sz w:val="24"/>
                <w:szCs w:val="24"/>
                <w:vertAlign w:val="baseline"/>
                <w:lang w:val="en-US" w:eastAsia="zh-CN"/>
              </w:rPr>
              <w:t>3000.00</w:t>
            </w:r>
          </w:p>
        </w:tc>
        <w:tc>
          <w:tcPr>
            <w:tcW w:w="1348" w:type="dxa"/>
            <w:vAlign w:val="center"/>
          </w:tcPr>
          <w:p w14:paraId="51696F50">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3000.00</w:t>
            </w:r>
          </w:p>
        </w:tc>
        <w:tc>
          <w:tcPr>
            <w:tcW w:w="1461" w:type="dxa"/>
            <w:vAlign w:val="center"/>
          </w:tcPr>
          <w:p w14:paraId="0F21238E">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3000.00</w:t>
            </w:r>
          </w:p>
        </w:tc>
        <w:tc>
          <w:tcPr>
            <w:tcW w:w="1914" w:type="dxa"/>
            <w:vAlign w:val="center"/>
          </w:tcPr>
          <w:p w14:paraId="1F9BEAD4">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第三者责任险的最低投保金额：100万元人民币，事故次数不限（不计免赔额）</w:t>
            </w:r>
          </w:p>
        </w:tc>
      </w:tr>
      <w:tr w14:paraId="6546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9" w:type="dxa"/>
            <w:vAlign w:val="center"/>
          </w:tcPr>
          <w:p w14:paraId="1117BF0E">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491" w:type="dxa"/>
            <w:vAlign w:val="center"/>
          </w:tcPr>
          <w:p w14:paraId="09092ED1">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安全生产责任险</w:t>
            </w:r>
          </w:p>
        </w:tc>
        <w:tc>
          <w:tcPr>
            <w:tcW w:w="732" w:type="dxa"/>
            <w:vAlign w:val="center"/>
          </w:tcPr>
          <w:p w14:paraId="3FCDA0CD">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562" w:type="dxa"/>
            <w:vAlign w:val="center"/>
          </w:tcPr>
          <w:p w14:paraId="26B22B86">
            <w:pPr>
              <w:keepNext w:val="0"/>
              <w:keepLines w:val="0"/>
              <w:widowControl/>
              <w:suppressLineNumbers w:val="0"/>
              <w:jc w:val="center"/>
              <w:textAlignment w:val="center"/>
              <w:rPr>
                <w:rFonts w:hint="eastAsia" w:ascii="宋体" w:hAnsi="宋体" w:eastAsia="宋体" w:cs="宋体"/>
                <w:b w:val="0"/>
                <w:bCs/>
                <w:sz w:val="24"/>
                <w:szCs w:val="24"/>
                <w:vertAlign w:val="baseline"/>
              </w:rPr>
            </w:pPr>
            <w:r>
              <w:rPr>
                <w:rFonts w:hint="eastAsia" w:ascii="宋体" w:hAnsi="宋体" w:cs="宋体"/>
                <w:i w:val="0"/>
                <w:iCs w:val="0"/>
                <w:color w:val="000000"/>
                <w:kern w:val="0"/>
                <w:sz w:val="22"/>
                <w:szCs w:val="22"/>
                <w:u w:val="none"/>
                <w:lang w:val="en-US" w:eastAsia="zh-CN" w:bidi="ar"/>
              </w:rPr>
              <w:t>1</w:t>
            </w:r>
          </w:p>
        </w:tc>
        <w:tc>
          <w:tcPr>
            <w:tcW w:w="1296" w:type="dxa"/>
            <w:shd w:val="clear" w:color="auto" w:fill="auto"/>
            <w:vAlign w:val="center"/>
          </w:tcPr>
          <w:p w14:paraId="1468918C">
            <w:pPr>
              <w:keepNext w:val="0"/>
              <w:keepLines w:val="0"/>
              <w:widowControl/>
              <w:suppressLineNumbers w:val="0"/>
              <w:jc w:val="center"/>
              <w:textAlignment w:val="center"/>
              <w:rPr>
                <w:rFonts w:hint="default"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vertAlign w:val="baseline"/>
                <w:lang w:val="en-US" w:eastAsia="zh-CN"/>
              </w:rPr>
              <w:t>97590</w:t>
            </w:r>
          </w:p>
        </w:tc>
        <w:tc>
          <w:tcPr>
            <w:tcW w:w="1348" w:type="dxa"/>
            <w:vAlign w:val="center"/>
          </w:tcPr>
          <w:p w14:paraId="1EB06FD4">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97590</w:t>
            </w:r>
          </w:p>
        </w:tc>
        <w:tc>
          <w:tcPr>
            <w:tcW w:w="1461" w:type="dxa"/>
            <w:vAlign w:val="center"/>
          </w:tcPr>
          <w:p w14:paraId="1187D27C">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97590</w:t>
            </w:r>
          </w:p>
        </w:tc>
        <w:tc>
          <w:tcPr>
            <w:tcW w:w="1914" w:type="dxa"/>
            <w:vAlign w:val="center"/>
          </w:tcPr>
          <w:p w14:paraId="200C6721">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r>
      <w:tr w14:paraId="0D28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9" w:type="dxa"/>
            <w:vAlign w:val="center"/>
          </w:tcPr>
          <w:p w14:paraId="26DF45F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5429" w:type="dxa"/>
            <w:gridSpan w:val="5"/>
            <w:vAlign w:val="center"/>
          </w:tcPr>
          <w:p w14:paraId="085568FD">
            <w:pPr>
              <w:keepNext w:val="0"/>
              <w:keepLines w:val="0"/>
              <w:widowControl/>
              <w:suppressLineNumbers w:val="0"/>
              <w:jc w:val="center"/>
              <w:textAlignment w:val="center"/>
              <w:rPr>
                <w:rFonts w:hint="eastAsia" w:ascii="宋体" w:hAnsi="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合计（元）</w:t>
            </w:r>
          </w:p>
        </w:tc>
        <w:tc>
          <w:tcPr>
            <w:tcW w:w="1461" w:type="dxa"/>
            <w:vAlign w:val="center"/>
          </w:tcPr>
          <w:p w14:paraId="1B990121">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b/>
                <w:bCs w:val="0"/>
                <w:sz w:val="24"/>
                <w:highlight w:val="none"/>
                <w:u w:val="single"/>
                <w:lang w:val="en-US" w:eastAsia="zh-CN"/>
              </w:rPr>
              <w:t>207957.31</w:t>
            </w:r>
          </w:p>
        </w:tc>
        <w:tc>
          <w:tcPr>
            <w:tcW w:w="1914" w:type="dxa"/>
            <w:vAlign w:val="center"/>
          </w:tcPr>
          <w:p w14:paraId="08AADD14">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p>
        </w:tc>
      </w:tr>
    </w:tbl>
    <w:p w14:paraId="7239330B">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注：1、本报价包含实施和完成项目所需的人工、管理、保费、税费、利润等一切费用，询价人不再另行支付其他费用。本项目报价为固定价，不因人工、市场等因素而调整合同单价。</w:t>
      </w:r>
    </w:p>
    <w:p w14:paraId="7DF0BC4A">
      <w:pPr>
        <w:keepNext w:val="0"/>
        <w:keepLines w:val="0"/>
        <w:pageBreakBefore w:val="0"/>
        <w:widowControl w:val="0"/>
        <w:kinsoku/>
        <w:wordWrap/>
        <w:overflowPunct/>
        <w:topLinePunct w:val="0"/>
        <w:autoSpaceDE/>
        <w:autoSpaceDN/>
        <w:bidi w:val="0"/>
        <w:adjustRightInd/>
        <w:snapToGrid/>
        <w:spacing w:line="240" w:lineRule="atLeast"/>
        <w:ind w:firstLine="402" w:firstLineChars="200"/>
        <w:textAlignment w:val="auto"/>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2、总价人民币大写金额与小写金额应当一致，不一致时以大写金额为准；总价应与清单中的合计金额一致，不一致时询价人有权否决报价人的报价文件。</w:t>
      </w:r>
    </w:p>
    <w:p w14:paraId="1E996572">
      <w:pPr>
        <w:keepNext w:val="0"/>
        <w:keepLines w:val="0"/>
        <w:pageBreakBefore w:val="0"/>
        <w:widowControl w:val="0"/>
        <w:kinsoku/>
        <w:wordWrap/>
        <w:overflowPunct/>
        <w:topLinePunct w:val="0"/>
        <w:autoSpaceDE/>
        <w:autoSpaceDN/>
        <w:bidi w:val="0"/>
        <w:adjustRightInd/>
        <w:snapToGrid/>
        <w:spacing w:line="240" w:lineRule="atLeast"/>
        <w:ind w:firstLine="402" w:firstLineChars="200"/>
        <w:textAlignment w:val="auto"/>
        <w:rPr>
          <w:rFonts w:hint="eastAsia" w:ascii="宋体" w:hAnsi="宋体" w:eastAsia="宋体" w:cs="宋体"/>
          <w:b/>
          <w:bCs/>
          <w:color w:val="auto"/>
          <w:sz w:val="20"/>
          <w:szCs w:val="20"/>
          <w:highlight w:val="cyan"/>
          <w:lang w:val="en-US" w:eastAsia="zh-CN"/>
        </w:rPr>
      </w:pPr>
      <w:r>
        <w:rPr>
          <w:rFonts w:hint="eastAsia" w:ascii="宋体" w:hAnsi="宋体" w:eastAsia="宋体" w:cs="宋体"/>
          <w:b/>
          <w:bCs/>
          <w:color w:val="auto"/>
          <w:sz w:val="20"/>
          <w:szCs w:val="20"/>
          <w:highlight w:val="none"/>
          <w:lang w:val="en-US" w:eastAsia="zh-CN"/>
        </w:rPr>
        <w:t>3、</w:t>
      </w:r>
      <w:r>
        <w:rPr>
          <w:rFonts w:hint="eastAsia" w:ascii="宋体" w:hAnsi="宋体" w:eastAsia="宋体" w:cs="宋体"/>
          <w:b/>
          <w:bCs/>
          <w:color w:val="auto"/>
          <w:sz w:val="20"/>
          <w:szCs w:val="20"/>
          <w:highlight w:val="cyan"/>
          <w:lang w:val="en-US" w:eastAsia="zh-CN"/>
        </w:rPr>
        <w:t>本项目为固定价，总额为207957.31元，报价人仅需对税率进行完善，不可修改各项报价，否则视为不响应询价文件，而被询价人拒绝。</w:t>
      </w:r>
    </w:p>
    <w:p w14:paraId="2A23646A">
      <w:pPr>
        <w:keepNext w:val="0"/>
        <w:keepLines w:val="0"/>
        <w:pageBreakBefore w:val="0"/>
        <w:widowControl w:val="0"/>
        <w:kinsoku/>
        <w:wordWrap/>
        <w:overflowPunct/>
        <w:topLinePunct w:val="0"/>
        <w:autoSpaceDE/>
        <w:autoSpaceDN/>
        <w:bidi w:val="0"/>
        <w:adjustRightInd/>
        <w:snapToGrid/>
        <w:spacing w:line="240" w:lineRule="atLeast"/>
        <w:ind w:firstLine="402" w:firstLineChars="200"/>
        <w:textAlignment w:val="auto"/>
        <w:rPr>
          <w:rFonts w:hint="eastAsia" w:ascii="宋体" w:hAnsi="宋体" w:eastAsia="宋体" w:cs="宋体"/>
          <w:b/>
          <w:bCs/>
          <w:color w:val="auto"/>
          <w:sz w:val="20"/>
          <w:szCs w:val="20"/>
          <w:highlight w:val="none"/>
          <w:lang w:val="en-US" w:eastAsia="zh-CN"/>
        </w:rPr>
      </w:pPr>
    </w:p>
    <w:p w14:paraId="0787F2D8">
      <w:pPr>
        <w:keepNext w:val="0"/>
        <w:keepLines w:val="0"/>
        <w:pageBreakBefore w:val="0"/>
        <w:widowControl w:val="0"/>
        <w:kinsoku/>
        <w:wordWrap/>
        <w:overflowPunct/>
        <w:topLinePunct w:val="0"/>
        <w:autoSpaceDE/>
        <w:autoSpaceDN/>
        <w:bidi w:val="0"/>
        <w:adjustRightInd/>
        <w:snapToGrid/>
        <w:spacing w:line="240" w:lineRule="atLeast"/>
        <w:ind w:firstLine="402" w:firstLineChars="200"/>
        <w:textAlignment w:val="auto"/>
        <w:rPr>
          <w:rFonts w:hint="eastAsia" w:ascii="宋体" w:hAnsi="宋体" w:eastAsia="宋体" w:cs="宋体"/>
          <w:b/>
          <w:bCs/>
          <w:color w:val="auto"/>
          <w:sz w:val="20"/>
          <w:szCs w:val="20"/>
          <w:highlight w:val="none"/>
          <w:lang w:val="en-US" w:eastAsia="zh-CN"/>
        </w:rPr>
      </w:pPr>
    </w:p>
    <w:p w14:paraId="6CDFBADE">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360" w:lineRule="auto"/>
        <w:ind w:right="61" w:firstLine="3600" w:firstLineChars="1500"/>
        <w:jc w:val="both"/>
        <w:textAlignment w:val="auto"/>
        <w:rPr>
          <w:rFonts w:hint="eastAsia" w:ascii="宋体" w:hAnsi="宋体"/>
          <w:sz w:val="24"/>
          <w:lang w:eastAsia="zh-CN"/>
        </w:rPr>
      </w:pPr>
    </w:p>
    <w:p w14:paraId="63DDD044">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360" w:lineRule="auto"/>
        <w:ind w:right="61" w:firstLine="3600" w:firstLineChars="1500"/>
        <w:jc w:val="both"/>
        <w:textAlignment w:val="auto"/>
        <w:rPr>
          <w:rFonts w:ascii="宋体" w:hAnsi="宋体"/>
          <w:sz w:val="24"/>
        </w:rPr>
      </w:pPr>
      <w:r>
        <w:rPr>
          <w:rFonts w:hint="eastAsia" w:ascii="宋体" w:hAnsi="宋体"/>
          <w:sz w:val="24"/>
          <w:lang w:eastAsia="zh-CN"/>
        </w:rPr>
        <w:t>报价人</w:t>
      </w:r>
      <w:r>
        <w:rPr>
          <w:rFonts w:ascii="宋体" w:hAnsi="宋体"/>
          <w:sz w:val="24"/>
        </w:rPr>
        <w:t>：</w:t>
      </w:r>
      <w:r>
        <w:rPr>
          <w:rFonts w:ascii="宋体" w:hAnsi="宋体"/>
          <w:sz w:val="24"/>
          <w:u w:val="single"/>
        </w:rPr>
        <w:t xml:space="preserve">                         </w:t>
      </w:r>
      <w:r>
        <w:rPr>
          <w:rFonts w:ascii="宋体" w:hAnsi="宋体"/>
          <w:sz w:val="24"/>
        </w:rPr>
        <w:t>(盖</w:t>
      </w:r>
      <w:r>
        <w:rPr>
          <w:rFonts w:ascii="宋体" w:hAnsi="宋体"/>
          <w:spacing w:val="-1"/>
          <w:sz w:val="24"/>
        </w:rPr>
        <w:t>单</w:t>
      </w:r>
      <w:r>
        <w:rPr>
          <w:rFonts w:ascii="宋体" w:hAnsi="宋体"/>
          <w:sz w:val="24"/>
        </w:rPr>
        <w:t xml:space="preserve">位章) </w:t>
      </w:r>
    </w:p>
    <w:p w14:paraId="0294B083">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360" w:lineRule="auto"/>
        <w:ind w:right="61" w:firstLine="3600" w:firstLineChars="1500"/>
        <w:jc w:val="both"/>
        <w:textAlignment w:val="auto"/>
        <w:rPr>
          <w:rFonts w:ascii="宋体" w:hAnsi="宋体"/>
          <w:sz w:val="24"/>
        </w:rPr>
      </w:pPr>
      <w:r>
        <w:rPr>
          <w:rFonts w:ascii="宋体" w:hAnsi="宋体"/>
          <w:sz w:val="24"/>
        </w:rPr>
        <w:t>法定代表人或</w:t>
      </w:r>
    </w:p>
    <w:p w14:paraId="7720B6FC">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360" w:lineRule="auto"/>
        <w:ind w:right="61" w:firstLine="3600" w:firstLineChars="1500"/>
        <w:jc w:val="both"/>
        <w:textAlignment w:val="auto"/>
        <w:rPr>
          <w:rFonts w:ascii="宋体" w:hAnsi="宋体"/>
          <w:sz w:val="24"/>
        </w:rPr>
      </w:pPr>
      <w:r>
        <w:rPr>
          <w:rFonts w:ascii="宋体" w:hAnsi="宋体"/>
          <w:sz w:val="24"/>
        </w:rPr>
        <w:t>其委托代理人：</w:t>
      </w:r>
      <w:r>
        <w:rPr>
          <w:rFonts w:ascii="宋体" w:hAnsi="宋体"/>
          <w:sz w:val="24"/>
          <w:u w:val="single"/>
        </w:rPr>
        <w:t xml:space="preserve"> </w:t>
      </w:r>
      <w:r>
        <w:rPr>
          <w:rFonts w:ascii="宋体" w:hAnsi="宋体"/>
          <w:sz w:val="24"/>
          <w:u w:val="single"/>
        </w:rPr>
        <w:tab/>
      </w:r>
      <w:r>
        <w:rPr>
          <w:rFonts w:ascii="宋体" w:hAnsi="宋体"/>
          <w:sz w:val="24"/>
        </w:rPr>
        <w:t>(</w:t>
      </w:r>
      <w:r>
        <w:rPr>
          <w:rFonts w:ascii="宋体" w:hAnsi="宋体"/>
          <w:spacing w:val="-1"/>
          <w:sz w:val="24"/>
        </w:rPr>
        <w:t>签</w:t>
      </w:r>
      <w:r>
        <w:rPr>
          <w:rFonts w:ascii="宋体" w:hAnsi="宋体"/>
          <w:sz w:val="24"/>
        </w:rPr>
        <w:t xml:space="preserve">字) </w:t>
      </w:r>
    </w:p>
    <w:p w14:paraId="4D86234C">
      <w:pPr>
        <w:keepNext w:val="0"/>
        <w:keepLines w:val="0"/>
        <w:pageBreakBefore w:val="0"/>
        <w:widowControl w:val="0"/>
        <w:kinsoku/>
        <w:wordWrap/>
        <w:overflowPunct/>
        <w:topLinePunct w:val="0"/>
        <w:bidi w:val="0"/>
        <w:snapToGrid/>
        <w:spacing w:line="360" w:lineRule="auto"/>
        <w:ind w:firstLine="3600" w:firstLineChars="1500"/>
        <w:jc w:val="both"/>
        <w:textAlignment w:val="auto"/>
        <w:rPr>
          <w:rFonts w:ascii="宋体" w:hAnsi="宋体"/>
          <w:sz w:val="24"/>
        </w:rPr>
      </w:pPr>
      <w:r>
        <w:rPr>
          <w:rFonts w:hint="eastAsia" w:ascii="宋体" w:hAnsi="宋体"/>
          <w:sz w:val="24"/>
        </w:rPr>
        <w:t>报价时间：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DC60A17">
      <w:pPr>
        <w:ind w:firstLine="480" w:firstLineChars="200"/>
        <w:rPr>
          <w:rFonts w:hint="eastAsia" w:ascii="仿宋" w:hAnsi="仿宋" w:eastAsia="仿宋" w:cs="仿宋"/>
          <w:b/>
          <w:bCs/>
          <w:spacing w:val="-1"/>
          <w:sz w:val="28"/>
          <w:szCs w:val="28"/>
        </w:rPr>
      </w:pPr>
      <w:r>
        <w:rPr>
          <w:rFonts w:hint="eastAsia" w:ascii="仿宋" w:hAnsi="仿宋" w:eastAsia="仿宋" w:cs="仿宋"/>
          <w:sz w:val="24"/>
          <w:szCs w:val="24"/>
        </w:rPr>
        <w:br w:type="page"/>
      </w:r>
      <w:bookmarkStart w:id="102" w:name="_Toc11293"/>
    </w:p>
    <w:p w14:paraId="119A938F">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bookmarkStart w:id="103" w:name="_Toc28550"/>
      <w:r>
        <w:rPr>
          <w:rFonts w:hint="eastAsia" w:ascii="宋体" w:hAnsi="宋体" w:eastAsia="宋体" w:cs="宋体"/>
          <w:sz w:val="28"/>
          <w:szCs w:val="28"/>
          <w:lang w:val="en-US" w:eastAsia="zh-CN"/>
        </w:rPr>
        <w:t>3、</w:t>
      </w:r>
      <w:bookmarkEnd w:id="103"/>
      <w:bookmarkStart w:id="104" w:name="_Toc6219"/>
      <w:bookmarkStart w:id="105" w:name="_Toc12073"/>
      <w:r>
        <w:rPr>
          <w:rFonts w:hint="eastAsia" w:ascii="宋体" w:hAnsi="宋体" w:eastAsia="宋体" w:cs="宋体"/>
          <w:sz w:val="28"/>
          <w:szCs w:val="28"/>
          <w:lang w:val="en-US" w:eastAsia="zh-CN"/>
        </w:rPr>
        <w:t>信誉承诺表</w:t>
      </w:r>
      <w:bookmarkEnd w:id="104"/>
      <w:bookmarkEnd w:id="105"/>
    </w:p>
    <w:tbl>
      <w:tblPr>
        <w:tblStyle w:val="22"/>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562"/>
        <w:gridCol w:w="1914"/>
      </w:tblGrid>
      <w:tr w14:paraId="2921E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vAlign w:val="center"/>
          </w:tcPr>
          <w:p w14:paraId="30BC6919">
            <w:pPr>
              <w:adjustRightInd w:val="0"/>
              <w:snapToGrid w:val="0"/>
              <w:jc w:val="center"/>
              <w:rPr>
                <w:szCs w:val="21"/>
              </w:rPr>
            </w:pPr>
            <w:r>
              <w:rPr>
                <w:szCs w:val="21"/>
              </w:rPr>
              <w:t>序号</w:t>
            </w:r>
          </w:p>
        </w:tc>
        <w:tc>
          <w:tcPr>
            <w:tcW w:w="6562" w:type="dxa"/>
            <w:vAlign w:val="center"/>
          </w:tcPr>
          <w:p w14:paraId="19E55D64">
            <w:pPr>
              <w:adjustRightInd w:val="0"/>
              <w:snapToGrid w:val="0"/>
              <w:jc w:val="center"/>
              <w:rPr>
                <w:szCs w:val="21"/>
              </w:rPr>
            </w:pPr>
            <w:r>
              <w:rPr>
                <w:szCs w:val="21"/>
              </w:rPr>
              <w:t>信誉内容</w:t>
            </w:r>
          </w:p>
        </w:tc>
        <w:tc>
          <w:tcPr>
            <w:tcW w:w="1914" w:type="dxa"/>
            <w:vAlign w:val="center"/>
          </w:tcPr>
          <w:p w14:paraId="63E41C08">
            <w:pPr>
              <w:adjustRightInd w:val="0"/>
              <w:snapToGrid w:val="0"/>
              <w:jc w:val="center"/>
              <w:rPr>
                <w:szCs w:val="21"/>
              </w:rPr>
            </w:pPr>
            <w:r>
              <w:rPr>
                <w:rFonts w:hint="eastAsia"/>
                <w:szCs w:val="21"/>
                <w:lang w:eastAsia="zh-CN"/>
              </w:rPr>
              <w:t>报价人</w:t>
            </w:r>
            <w:r>
              <w:rPr>
                <w:szCs w:val="21"/>
              </w:rPr>
              <w:t>情况说明</w:t>
            </w:r>
          </w:p>
        </w:tc>
      </w:tr>
      <w:tr w14:paraId="0A865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vAlign w:val="center"/>
          </w:tcPr>
          <w:p w14:paraId="5878506F">
            <w:pPr>
              <w:autoSpaceDE w:val="0"/>
              <w:autoSpaceDN w:val="0"/>
              <w:adjustRightInd w:val="0"/>
              <w:snapToGrid w:val="0"/>
              <w:jc w:val="center"/>
              <w:rPr>
                <w:szCs w:val="21"/>
              </w:rPr>
            </w:pPr>
            <w:r>
              <w:rPr>
                <w:rFonts w:hint="eastAsia"/>
                <w:szCs w:val="21"/>
              </w:rPr>
              <w:t>1</w:t>
            </w:r>
          </w:p>
        </w:tc>
        <w:tc>
          <w:tcPr>
            <w:tcW w:w="6562" w:type="dxa"/>
            <w:vAlign w:val="center"/>
          </w:tcPr>
          <w:p w14:paraId="74585FDC">
            <w:pPr>
              <w:spacing w:line="420" w:lineRule="exact"/>
              <w:jc w:val="left"/>
              <w:rPr>
                <w:rFonts w:hint="eastAsia" w:ascii="宋体" w:hAnsi="宋体" w:cs="Times New Roman"/>
                <w:sz w:val="24"/>
              </w:rPr>
            </w:pPr>
            <w:r>
              <w:rPr>
                <w:rFonts w:hint="eastAsia" w:ascii="宋体" w:hAnsi="宋体" w:cs="Times New Roman"/>
                <w:sz w:val="24"/>
              </w:rPr>
              <w:t>是否被责令停业，暂扣或吊销执照，或吊销资质证书</w:t>
            </w:r>
          </w:p>
        </w:tc>
        <w:tc>
          <w:tcPr>
            <w:tcW w:w="1914" w:type="dxa"/>
            <w:vAlign w:val="center"/>
          </w:tcPr>
          <w:p w14:paraId="703C33C8">
            <w:pPr>
              <w:adjustRightInd w:val="0"/>
              <w:snapToGrid w:val="0"/>
              <w:rPr>
                <w:szCs w:val="21"/>
              </w:rPr>
            </w:pPr>
          </w:p>
        </w:tc>
      </w:tr>
      <w:tr w14:paraId="0199C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vAlign w:val="center"/>
          </w:tcPr>
          <w:p w14:paraId="489B6F17">
            <w:pPr>
              <w:adjustRightInd w:val="0"/>
              <w:snapToGrid w:val="0"/>
              <w:jc w:val="center"/>
              <w:rPr>
                <w:szCs w:val="21"/>
              </w:rPr>
            </w:pPr>
            <w:r>
              <w:rPr>
                <w:rFonts w:hint="eastAsia"/>
                <w:szCs w:val="21"/>
              </w:rPr>
              <w:t>2</w:t>
            </w:r>
          </w:p>
        </w:tc>
        <w:tc>
          <w:tcPr>
            <w:tcW w:w="6562" w:type="dxa"/>
            <w:vAlign w:val="center"/>
          </w:tcPr>
          <w:p w14:paraId="4A982083">
            <w:pPr>
              <w:spacing w:line="420" w:lineRule="exact"/>
              <w:jc w:val="left"/>
              <w:rPr>
                <w:rFonts w:hint="eastAsia" w:ascii="宋体" w:hAnsi="宋体" w:cs="Times New Roman"/>
                <w:sz w:val="24"/>
              </w:rPr>
            </w:pPr>
            <w:r>
              <w:rPr>
                <w:rFonts w:hint="eastAsia" w:ascii="宋体" w:hAnsi="宋体" w:cs="Times New Roman"/>
                <w:sz w:val="24"/>
              </w:rPr>
              <w:t>是否进入清算程序，或被宣告破产，或其他丧失履约能力的情形</w:t>
            </w:r>
          </w:p>
        </w:tc>
        <w:tc>
          <w:tcPr>
            <w:tcW w:w="1914" w:type="dxa"/>
            <w:vAlign w:val="center"/>
          </w:tcPr>
          <w:p w14:paraId="0E59935F">
            <w:pPr>
              <w:adjustRightInd w:val="0"/>
              <w:snapToGrid w:val="0"/>
              <w:rPr>
                <w:szCs w:val="21"/>
              </w:rPr>
            </w:pPr>
          </w:p>
        </w:tc>
      </w:tr>
      <w:tr w14:paraId="4A6D9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473C4A55">
            <w:pPr>
              <w:adjustRightInd w:val="0"/>
              <w:snapToGrid w:val="0"/>
              <w:jc w:val="center"/>
              <w:rPr>
                <w:szCs w:val="21"/>
              </w:rPr>
            </w:pPr>
            <w:r>
              <w:rPr>
                <w:rFonts w:hint="eastAsia"/>
                <w:szCs w:val="21"/>
              </w:rPr>
              <w:t>3</w:t>
            </w:r>
          </w:p>
        </w:tc>
        <w:tc>
          <w:tcPr>
            <w:tcW w:w="6562" w:type="dxa"/>
            <w:vAlign w:val="center"/>
          </w:tcPr>
          <w:p w14:paraId="483A9AEB">
            <w:pPr>
              <w:spacing w:line="420" w:lineRule="exact"/>
              <w:jc w:val="left"/>
              <w:rPr>
                <w:rFonts w:hint="eastAsia" w:ascii="宋体" w:hAnsi="宋体" w:cs="Times New Roman"/>
                <w:sz w:val="24"/>
              </w:rPr>
            </w:pPr>
            <w:r>
              <w:rPr>
                <w:rFonts w:hint="eastAsia" w:ascii="宋体" w:hAnsi="宋体" w:cs="Times New Roman"/>
                <w:sz w:val="24"/>
              </w:rPr>
              <w:t>是否在国家企业信用信息公示系统</w:t>
            </w:r>
            <w:r>
              <w:rPr>
                <w:rFonts w:hint="eastAsia" w:ascii="宋体" w:hAnsi="宋体" w:cs="Times New Roman"/>
                <w:sz w:val="24"/>
              </w:rPr>
              <w:fldChar w:fldCharType="begin"/>
            </w:r>
            <w:r>
              <w:rPr>
                <w:rFonts w:hint="eastAsia" w:ascii="宋体" w:hAnsi="宋体" w:cs="Times New Roman"/>
                <w:sz w:val="24"/>
              </w:rPr>
              <w:instrText xml:space="preserve"> HYPERLINK "http://www.gsxt.gov.cn/" \h </w:instrText>
            </w:r>
            <w:r>
              <w:rPr>
                <w:rFonts w:hint="eastAsia" w:ascii="宋体" w:hAnsi="宋体" w:cs="Times New Roman"/>
                <w:sz w:val="24"/>
              </w:rPr>
              <w:fldChar w:fldCharType="separate"/>
            </w:r>
            <w:r>
              <w:rPr>
                <w:rFonts w:hint="eastAsia" w:ascii="宋体" w:hAnsi="宋体" w:cs="Times New Roman"/>
                <w:sz w:val="24"/>
              </w:rPr>
              <w:t>（http://www.gsxt.gov.cn</w:t>
            </w:r>
            <w:r>
              <w:rPr>
                <w:rFonts w:hint="eastAsia" w:ascii="宋体" w:hAnsi="宋体" w:cs="Times New Roman"/>
                <w:sz w:val="24"/>
              </w:rPr>
              <w:fldChar w:fldCharType="end"/>
            </w:r>
            <w:r>
              <w:rPr>
                <w:rFonts w:hint="eastAsia" w:ascii="宋体" w:hAnsi="宋体" w:cs="Times New Roman"/>
                <w:sz w:val="24"/>
              </w:rPr>
              <w:t>）中被列入严重违法失信企业名单</w:t>
            </w:r>
          </w:p>
        </w:tc>
        <w:tc>
          <w:tcPr>
            <w:tcW w:w="1914" w:type="dxa"/>
            <w:vAlign w:val="center"/>
          </w:tcPr>
          <w:p w14:paraId="608BC1B1">
            <w:pPr>
              <w:adjustRightInd w:val="0"/>
              <w:snapToGrid w:val="0"/>
              <w:rPr>
                <w:szCs w:val="21"/>
              </w:rPr>
            </w:pPr>
          </w:p>
        </w:tc>
      </w:tr>
      <w:tr w14:paraId="2B528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6294CFE9">
            <w:pPr>
              <w:adjustRightInd w:val="0"/>
              <w:snapToGrid w:val="0"/>
              <w:jc w:val="center"/>
              <w:rPr>
                <w:szCs w:val="21"/>
              </w:rPr>
            </w:pPr>
            <w:r>
              <w:rPr>
                <w:rFonts w:hint="eastAsia"/>
                <w:szCs w:val="21"/>
              </w:rPr>
              <w:t>4</w:t>
            </w:r>
          </w:p>
        </w:tc>
        <w:tc>
          <w:tcPr>
            <w:tcW w:w="6562" w:type="dxa"/>
            <w:vAlign w:val="center"/>
          </w:tcPr>
          <w:p w14:paraId="56F2FBF6">
            <w:pPr>
              <w:spacing w:line="420" w:lineRule="exact"/>
              <w:jc w:val="left"/>
              <w:rPr>
                <w:rFonts w:hint="eastAsia" w:ascii="宋体" w:hAnsi="宋体" w:cs="Times New Roman"/>
                <w:sz w:val="24"/>
              </w:rPr>
            </w:pPr>
            <w:r>
              <w:rPr>
                <w:rFonts w:hint="eastAsia" w:ascii="宋体" w:hAnsi="宋体" w:cs="Times New Roman"/>
                <w:sz w:val="24"/>
              </w:rPr>
              <w:t>是否在“信用中国”网站（</w:t>
            </w:r>
            <w:r>
              <w:rPr>
                <w:rFonts w:hint="eastAsia" w:ascii="宋体" w:hAnsi="宋体" w:cs="Times New Roman"/>
                <w:sz w:val="24"/>
              </w:rPr>
              <w:fldChar w:fldCharType="begin"/>
            </w:r>
            <w:r>
              <w:rPr>
                <w:rFonts w:hint="eastAsia" w:ascii="宋体" w:hAnsi="宋体" w:cs="Times New Roman"/>
                <w:sz w:val="24"/>
              </w:rPr>
              <w:instrText xml:space="preserve"> HYPERLINK "http://www.creditchina.gov.cn/" \h </w:instrText>
            </w:r>
            <w:r>
              <w:rPr>
                <w:rFonts w:hint="eastAsia" w:ascii="宋体" w:hAnsi="宋体" w:cs="Times New Roman"/>
                <w:sz w:val="24"/>
              </w:rPr>
              <w:fldChar w:fldCharType="separate"/>
            </w:r>
            <w:r>
              <w:rPr>
                <w:rFonts w:hint="eastAsia" w:ascii="宋体" w:hAnsi="宋体" w:cs="Times New Roman"/>
                <w:sz w:val="24"/>
              </w:rPr>
              <w:t>http://www.creditchina.gov.cn</w:t>
            </w:r>
            <w:r>
              <w:rPr>
                <w:rFonts w:hint="eastAsia" w:ascii="宋体" w:hAnsi="宋体" w:cs="Times New Roman"/>
                <w:sz w:val="24"/>
              </w:rPr>
              <w:fldChar w:fldCharType="end"/>
            </w:r>
            <w:r>
              <w:rPr>
                <w:rFonts w:hint="eastAsia" w:ascii="宋体" w:hAnsi="宋体" w:cs="Times New Roman"/>
                <w:sz w:val="24"/>
              </w:rPr>
              <w:t>）中被列入失信被执行人名单</w:t>
            </w:r>
          </w:p>
        </w:tc>
        <w:tc>
          <w:tcPr>
            <w:tcW w:w="1914" w:type="dxa"/>
            <w:vAlign w:val="center"/>
          </w:tcPr>
          <w:p w14:paraId="2E34431B">
            <w:pPr>
              <w:adjustRightInd w:val="0"/>
              <w:snapToGrid w:val="0"/>
              <w:rPr>
                <w:szCs w:val="21"/>
              </w:rPr>
            </w:pPr>
          </w:p>
        </w:tc>
      </w:tr>
      <w:tr w14:paraId="38941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59474EAA">
            <w:pPr>
              <w:adjustRightInd w:val="0"/>
              <w:snapToGrid w:val="0"/>
              <w:jc w:val="center"/>
              <w:rPr>
                <w:rFonts w:hint="eastAsia"/>
                <w:lang w:val="en-US" w:eastAsia="zh-CN"/>
              </w:rPr>
            </w:pPr>
            <w:r>
              <w:rPr>
                <w:rFonts w:hint="eastAsia"/>
                <w:szCs w:val="21"/>
                <w:lang w:val="en-US" w:eastAsia="zh-CN"/>
              </w:rPr>
              <w:t>5</w:t>
            </w:r>
          </w:p>
        </w:tc>
        <w:tc>
          <w:tcPr>
            <w:tcW w:w="6562" w:type="dxa"/>
            <w:vAlign w:val="center"/>
          </w:tcPr>
          <w:p w14:paraId="1693A216">
            <w:pPr>
              <w:spacing w:line="480" w:lineRule="exact"/>
              <w:rPr>
                <w:rFonts w:hint="eastAsia" w:ascii="宋体" w:hAnsi="宋体" w:cs="Times New Roman"/>
                <w:sz w:val="24"/>
              </w:rPr>
            </w:pPr>
            <w:r>
              <w:rPr>
                <w:rFonts w:hint="eastAsia" w:ascii="宋体" w:hAnsi="宋体"/>
                <w:bCs/>
                <w:sz w:val="24"/>
                <w:lang w:val="en-US" w:eastAsia="zh-CN"/>
              </w:rPr>
              <w:t>在</w:t>
            </w:r>
            <w:r>
              <w:rPr>
                <w:rFonts w:hint="default" w:ascii="宋体" w:hAnsi="宋体"/>
                <w:bCs/>
                <w:sz w:val="24"/>
                <w:lang w:val="en-US" w:eastAsia="zh-CN"/>
              </w:rPr>
              <w:t>24个月内在我市行政区域内工程投标中被确定为中标人后，</w:t>
            </w:r>
            <w:r>
              <w:rPr>
                <w:rFonts w:hint="eastAsia" w:ascii="宋体" w:hAnsi="宋体"/>
                <w:bCs/>
                <w:sz w:val="24"/>
                <w:lang w:val="en-US" w:eastAsia="zh-CN"/>
              </w:rPr>
              <w:t>是否存在</w:t>
            </w:r>
            <w:r>
              <w:rPr>
                <w:rFonts w:hint="default" w:ascii="宋体" w:hAnsi="宋体"/>
                <w:bCs/>
                <w:sz w:val="24"/>
                <w:lang w:val="en-US" w:eastAsia="zh-CN"/>
              </w:rPr>
              <w:t>无正当理由放弃中标或不按规定提供履约担保的。</w:t>
            </w:r>
          </w:p>
        </w:tc>
        <w:tc>
          <w:tcPr>
            <w:tcW w:w="1914" w:type="dxa"/>
            <w:vAlign w:val="center"/>
          </w:tcPr>
          <w:p w14:paraId="04DFAE5E">
            <w:pPr>
              <w:adjustRightInd w:val="0"/>
              <w:snapToGrid w:val="0"/>
              <w:rPr>
                <w:szCs w:val="21"/>
              </w:rPr>
            </w:pPr>
          </w:p>
        </w:tc>
      </w:tr>
      <w:tr w14:paraId="2CE1D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4CA2E8A9">
            <w:pPr>
              <w:adjustRightInd w:val="0"/>
              <w:snapToGrid w:val="0"/>
              <w:jc w:val="center"/>
              <w:rPr>
                <w:rFonts w:hint="eastAsia" w:eastAsia="宋体"/>
                <w:szCs w:val="21"/>
                <w:lang w:val="en-US" w:eastAsia="zh-CN"/>
              </w:rPr>
            </w:pPr>
            <w:r>
              <w:rPr>
                <w:rFonts w:hint="eastAsia"/>
                <w:szCs w:val="21"/>
                <w:lang w:val="en-US" w:eastAsia="zh-CN"/>
              </w:rPr>
              <w:t>6</w:t>
            </w:r>
          </w:p>
        </w:tc>
        <w:tc>
          <w:tcPr>
            <w:tcW w:w="6562" w:type="dxa"/>
            <w:vAlign w:val="center"/>
          </w:tcPr>
          <w:p w14:paraId="4527E6B0">
            <w:pPr>
              <w:spacing w:line="420" w:lineRule="exact"/>
              <w:jc w:val="left"/>
              <w:rPr>
                <w:rFonts w:hint="eastAsia" w:ascii="宋体" w:hAnsi="宋体" w:cs="Times New Roman"/>
                <w:sz w:val="24"/>
              </w:rPr>
            </w:pPr>
            <w:r>
              <w:rPr>
                <w:rFonts w:hint="eastAsia" w:ascii="宋体" w:hAnsi="宋体"/>
                <w:bCs/>
                <w:sz w:val="24"/>
                <w:lang w:val="en-US" w:eastAsia="zh-CN"/>
              </w:rPr>
              <w:t>在24</w:t>
            </w:r>
            <w:r>
              <w:rPr>
                <w:rFonts w:hint="default" w:ascii="宋体" w:hAnsi="宋体"/>
                <w:bCs/>
                <w:sz w:val="24"/>
                <w:lang w:val="en-US" w:eastAsia="zh-CN"/>
              </w:rPr>
              <w:t>个月内（以通报发文时间为准）</w:t>
            </w:r>
            <w:r>
              <w:rPr>
                <w:rFonts w:hint="eastAsia" w:ascii="宋体" w:hAnsi="宋体"/>
                <w:bCs/>
                <w:sz w:val="24"/>
                <w:lang w:val="en-US" w:eastAsia="zh-CN"/>
              </w:rPr>
              <w:t>是否</w:t>
            </w:r>
            <w:r>
              <w:rPr>
                <w:rFonts w:hint="default" w:ascii="宋体" w:hAnsi="宋体"/>
                <w:bCs/>
                <w:sz w:val="24"/>
                <w:lang w:val="en-US" w:eastAsia="zh-CN"/>
              </w:rPr>
              <w:t>被我市及任何县（市、区）中国银行保险监督管理委员会（或行政执法部门）依法作出限制投标资格行政处罚（或暂停投标通报）的。</w:t>
            </w:r>
          </w:p>
        </w:tc>
        <w:tc>
          <w:tcPr>
            <w:tcW w:w="1914" w:type="dxa"/>
            <w:vAlign w:val="center"/>
          </w:tcPr>
          <w:p w14:paraId="198D5B81">
            <w:pPr>
              <w:adjustRightInd w:val="0"/>
              <w:snapToGrid w:val="0"/>
              <w:rPr>
                <w:szCs w:val="21"/>
              </w:rPr>
            </w:pPr>
          </w:p>
        </w:tc>
      </w:tr>
    </w:tbl>
    <w:p w14:paraId="7C4851E5">
      <w:pP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highlight w:val="none"/>
        </w:rPr>
        <w:t>1.报价人情况说明请填写“是”或“否”。</w:t>
      </w:r>
    </w:p>
    <w:p w14:paraId="45AE63A9">
      <w:pPr>
        <w:spacing w:line="24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2.报价人应如实填写本表，如隐瞒真实情况，一旦发现询价人有权取消其中选资格，并没收其询价保证金。</w:t>
      </w:r>
    </w:p>
    <w:p w14:paraId="7DBF9100">
      <w:pPr>
        <w:ind w:firstLine="480" w:firstLineChars="200"/>
        <w:rPr>
          <w:szCs w:val="21"/>
        </w:rPr>
      </w:pPr>
      <w:r>
        <w:rPr>
          <w:rFonts w:hint="eastAsia" w:ascii="宋体" w:hAnsi="宋体" w:eastAsia="宋体" w:cs="宋体"/>
          <w:b w:val="0"/>
          <w:color w:val="auto"/>
          <w:sz w:val="24"/>
          <w:highlight w:val="none"/>
        </w:rPr>
        <w:t>3.询价人有权核查报价人在报价文件中提供的资料，若在评审期间发现报价人提供</w:t>
      </w:r>
      <w:r>
        <w:rPr>
          <w:rFonts w:hint="eastAsia" w:ascii="宋体" w:hAnsi="宋体" w:eastAsia="宋体" w:cs="宋体"/>
          <w:color w:val="auto"/>
          <w:sz w:val="24"/>
          <w:highlight w:val="none"/>
        </w:rPr>
        <w:t>了虚假资料，其报价将被否决并没收其询价保证金；若在签订合同前发现第一成交候选人提供了虚假资料，询价人有权取消其中选资格并没收其询价保证金；若在合同实施期间发现中选人提供了虚假资料，询价人有权从工程</w:t>
      </w:r>
      <w:r>
        <w:rPr>
          <w:rFonts w:hint="eastAsia" w:ascii="宋体" w:hAnsi="宋体" w:eastAsia="宋体" w:cs="宋体"/>
          <w:color w:val="auto"/>
          <w:sz w:val="24"/>
          <w:highlight w:val="none"/>
          <w:lang w:eastAsia="zh-CN"/>
        </w:rPr>
        <w:t>（货物）</w:t>
      </w:r>
      <w:r>
        <w:rPr>
          <w:rFonts w:hint="eastAsia" w:ascii="宋体" w:hAnsi="宋体" w:eastAsia="宋体" w:cs="宋体"/>
          <w:color w:val="auto"/>
          <w:sz w:val="24"/>
          <w:highlight w:val="none"/>
        </w:rPr>
        <w:t>支付款或履约保证金中扣除10%签约合同价的金额作为违约金。同时询价人有权将报价人上述弄虚作假行为上报相关主管部门,作为不良记录纳入相应市场信用信息管理系统。</w:t>
      </w:r>
    </w:p>
    <w:p w14:paraId="64A529F5">
      <w:pPr>
        <w:rPr>
          <w:szCs w:val="21"/>
        </w:rPr>
      </w:pPr>
    </w:p>
    <w:p w14:paraId="66948728">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360" w:lineRule="auto"/>
        <w:ind w:left="3641" w:right="61"/>
        <w:textAlignment w:val="auto"/>
        <w:rPr>
          <w:rFonts w:ascii="宋体" w:hAnsi="宋体"/>
          <w:sz w:val="24"/>
        </w:rPr>
      </w:pPr>
      <w:r>
        <w:rPr>
          <w:rFonts w:hint="eastAsia" w:ascii="宋体" w:hAnsi="宋体"/>
          <w:sz w:val="24"/>
        </w:rPr>
        <w:t>承诺</w:t>
      </w:r>
      <w:r>
        <w:rPr>
          <w:rFonts w:ascii="宋体" w:hAnsi="宋体"/>
          <w:sz w:val="24"/>
        </w:rPr>
        <w:t>人：</w:t>
      </w:r>
      <w:r>
        <w:rPr>
          <w:rFonts w:ascii="宋体" w:hAnsi="宋体"/>
          <w:sz w:val="24"/>
          <w:u w:val="single"/>
        </w:rPr>
        <w:t xml:space="preserve">                         </w:t>
      </w:r>
      <w:r>
        <w:rPr>
          <w:rFonts w:ascii="宋体" w:hAnsi="宋体"/>
          <w:sz w:val="24"/>
        </w:rPr>
        <w:t>(盖</w:t>
      </w:r>
      <w:r>
        <w:rPr>
          <w:rFonts w:ascii="宋体" w:hAnsi="宋体"/>
          <w:spacing w:val="-1"/>
          <w:sz w:val="24"/>
        </w:rPr>
        <w:t>单</w:t>
      </w:r>
      <w:r>
        <w:rPr>
          <w:rFonts w:ascii="宋体" w:hAnsi="宋体"/>
          <w:sz w:val="24"/>
        </w:rPr>
        <w:t xml:space="preserve">位章) </w:t>
      </w:r>
    </w:p>
    <w:p w14:paraId="691CF445">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360" w:lineRule="auto"/>
        <w:ind w:left="3641" w:right="61"/>
        <w:textAlignment w:val="auto"/>
        <w:rPr>
          <w:rFonts w:ascii="宋体" w:hAnsi="宋体"/>
          <w:sz w:val="24"/>
        </w:rPr>
      </w:pPr>
      <w:r>
        <w:rPr>
          <w:rFonts w:ascii="宋体" w:hAnsi="宋体"/>
          <w:sz w:val="24"/>
        </w:rPr>
        <w:t>法定代表人或其委托代理人：</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rPr>
        <w:t>(</w:t>
      </w:r>
      <w:r>
        <w:rPr>
          <w:rFonts w:ascii="宋体" w:hAnsi="宋体"/>
          <w:spacing w:val="-1"/>
          <w:sz w:val="24"/>
        </w:rPr>
        <w:t>签</w:t>
      </w:r>
      <w:r>
        <w:rPr>
          <w:rFonts w:ascii="宋体" w:hAnsi="宋体"/>
          <w:sz w:val="24"/>
        </w:rPr>
        <w:t xml:space="preserve">字) </w:t>
      </w:r>
    </w:p>
    <w:p w14:paraId="23B545A9">
      <w:pPr>
        <w:keepNext w:val="0"/>
        <w:keepLines w:val="0"/>
        <w:pageBreakBefore w:val="0"/>
        <w:widowControl w:val="0"/>
        <w:kinsoku/>
        <w:wordWrap/>
        <w:overflowPunct/>
        <w:topLinePunct w:val="0"/>
        <w:bidi w:val="0"/>
        <w:snapToGrid/>
        <w:spacing w:line="360" w:lineRule="auto"/>
        <w:ind w:firstLine="3600" w:firstLineChars="1500"/>
        <w:textAlignment w:val="auto"/>
        <w:rPr>
          <w:rFonts w:ascii="宋体" w:hAnsi="宋体" w:cs="宋体"/>
          <w:szCs w:val="21"/>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w:t>
      </w:r>
    </w:p>
    <w:p w14:paraId="720CE454">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bookmarkStart w:id="106" w:name="_Toc4042"/>
      <w:r>
        <w:rPr>
          <w:rFonts w:hint="eastAsia" w:ascii="宋体" w:hAnsi="宋体" w:eastAsia="宋体" w:cs="宋体"/>
          <w:sz w:val="28"/>
          <w:szCs w:val="28"/>
          <w:lang w:val="en-US" w:eastAsia="zh-CN"/>
        </w:rPr>
        <w:t>4、商务文件资料</w:t>
      </w:r>
      <w:bookmarkEnd w:id="106"/>
    </w:p>
    <w:p w14:paraId="3E5EA295">
      <w:pPr>
        <w:pStyle w:val="2"/>
        <w:numPr>
          <w:ilvl w:val="0"/>
          <w:numId w:val="0"/>
        </w:numPr>
        <w:ind w:firstLine="560" w:firstLineChars="200"/>
        <w:rPr>
          <w:rFonts w:hint="eastAsia" w:ascii="仿宋_GB2312" w:hAnsi="华文楷体" w:eastAsia="仿宋_GB2312" w:cs="宋体"/>
          <w:b w:val="0"/>
          <w:color w:val="auto"/>
          <w:kern w:val="0"/>
          <w:sz w:val="28"/>
          <w:szCs w:val="28"/>
          <w:lang w:val="ru-RU" w:eastAsia="zh-CN" w:bidi="ar-SA"/>
        </w:rPr>
      </w:pPr>
      <w:r>
        <w:rPr>
          <w:rFonts w:hint="eastAsia" w:ascii="仿宋_GB2312" w:hAnsi="华文楷体" w:eastAsia="仿宋_GB2312" w:cs="宋体"/>
          <w:b w:val="0"/>
          <w:color w:val="auto"/>
          <w:kern w:val="0"/>
          <w:sz w:val="28"/>
          <w:szCs w:val="28"/>
          <w:lang w:val="en-US" w:eastAsia="zh-CN" w:bidi="ar-SA"/>
        </w:rPr>
        <w:t>1、</w:t>
      </w:r>
      <w:r>
        <w:rPr>
          <w:rFonts w:hint="eastAsia" w:ascii="仿宋_GB2312" w:hAnsi="华文楷体" w:eastAsia="仿宋_GB2312" w:cs="宋体"/>
          <w:b w:val="0"/>
          <w:color w:val="auto"/>
          <w:kern w:val="0"/>
          <w:sz w:val="28"/>
          <w:szCs w:val="28"/>
          <w:lang w:val="ru-RU" w:eastAsia="zh-CN" w:bidi="ar-SA"/>
        </w:rPr>
        <w:t>综合服务水平</w:t>
      </w:r>
    </w:p>
    <w:p w14:paraId="07FF139D">
      <w:pPr>
        <w:numPr>
          <w:ilvl w:val="0"/>
          <w:numId w:val="0"/>
        </w:numPr>
        <w:ind w:firstLine="560" w:firstLineChars="200"/>
        <w:rPr>
          <w:rFonts w:hint="default"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2、</w:t>
      </w:r>
      <w:r>
        <w:rPr>
          <w:rFonts w:hint="default" w:ascii="仿宋_GB2312" w:hAnsi="华文楷体" w:eastAsia="仿宋_GB2312" w:cs="宋体"/>
          <w:b w:val="0"/>
          <w:color w:val="auto"/>
          <w:kern w:val="0"/>
          <w:sz w:val="28"/>
          <w:szCs w:val="28"/>
          <w:lang w:val="en-US" w:eastAsia="zh-CN" w:bidi="ar-SA"/>
        </w:rPr>
        <w:t>服务质量评价</w:t>
      </w:r>
    </w:p>
    <w:p w14:paraId="4F622180">
      <w:pPr>
        <w:pStyle w:val="2"/>
        <w:ind w:firstLine="560" w:firstLineChars="200"/>
        <w:rPr>
          <w:rFonts w:hint="default"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3、综合偿付能力</w:t>
      </w:r>
    </w:p>
    <w:p w14:paraId="73087DFC">
      <w:pPr>
        <w:pStyle w:val="2"/>
        <w:jc w:val="center"/>
        <w:rPr>
          <w:rFonts w:hint="eastAsia" w:ascii="Times New Roman" w:hAnsi="Times New Roman" w:eastAsia="黑体" w:cs="Times New Roman"/>
          <w:bCs/>
          <w:sz w:val="30"/>
          <w:szCs w:val="30"/>
          <w:lang w:val="en-US" w:eastAsia="zh-CN"/>
        </w:rPr>
        <w:sectPr>
          <w:footerReference r:id="rId5" w:type="first"/>
          <w:footerReference r:id="rId4" w:type="default"/>
          <w:pgSz w:w="11906" w:h="16838"/>
          <w:pgMar w:top="1020" w:right="1418" w:bottom="1020" w:left="1418" w:header="851" w:footer="992" w:gutter="0"/>
          <w:pgNumType w:fmt="decimal" w:start="1"/>
          <w:cols w:space="0" w:num="1"/>
          <w:titlePg/>
          <w:rtlGutter w:val="0"/>
          <w:docGrid w:type="lines" w:linePitch="312" w:charSpace="0"/>
        </w:sectPr>
      </w:pPr>
    </w:p>
    <w:p w14:paraId="051EC458">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lang w:val="en-US" w:eastAsia="zh-CN"/>
        </w:rPr>
      </w:pPr>
      <w:bookmarkStart w:id="107" w:name="_Toc23484"/>
      <w:r>
        <w:rPr>
          <w:rFonts w:hint="eastAsia" w:ascii="宋体" w:hAnsi="宋体" w:eastAsia="宋体" w:cs="宋体"/>
          <w:sz w:val="28"/>
          <w:szCs w:val="28"/>
          <w:lang w:val="en-US" w:eastAsia="zh-CN"/>
        </w:rPr>
        <w:t>5、技术文件资料</w:t>
      </w:r>
      <w:bookmarkEnd w:id="107"/>
    </w:p>
    <w:p w14:paraId="4FD8DA85">
      <w:pPr>
        <w:autoSpaceDE w:val="0"/>
        <w:autoSpaceDN w:val="0"/>
        <w:spacing w:line="560" w:lineRule="exact"/>
        <w:jc w:val="left"/>
        <w:rPr>
          <w:rFonts w:ascii="仿宋_GB2312" w:hAnsi="华文楷体" w:eastAsia="仿宋_GB2312" w:cs="宋体"/>
          <w:b/>
          <w:bCs/>
          <w:kern w:val="0"/>
          <w:sz w:val="28"/>
          <w:szCs w:val="28"/>
        </w:rPr>
      </w:pPr>
      <w:bookmarkStart w:id="108" w:name="_Toc14123"/>
      <w:r>
        <w:rPr>
          <w:rFonts w:hint="eastAsia" w:ascii="仿宋_GB2312" w:hAnsi="华文楷体" w:eastAsia="仿宋_GB2312" w:cs="宋体"/>
          <w:b/>
          <w:bCs/>
          <w:kern w:val="0"/>
          <w:sz w:val="28"/>
          <w:szCs w:val="28"/>
        </w:rPr>
        <w:t>一、服务</w:t>
      </w:r>
      <w:r>
        <w:rPr>
          <w:rFonts w:hint="eastAsia" w:ascii="仿宋_GB2312" w:hAnsi="华文楷体" w:eastAsia="仿宋_GB2312" w:cs="宋体"/>
          <w:b/>
          <w:bCs/>
          <w:kern w:val="0"/>
          <w:sz w:val="28"/>
          <w:szCs w:val="28"/>
          <w:lang w:val="en-US" w:eastAsia="zh-CN"/>
        </w:rPr>
        <w:t>与承诺</w:t>
      </w:r>
    </w:p>
    <w:p w14:paraId="28A674D6">
      <w:pPr>
        <w:autoSpaceDE w:val="0"/>
        <w:autoSpaceDN w:val="0"/>
        <w:spacing w:line="560" w:lineRule="exact"/>
        <w:jc w:val="left"/>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1、建筑工程安全生产责任险赔偿限额承诺</w:t>
      </w:r>
    </w:p>
    <w:p w14:paraId="5D1CF48D">
      <w:pPr>
        <w:ind w:left="560" w:hanging="560" w:hanging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（1）施工人员每次事故每人死亡、伤残赔偿限额人民币：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w:t>
      </w:r>
    </w:p>
    <w:p w14:paraId="5279F229">
      <w:pPr>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（2）施工人员每次事故每人医疗费用赔偿限额人民币：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w:t>
      </w:r>
    </w:p>
    <w:p w14:paraId="52A88BBC">
      <w:pPr>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（3）累计责任限额人民币：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u w:val="none"/>
          <w:lang w:val="en-US" w:eastAsia="zh-CN" w:bidi="ar-SA"/>
        </w:rPr>
        <w:t>；</w:t>
      </w:r>
    </w:p>
    <w:p w14:paraId="3E8537C5">
      <w:pPr>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（4）安全生产责任险第三者保障赔偿限额人民币：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w:t>
      </w:r>
    </w:p>
    <w:p w14:paraId="580FFEF9">
      <w:pPr>
        <w:ind w:left="560" w:hanging="560" w:hangingChars="200"/>
        <w:rPr>
          <w:rFonts w:hint="eastAsia"/>
          <w:lang w:val="en-US" w:eastAsia="zh-CN"/>
        </w:rPr>
      </w:pPr>
      <w:r>
        <w:rPr>
          <w:rFonts w:hint="eastAsia" w:ascii="仿宋_GB2312" w:hAnsi="华文楷体" w:eastAsia="仿宋_GB2312" w:cs="宋体"/>
          <w:b w:val="0"/>
          <w:color w:val="auto"/>
          <w:kern w:val="0"/>
          <w:sz w:val="28"/>
          <w:szCs w:val="28"/>
          <w:lang w:val="en-US" w:eastAsia="zh-CN" w:bidi="ar-SA"/>
        </w:rPr>
        <w:t>（5）每次事故责任限额承诺人民币：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u w:val="none"/>
          <w:lang w:val="en-US" w:eastAsia="zh-CN" w:bidi="ar-SA"/>
        </w:rPr>
        <w:t>；</w:t>
      </w:r>
    </w:p>
    <w:p w14:paraId="71F01432">
      <w:p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2、工程一切险承诺</w:t>
      </w:r>
    </w:p>
    <w:p w14:paraId="66637724">
      <w:pPr>
        <w:rPr>
          <w:rFonts w:hint="default" w:ascii="仿宋_GB2312" w:hAnsi="华文楷体" w:eastAsia="仿宋_GB2312" w:cs="宋体"/>
          <w:b w:val="0"/>
          <w:color w:val="auto"/>
          <w:kern w:val="0"/>
          <w:sz w:val="28"/>
          <w:szCs w:val="28"/>
          <w:u w:val="single"/>
          <w:lang w:val="en-US" w:eastAsia="zh-CN" w:bidi="ar-SA"/>
        </w:rPr>
      </w:pPr>
      <w:r>
        <w:rPr>
          <w:rFonts w:hint="eastAsia" w:ascii="仿宋_GB2312" w:hAnsi="华文楷体" w:eastAsia="仿宋_GB2312" w:cs="宋体"/>
          <w:b w:val="0"/>
          <w:color w:val="auto"/>
          <w:kern w:val="0"/>
          <w:sz w:val="28"/>
          <w:szCs w:val="28"/>
          <w:lang w:val="en-US" w:eastAsia="zh-CN" w:bidi="ar-SA"/>
        </w:rPr>
        <w:t>（1）赔偿限额</w:t>
      </w:r>
      <w:r>
        <w:rPr>
          <w:rFonts w:hint="eastAsia" w:ascii="仿宋_GB2312" w:hAnsi="华文楷体" w:eastAsia="仿宋_GB2312" w:cs="宋体"/>
          <w:b w:val="0"/>
          <w:color w:val="auto"/>
          <w:kern w:val="0"/>
          <w:sz w:val="28"/>
          <w:szCs w:val="28"/>
          <w:u w:val="single"/>
          <w:lang w:val="en-US" w:eastAsia="zh-CN" w:bidi="ar-SA"/>
        </w:rPr>
        <w:t xml:space="preserve">                                             </w:t>
      </w:r>
    </w:p>
    <w:p w14:paraId="436A95FE">
      <w:pPr>
        <w:numPr>
          <w:ilvl w:val="0"/>
          <w:numId w:val="0"/>
        </w:numPr>
        <w:rPr>
          <w:rFonts w:hint="default" w:ascii="仿宋_GB2312" w:hAnsi="华文楷体" w:eastAsia="仿宋_GB2312" w:cs="宋体"/>
          <w:b w:val="0"/>
          <w:color w:val="auto"/>
          <w:kern w:val="0"/>
          <w:sz w:val="28"/>
          <w:szCs w:val="28"/>
          <w:u w:val="single"/>
          <w:lang w:val="en-US" w:eastAsia="zh-CN" w:bidi="ar-SA"/>
        </w:rPr>
      </w:pPr>
      <w:r>
        <w:rPr>
          <w:rFonts w:hint="eastAsia" w:ascii="仿宋_GB2312" w:hAnsi="华文楷体" w:eastAsia="仿宋_GB2312" w:cs="宋体"/>
          <w:b w:val="0"/>
          <w:color w:val="auto"/>
          <w:kern w:val="0"/>
          <w:sz w:val="28"/>
          <w:szCs w:val="28"/>
          <w:lang w:val="en-US" w:eastAsia="zh-CN" w:bidi="ar-SA"/>
        </w:rPr>
        <w:t xml:space="preserve">（2）每次事故免赔 </w:t>
      </w:r>
      <w:r>
        <w:rPr>
          <w:rFonts w:hint="eastAsia" w:ascii="仿宋_GB2312" w:hAnsi="华文楷体" w:eastAsia="仿宋_GB2312" w:cs="宋体"/>
          <w:b w:val="0"/>
          <w:color w:val="auto"/>
          <w:kern w:val="0"/>
          <w:sz w:val="28"/>
          <w:szCs w:val="28"/>
          <w:u w:val="single"/>
          <w:lang w:val="en-US" w:eastAsia="zh-CN" w:bidi="ar-SA"/>
        </w:rPr>
        <w:t xml:space="preserve">                                        </w:t>
      </w:r>
    </w:p>
    <w:p w14:paraId="08B5C29C">
      <w:pPr>
        <w:numPr>
          <w:ilvl w:val="0"/>
          <w:numId w:val="0"/>
        </w:num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3、第三者责任险承诺</w:t>
      </w:r>
    </w:p>
    <w:p w14:paraId="247724FE">
      <w:pPr>
        <w:numPr>
          <w:ilvl w:val="0"/>
          <w:numId w:val="0"/>
        </w:numPr>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 xml:space="preserve">（1）每次事故赔偿限额人民币： </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 xml:space="preserve"> ；</w:t>
      </w:r>
    </w:p>
    <w:p w14:paraId="2EE37C1B">
      <w:pPr>
        <w:numPr>
          <w:ilvl w:val="0"/>
          <w:numId w:val="0"/>
        </w:numPr>
        <w:rPr>
          <w:rFonts w:hint="default" w:ascii="仿宋_GB2312" w:hAnsi="华文楷体" w:eastAsia="仿宋_GB2312" w:cs="宋体"/>
          <w:b w:val="0"/>
          <w:color w:val="auto"/>
          <w:kern w:val="0"/>
          <w:sz w:val="28"/>
          <w:szCs w:val="28"/>
          <w:u w:val="single"/>
          <w:lang w:val="en-US" w:eastAsia="zh-CN" w:bidi="ar-SA"/>
        </w:rPr>
      </w:pPr>
      <w:r>
        <w:rPr>
          <w:rFonts w:hint="eastAsia" w:ascii="仿宋_GB2312" w:hAnsi="华文楷体" w:eastAsia="仿宋_GB2312" w:cs="宋体"/>
          <w:b w:val="0"/>
          <w:color w:val="auto"/>
          <w:kern w:val="0"/>
          <w:sz w:val="28"/>
          <w:szCs w:val="28"/>
          <w:lang w:val="en-US" w:eastAsia="zh-CN" w:bidi="ar-SA"/>
        </w:rPr>
        <w:t>（2）累计赔偿限额承诺人民币：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u w:val="none"/>
          <w:lang w:val="en-US" w:eastAsia="zh-CN" w:bidi="ar-SA"/>
        </w:rPr>
        <w:t>；</w:t>
      </w:r>
    </w:p>
    <w:p w14:paraId="521176D4">
      <w:pPr>
        <w:numPr>
          <w:ilvl w:val="0"/>
          <w:numId w:val="0"/>
        </w:numPr>
        <w:rPr>
          <w:rFonts w:hint="default" w:ascii="仿宋_GB2312" w:hAnsi="华文楷体" w:eastAsia="仿宋_GB2312" w:cs="宋体"/>
          <w:b w:val="0"/>
          <w:color w:val="auto"/>
          <w:kern w:val="0"/>
          <w:sz w:val="28"/>
          <w:szCs w:val="28"/>
          <w:u w:val="none"/>
          <w:lang w:val="en-US" w:eastAsia="zh-CN" w:bidi="ar-SA"/>
        </w:rPr>
      </w:pPr>
      <w:r>
        <w:rPr>
          <w:rFonts w:hint="eastAsia" w:ascii="仿宋_GB2312" w:hAnsi="华文楷体" w:eastAsia="仿宋_GB2312" w:cs="宋体"/>
          <w:b w:val="0"/>
          <w:color w:val="auto"/>
          <w:kern w:val="0"/>
          <w:sz w:val="28"/>
          <w:szCs w:val="28"/>
          <w:lang w:val="en-US" w:eastAsia="zh-CN" w:bidi="ar-SA"/>
        </w:rPr>
        <w:t>（3）每次财产损失、人员伤亡限额：</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u w:val="none"/>
          <w:lang w:val="en-US" w:eastAsia="zh-CN" w:bidi="ar-SA"/>
        </w:rPr>
        <w:t>；</w:t>
      </w:r>
    </w:p>
    <w:p w14:paraId="799BE5BA">
      <w:pPr>
        <w:numPr>
          <w:ilvl w:val="0"/>
          <w:numId w:val="0"/>
        </w:numPr>
        <w:rPr>
          <w:rFonts w:hint="default" w:ascii="仿宋_GB2312" w:hAnsi="华文楷体" w:eastAsia="仿宋_GB2312" w:cs="宋体"/>
          <w:b w:val="0"/>
          <w:color w:val="auto"/>
          <w:kern w:val="0"/>
          <w:sz w:val="28"/>
          <w:szCs w:val="28"/>
          <w:u w:val="single"/>
          <w:lang w:val="en-US" w:eastAsia="zh-CN" w:bidi="ar-SA"/>
        </w:rPr>
      </w:pPr>
      <w:r>
        <w:rPr>
          <w:rFonts w:hint="eastAsia" w:ascii="仿宋_GB2312" w:hAnsi="华文楷体" w:eastAsia="仿宋_GB2312" w:cs="宋体"/>
          <w:b w:val="0"/>
          <w:color w:val="auto"/>
          <w:kern w:val="0"/>
          <w:sz w:val="28"/>
          <w:szCs w:val="28"/>
          <w:lang w:val="en-US" w:eastAsia="zh-CN" w:bidi="ar-SA"/>
        </w:rPr>
        <w:t>（4）每人每次伤亡限额：</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u w:val="none"/>
          <w:lang w:val="en-US" w:eastAsia="zh-CN" w:bidi="ar-SA"/>
        </w:rPr>
        <w:t>；</w:t>
      </w:r>
    </w:p>
    <w:p w14:paraId="6107E755">
      <w:pPr>
        <w:numPr>
          <w:ilvl w:val="0"/>
          <w:numId w:val="0"/>
        </w:numPr>
        <w:rPr>
          <w:rFonts w:hint="eastAsia"/>
        </w:rPr>
      </w:pPr>
      <w:r>
        <w:rPr>
          <w:rFonts w:hint="eastAsia" w:ascii="仿宋_GB2312" w:hAnsi="华文楷体" w:eastAsia="仿宋_GB2312" w:cs="宋体"/>
          <w:b w:val="0"/>
          <w:color w:val="auto"/>
          <w:kern w:val="0"/>
          <w:sz w:val="28"/>
          <w:szCs w:val="28"/>
          <w:lang w:val="en-US" w:eastAsia="zh-CN" w:bidi="ar-SA"/>
        </w:rPr>
        <w:t>（5）每次事故免赔</w:t>
      </w:r>
      <w:r>
        <w:rPr>
          <w:rFonts w:hint="eastAsia" w:ascii="仿宋_GB2312" w:hAnsi="华文楷体" w:eastAsia="仿宋_GB2312" w:cs="宋体"/>
          <w:b w:val="0"/>
          <w:color w:val="auto"/>
          <w:kern w:val="0"/>
          <w:sz w:val="28"/>
          <w:szCs w:val="28"/>
          <w:u w:val="single"/>
          <w:lang w:val="en-US" w:eastAsia="zh-CN" w:bidi="ar-SA"/>
        </w:rPr>
        <w:t xml:space="preserve">                                     </w:t>
      </w:r>
    </w:p>
    <w:p w14:paraId="5100E90D">
      <w:pPr>
        <w:numPr>
          <w:ilvl w:val="0"/>
          <w:numId w:val="0"/>
        </w:numPr>
        <w:rPr>
          <w:rFonts w:hint="default"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4、售后服务方案</w:t>
      </w:r>
    </w:p>
    <w:p w14:paraId="480AF416">
      <w:pPr>
        <w:numPr>
          <w:ilvl w:val="0"/>
          <w:numId w:val="0"/>
        </w:numPr>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（1）对售后服务团队建设、后续理赔方案及承诺</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autofit"/>
        <w:tblCellMar>
          <w:top w:w="0" w:type="dxa"/>
          <w:left w:w="0" w:type="dxa"/>
          <w:bottom w:w="0" w:type="dxa"/>
          <w:right w:w="0" w:type="dxa"/>
        </w:tblCellMar>
      </w:tblPr>
      <w:tblGrid>
        <w:gridCol w:w="1392"/>
        <w:gridCol w:w="1080"/>
        <w:gridCol w:w="1236"/>
        <w:gridCol w:w="1236"/>
        <w:gridCol w:w="1236"/>
        <w:gridCol w:w="1236"/>
      </w:tblGrid>
      <w:tr w14:paraId="6456198F">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PrEx>
        <w:trPr>
          <w:trHeight w:val="20" w:hRule="atLeast"/>
          <w:jc w:val="center"/>
        </w:trPr>
        <w:tc>
          <w:tcPr>
            <w:tcW w:w="7416" w:type="dxa"/>
            <w:gridSpan w:val="6"/>
            <w:tcBorders>
              <w:top w:val="single" w:color="auto" w:sz="12" w:space="0"/>
              <w:bottom w:val="single" w:color="auto" w:sz="4" w:space="0"/>
            </w:tcBorders>
            <w:shd w:val="clear" w:color="auto" w:fill="CCCCCC"/>
            <w:noWrap w:val="0"/>
            <w:vAlign w:val="center"/>
          </w:tcPr>
          <w:p w14:paraId="5FD7B179">
            <w:pPr>
              <w:spacing w:after="0" w:line="480" w:lineRule="exact"/>
              <w:jc w:val="center"/>
              <w:rPr>
                <w:rFonts w:hint="default" w:ascii="宋体" w:hAnsi="宋体" w:eastAsia="宋体"/>
                <w:b/>
                <w:sz w:val="21"/>
                <w:szCs w:val="21"/>
                <w:highlight w:val="none"/>
                <w:lang w:val="en-US" w:eastAsia="zh-CN"/>
              </w:rPr>
            </w:pPr>
            <w:r>
              <w:rPr>
                <w:rFonts w:hint="eastAsia" w:ascii="宋体" w:hAnsi="宋体"/>
                <w:b/>
                <w:sz w:val="21"/>
                <w:szCs w:val="21"/>
                <w:highlight w:val="none"/>
                <w:lang w:val="en-US" w:eastAsia="zh-CN"/>
              </w:rPr>
              <w:t>团队建设</w:t>
            </w:r>
          </w:p>
        </w:tc>
      </w:tr>
      <w:tr w14:paraId="53E7E17F">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tcBorders>
              <w:top w:val="single" w:color="auto" w:sz="4" w:space="0"/>
            </w:tcBorders>
            <w:noWrap w:val="0"/>
            <w:vAlign w:val="center"/>
          </w:tcPr>
          <w:p w14:paraId="0A4643C1">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职责</w:t>
            </w:r>
          </w:p>
        </w:tc>
        <w:tc>
          <w:tcPr>
            <w:tcW w:w="1080" w:type="dxa"/>
            <w:tcBorders>
              <w:top w:val="single" w:color="auto" w:sz="4" w:space="0"/>
            </w:tcBorders>
            <w:noWrap w:val="0"/>
            <w:vAlign w:val="center"/>
          </w:tcPr>
          <w:p w14:paraId="330852B1">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姓名</w:t>
            </w:r>
          </w:p>
        </w:tc>
        <w:tc>
          <w:tcPr>
            <w:tcW w:w="1236" w:type="dxa"/>
            <w:tcBorders>
              <w:top w:val="single" w:color="auto" w:sz="4" w:space="0"/>
            </w:tcBorders>
            <w:noWrap w:val="0"/>
            <w:vAlign w:val="center"/>
          </w:tcPr>
          <w:p w14:paraId="38F8292F">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职务</w:t>
            </w:r>
          </w:p>
        </w:tc>
        <w:tc>
          <w:tcPr>
            <w:tcW w:w="1236" w:type="dxa"/>
            <w:tcBorders>
              <w:top w:val="single" w:color="auto" w:sz="4" w:space="0"/>
            </w:tcBorders>
            <w:noWrap w:val="0"/>
            <w:vAlign w:val="center"/>
          </w:tcPr>
          <w:p w14:paraId="1CDF61F0">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手机</w:t>
            </w:r>
          </w:p>
        </w:tc>
        <w:tc>
          <w:tcPr>
            <w:tcW w:w="1236" w:type="dxa"/>
            <w:tcBorders>
              <w:top w:val="single" w:color="auto" w:sz="4" w:space="0"/>
            </w:tcBorders>
            <w:noWrap w:val="0"/>
            <w:vAlign w:val="center"/>
          </w:tcPr>
          <w:p w14:paraId="7FD187C3">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固话</w:t>
            </w:r>
          </w:p>
        </w:tc>
        <w:tc>
          <w:tcPr>
            <w:tcW w:w="1236" w:type="dxa"/>
            <w:tcBorders>
              <w:top w:val="single" w:color="auto" w:sz="4" w:space="0"/>
            </w:tcBorders>
            <w:noWrap w:val="0"/>
            <w:vAlign w:val="center"/>
          </w:tcPr>
          <w:p w14:paraId="1CCE3AD9">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传真</w:t>
            </w:r>
          </w:p>
        </w:tc>
      </w:tr>
      <w:tr w14:paraId="06D0C426">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tcBorders>
              <w:top w:val="single" w:color="auto" w:sz="4" w:space="0"/>
            </w:tcBorders>
            <w:noWrap w:val="0"/>
            <w:vAlign w:val="center"/>
          </w:tcPr>
          <w:p w14:paraId="2E9DE6D0">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hint="eastAsia" w:ascii="宋体" w:hAnsi="宋体"/>
                <w:kern w:val="0"/>
                <w:sz w:val="21"/>
                <w:szCs w:val="21"/>
                <w:highlight w:val="none"/>
                <w:lang w:eastAsia="zh-CN" w:bidi="en-US"/>
              </w:rPr>
              <w:t>总</w:t>
            </w:r>
            <w:r>
              <w:rPr>
                <w:rFonts w:ascii="宋体" w:hAnsi="宋体"/>
                <w:kern w:val="0"/>
                <w:sz w:val="21"/>
                <w:szCs w:val="21"/>
                <w:highlight w:val="none"/>
                <w:lang w:eastAsia="zh-CN" w:bidi="en-US"/>
              </w:rPr>
              <w:t>公司协调</w:t>
            </w:r>
            <w:r>
              <w:rPr>
                <w:rFonts w:hint="eastAsia" w:ascii="宋体" w:hAnsi="宋体"/>
                <w:kern w:val="0"/>
                <w:sz w:val="21"/>
                <w:szCs w:val="21"/>
                <w:highlight w:val="none"/>
                <w:lang w:eastAsia="zh-CN" w:bidi="en-US"/>
              </w:rPr>
              <w:t>人</w:t>
            </w:r>
          </w:p>
        </w:tc>
        <w:tc>
          <w:tcPr>
            <w:tcW w:w="1080" w:type="dxa"/>
            <w:tcBorders>
              <w:top w:val="single" w:color="auto" w:sz="4" w:space="0"/>
            </w:tcBorders>
            <w:noWrap w:val="0"/>
            <w:vAlign w:val="center"/>
          </w:tcPr>
          <w:p w14:paraId="19E0193A">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00EDE6BB">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2A9978CC">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56A8A530">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0752629A">
            <w:pPr>
              <w:spacing w:after="0" w:line="480" w:lineRule="exact"/>
              <w:jc w:val="center"/>
              <w:rPr>
                <w:rFonts w:ascii="宋体" w:hAnsi="宋体" w:eastAsia="宋体"/>
                <w:b/>
                <w:sz w:val="21"/>
                <w:szCs w:val="21"/>
                <w:highlight w:val="none"/>
              </w:rPr>
            </w:pPr>
          </w:p>
        </w:tc>
      </w:tr>
      <w:tr w14:paraId="5D3411EC">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12341845">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项目负责人</w:t>
            </w:r>
          </w:p>
        </w:tc>
        <w:tc>
          <w:tcPr>
            <w:tcW w:w="1080" w:type="dxa"/>
            <w:noWrap w:val="0"/>
            <w:vAlign w:val="center"/>
          </w:tcPr>
          <w:p w14:paraId="08E574E3">
            <w:pPr>
              <w:spacing w:after="0" w:line="480" w:lineRule="exact"/>
              <w:jc w:val="center"/>
              <w:rPr>
                <w:rFonts w:ascii="宋体" w:hAnsi="宋体" w:eastAsia="宋体"/>
                <w:sz w:val="21"/>
                <w:szCs w:val="21"/>
                <w:highlight w:val="none"/>
              </w:rPr>
            </w:pPr>
          </w:p>
        </w:tc>
        <w:tc>
          <w:tcPr>
            <w:tcW w:w="1236" w:type="dxa"/>
            <w:noWrap w:val="0"/>
            <w:vAlign w:val="center"/>
          </w:tcPr>
          <w:p w14:paraId="7A342F7B">
            <w:pPr>
              <w:spacing w:after="0" w:line="480" w:lineRule="exact"/>
              <w:jc w:val="center"/>
              <w:rPr>
                <w:rFonts w:ascii="宋体" w:hAnsi="宋体" w:eastAsia="宋体"/>
                <w:sz w:val="21"/>
                <w:szCs w:val="21"/>
                <w:highlight w:val="none"/>
              </w:rPr>
            </w:pPr>
          </w:p>
        </w:tc>
        <w:tc>
          <w:tcPr>
            <w:tcW w:w="1236" w:type="dxa"/>
            <w:noWrap w:val="0"/>
            <w:vAlign w:val="center"/>
          </w:tcPr>
          <w:p w14:paraId="333013B0">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6151332D">
            <w:pPr>
              <w:spacing w:after="0" w:line="480" w:lineRule="exact"/>
              <w:jc w:val="center"/>
              <w:rPr>
                <w:rFonts w:ascii="宋体" w:hAnsi="宋体" w:eastAsia="宋体"/>
                <w:sz w:val="21"/>
                <w:szCs w:val="21"/>
                <w:highlight w:val="none"/>
              </w:rPr>
            </w:pPr>
          </w:p>
        </w:tc>
        <w:tc>
          <w:tcPr>
            <w:tcW w:w="1236" w:type="dxa"/>
            <w:noWrap w:val="0"/>
            <w:vAlign w:val="center"/>
          </w:tcPr>
          <w:p w14:paraId="510BA393">
            <w:pPr>
              <w:spacing w:after="0" w:line="480" w:lineRule="exact"/>
              <w:jc w:val="center"/>
              <w:rPr>
                <w:rFonts w:ascii="宋体" w:hAnsi="宋体" w:eastAsia="宋体"/>
                <w:sz w:val="21"/>
                <w:szCs w:val="21"/>
                <w:highlight w:val="none"/>
              </w:rPr>
            </w:pPr>
          </w:p>
        </w:tc>
      </w:tr>
      <w:tr w14:paraId="288250AE">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06E2BBBB">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承保服务</w:t>
            </w:r>
          </w:p>
        </w:tc>
        <w:tc>
          <w:tcPr>
            <w:tcW w:w="1080" w:type="dxa"/>
            <w:noWrap w:val="0"/>
            <w:vAlign w:val="center"/>
          </w:tcPr>
          <w:p w14:paraId="419D0805">
            <w:pPr>
              <w:spacing w:after="0" w:line="480" w:lineRule="exact"/>
              <w:jc w:val="center"/>
              <w:rPr>
                <w:rFonts w:ascii="宋体" w:hAnsi="宋体" w:eastAsia="宋体"/>
                <w:sz w:val="21"/>
                <w:szCs w:val="21"/>
                <w:highlight w:val="none"/>
              </w:rPr>
            </w:pPr>
          </w:p>
        </w:tc>
        <w:tc>
          <w:tcPr>
            <w:tcW w:w="1236" w:type="dxa"/>
            <w:noWrap w:val="0"/>
            <w:vAlign w:val="center"/>
          </w:tcPr>
          <w:p w14:paraId="10E7E669">
            <w:pPr>
              <w:spacing w:after="0" w:line="480" w:lineRule="exact"/>
              <w:jc w:val="center"/>
              <w:rPr>
                <w:rFonts w:ascii="宋体" w:hAnsi="宋体" w:eastAsia="宋体"/>
                <w:sz w:val="21"/>
                <w:szCs w:val="21"/>
                <w:highlight w:val="none"/>
              </w:rPr>
            </w:pPr>
          </w:p>
        </w:tc>
        <w:tc>
          <w:tcPr>
            <w:tcW w:w="1236" w:type="dxa"/>
            <w:noWrap w:val="0"/>
            <w:vAlign w:val="center"/>
          </w:tcPr>
          <w:p w14:paraId="3546C2DF">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34E9DF13">
            <w:pPr>
              <w:spacing w:after="0" w:line="480" w:lineRule="exact"/>
              <w:jc w:val="center"/>
              <w:rPr>
                <w:rFonts w:ascii="宋体" w:hAnsi="宋体" w:eastAsia="宋体"/>
                <w:sz w:val="21"/>
                <w:szCs w:val="21"/>
                <w:highlight w:val="none"/>
              </w:rPr>
            </w:pPr>
          </w:p>
        </w:tc>
        <w:tc>
          <w:tcPr>
            <w:tcW w:w="1236" w:type="dxa"/>
            <w:noWrap w:val="0"/>
            <w:vAlign w:val="center"/>
          </w:tcPr>
          <w:p w14:paraId="3D7555FE">
            <w:pPr>
              <w:spacing w:after="0" w:line="480" w:lineRule="exact"/>
              <w:jc w:val="center"/>
              <w:rPr>
                <w:rFonts w:ascii="宋体" w:hAnsi="宋体" w:eastAsia="宋体"/>
                <w:sz w:val="21"/>
                <w:szCs w:val="21"/>
                <w:highlight w:val="none"/>
              </w:rPr>
            </w:pPr>
          </w:p>
        </w:tc>
      </w:tr>
      <w:tr w14:paraId="4179BD95">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550158E3">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理赔服务</w:t>
            </w:r>
          </w:p>
        </w:tc>
        <w:tc>
          <w:tcPr>
            <w:tcW w:w="1080" w:type="dxa"/>
            <w:noWrap w:val="0"/>
            <w:vAlign w:val="center"/>
          </w:tcPr>
          <w:p w14:paraId="00955A54">
            <w:pPr>
              <w:spacing w:after="0" w:line="480" w:lineRule="exact"/>
              <w:jc w:val="center"/>
              <w:rPr>
                <w:rFonts w:ascii="宋体" w:hAnsi="宋体" w:eastAsia="宋体"/>
                <w:sz w:val="21"/>
                <w:szCs w:val="21"/>
                <w:highlight w:val="none"/>
              </w:rPr>
            </w:pPr>
          </w:p>
        </w:tc>
        <w:tc>
          <w:tcPr>
            <w:tcW w:w="1236" w:type="dxa"/>
            <w:noWrap w:val="0"/>
            <w:vAlign w:val="center"/>
          </w:tcPr>
          <w:p w14:paraId="3DDB9001">
            <w:pPr>
              <w:spacing w:after="0" w:line="480" w:lineRule="exact"/>
              <w:jc w:val="center"/>
              <w:rPr>
                <w:rFonts w:ascii="宋体" w:hAnsi="宋体" w:eastAsia="宋体"/>
                <w:sz w:val="21"/>
                <w:szCs w:val="21"/>
                <w:highlight w:val="none"/>
              </w:rPr>
            </w:pPr>
          </w:p>
        </w:tc>
        <w:tc>
          <w:tcPr>
            <w:tcW w:w="1236" w:type="dxa"/>
            <w:noWrap w:val="0"/>
            <w:vAlign w:val="center"/>
          </w:tcPr>
          <w:p w14:paraId="50984943">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33E5B026">
            <w:pPr>
              <w:spacing w:after="0" w:line="480" w:lineRule="exact"/>
              <w:jc w:val="center"/>
              <w:rPr>
                <w:rFonts w:ascii="宋体" w:hAnsi="宋体" w:eastAsia="宋体"/>
                <w:sz w:val="21"/>
                <w:szCs w:val="21"/>
                <w:highlight w:val="none"/>
              </w:rPr>
            </w:pPr>
          </w:p>
        </w:tc>
        <w:tc>
          <w:tcPr>
            <w:tcW w:w="1236" w:type="dxa"/>
            <w:noWrap w:val="0"/>
            <w:vAlign w:val="center"/>
          </w:tcPr>
          <w:p w14:paraId="70C86268">
            <w:pPr>
              <w:spacing w:after="0" w:line="480" w:lineRule="exact"/>
              <w:jc w:val="center"/>
              <w:rPr>
                <w:rFonts w:ascii="宋体" w:hAnsi="宋体" w:eastAsia="宋体"/>
                <w:sz w:val="21"/>
                <w:szCs w:val="21"/>
                <w:highlight w:val="none"/>
              </w:rPr>
            </w:pPr>
          </w:p>
        </w:tc>
      </w:tr>
      <w:tr w14:paraId="7BA92B0F">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46147B2D">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第一联系人</w:t>
            </w:r>
          </w:p>
        </w:tc>
        <w:tc>
          <w:tcPr>
            <w:tcW w:w="1080" w:type="dxa"/>
            <w:noWrap w:val="0"/>
            <w:vAlign w:val="center"/>
          </w:tcPr>
          <w:p w14:paraId="500442A5">
            <w:pPr>
              <w:spacing w:after="0" w:line="480" w:lineRule="exact"/>
              <w:jc w:val="center"/>
              <w:rPr>
                <w:rFonts w:ascii="宋体" w:hAnsi="宋体" w:eastAsia="宋体"/>
                <w:sz w:val="21"/>
                <w:szCs w:val="21"/>
                <w:highlight w:val="none"/>
              </w:rPr>
            </w:pPr>
          </w:p>
        </w:tc>
        <w:tc>
          <w:tcPr>
            <w:tcW w:w="1236" w:type="dxa"/>
            <w:noWrap w:val="0"/>
            <w:vAlign w:val="center"/>
          </w:tcPr>
          <w:p w14:paraId="3D5AE7E4">
            <w:pPr>
              <w:spacing w:after="0" w:line="480" w:lineRule="exact"/>
              <w:jc w:val="center"/>
              <w:rPr>
                <w:rFonts w:ascii="宋体" w:hAnsi="宋体" w:eastAsia="宋体"/>
                <w:sz w:val="21"/>
                <w:szCs w:val="21"/>
                <w:highlight w:val="none"/>
              </w:rPr>
            </w:pPr>
          </w:p>
        </w:tc>
        <w:tc>
          <w:tcPr>
            <w:tcW w:w="1236" w:type="dxa"/>
            <w:noWrap w:val="0"/>
            <w:vAlign w:val="center"/>
          </w:tcPr>
          <w:p w14:paraId="28AC7426">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0DAACB7F">
            <w:pPr>
              <w:spacing w:after="0" w:line="480" w:lineRule="exact"/>
              <w:jc w:val="center"/>
              <w:rPr>
                <w:rFonts w:ascii="宋体" w:hAnsi="宋体" w:eastAsia="宋体"/>
                <w:sz w:val="21"/>
                <w:szCs w:val="21"/>
                <w:highlight w:val="none"/>
              </w:rPr>
            </w:pPr>
          </w:p>
        </w:tc>
        <w:tc>
          <w:tcPr>
            <w:tcW w:w="1236" w:type="dxa"/>
            <w:noWrap w:val="0"/>
            <w:vAlign w:val="center"/>
          </w:tcPr>
          <w:p w14:paraId="6E54FA14">
            <w:pPr>
              <w:spacing w:after="0" w:line="480" w:lineRule="exact"/>
              <w:jc w:val="center"/>
              <w:rPr>
                <w:rFonts w:ascii="宋体" w:hAnsi="宋体" w:eastAsia="宋体"/>
                <w:sz w:val="21"/>
                <w:szCs w:val="21"/>
                <w:highlight w:val="none"/>
              </w:rPr>
            </w:pPr>
          </w:p>
        </w:tc>
      </w:tr>
      <w:tr w14:paraId="19C1D162">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3C687B5F">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第二联系人</w:t>
            </w:r>
          </w:p>
        </w:tc>
        <w:tc>
          <w:tcPr>
            <w:tcW w:w="1080" w:type="dxa"/>
            <w:noWrap w:val="0"/>
            <w:vAlign w:val="center"/>
          </w:tcPr>
          <w:p w14:paraId="3219F139">
            <w:pPr>
              <w:spacing w:after="0" w:line="480" w:lineRule="exact"/>
              <w:jc w:val="center"/>
              <w:rPr>
                <w:rFonts w:ascii="宋体" w:hAnsi="宋体" w:eastAsia="宋体"/>
                <w:sz w:val="21"/>
                <w:szCs w:val="21"/>
                <w:highlight w:val="none"/>
              </w:rPr>
            </w:pPr>
          </w:p>
        </w:tc>
        <w:tc>
          <w:tcPr>
            <w:tcW w:w="1236" w:type="dxa"/>
            <w:noWrap w:val="0"/>
            <w:vAlign w:val="center"/>
          </w:tcPr>
          <w:p w14:paraId="3E75F25E">
            <w:pPr>
              <w:spacing w:after="0" w:line="480" w:lineRule="exact"/>
              <w:jc w:val="center"/>
              <w:rPr>
                <w:rFonts w:ascii="宋体" w:hAnsi="宋体" w:eastAsia="宋体"/>
                <w:sz w:val="21"/>
                <w:szCs w:val="21"/>
                <w:highlight w:val="none"/>
              </w:rPr>
            </w:pPr>
          </w:p>
        </w:tc>
        <w:tc>
          <w:tcPr>
            <w:tcW w:w="1236" w:type="dxa"/>
            <w:noWrap w:val="0"/>
            <w:vAlign w:val="center"/>
          </w:tcPr>
          <w:p w14:paraId="27974050">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49C421F7">
            <w:pPr>
              <w:spacing w:after="0" w:line="480" w:lineRule="exact"/>
              <w:jc w:val="center"/>
              <w:rPr>
                <w:rFonts w:ascii="宋体" w:hAnsi="宋体" w:eastAsia="宋体"/>
                <w:sz w:val="21"/>
                <w:szCs w:val="21"/>
                <w:highlight w:val="none"/>
              </w:rPr>
            </w:pPr>
          </w:p>
        </w:tc>
        <w:tc>
          <w:tcPr>
            <w:tcW w:w="1236" w:type="dxa"/>
            <w:noWrap w:val="0"/>
            <w:vAlign w:val="center"/>
          </w:tcPr>
          <w:p w14:paraId="007171C3">
            <w:pPr>
              <w:spacing w:after="0" w:line="480" w:lineRule="exact"/>
              <w:jc w:val="center"/>
              <w:rPr>
                <w:rFonts w:ascii="宋体" w:hAnsi="宋体" w:eastAsia="宋体"/>
                <w:sz w:val="21"/>
                <w:szCs w:val="21"/>
                <w:highlight w:val="none"/>
              </w:rPr>
            </w:pPr>
          </w:p>
        </w:tc>
      </w:tr>
      <w:tr w14:paraId="51205B61">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32B4DBD4">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现场服务</w:t>
            </w:r>
          </w:p>
        </w:tc>
        <w:tc>
          <w:tcPr>
            <w:tcW w:w="1080" w:type="dxa"/>
            <w:noWrap w:val="0"/>
            <w:vAlign w:val="center"/>
          </w:tcPr>
          <w:p w14:paraId="0CF49098">
            <w:pPr>
              <w:spacing w:after="0" w:line="480" w:lineRule="exact"/>
              <w:jc w:val="center"/>
              <w:rPr>
                <w:rFonts w:ascii="宋体" w:hAnsi="宋体" w:eastAsia="宋体"/>
                <w:sz w:val="21"/>
                <w:szCs w:val="21"/>
                <w:highlight w:val="none"/>
              </w:rPr>
            </w:pPr>
          </w:p>
        </w:tc>
        <w:tc>
          <w:tcPr>
            <w:tcW w:w="1236" w:type="dxa"/>
            <w:noWrap w:val="0"/>
            <w:vAlign w:val="center"/>
          </w:tcPr>
          <w:p w14:paraId="670B3F0F">
            <w:pPr>
              <w:spacing w:after="0" w:line="480" w:lineRule="exact"/>
              <w:jc w:val="center"/>
              <w:rPr>
                <w:rFonts w:ascii="宋体" w:hAnsi="宋体" w:eastAsia="宋体"/>
                <w:sz w:val="21"/>
                <w:szCs w:val="21"/>
                <w:highlight w:val="none"/>
              </w:rPr>
            </w:pPr>
          </w:p>
        </w:tc>
        <w:tc>
          <w:tcPr>
            <w:tcW w:w="1236" w:type="dxa"/>
            <w:noWrap w:val="0"/>
            <w:vAlign w:val="center"/>
          </w:tcPr>
          <w:p w14:paraId="0EEBAFD5">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4D312929">
            <w:pPr>
              <w:spacing w:after="0" w:line="480" w:lineRule="exact"/>
              <w:jc w:val="center"/>
              <w:rPr>
                <w:rFonts w:ascii="宋体" w:hAnsi="宋体" w:eastAsia="宋体"/>
                <w:sz w:val="21"/>
                <w:szCs w:val="21"/>
                <w:highlight w:val="none"/>
              </w:rPr>
            </w:pPr>
          </w:p>
        </w:tc>
        <w:tc>
          <w:tcPr>
            <w:tcW w:w="1236" w:type="dxa"/>
            <w:noWrap w:val="0"/>
            <w:vAlign w:val="center"/>
          </w:tcPr>
          <w:p w14:paraId="62A0267F">
            <w:pPr>
              <w:spacing w:after="0" w:line="480" w:lineRule="exact"/>
              <w:jc w:val="center"/>
              <w:rPr>
                <w:rFonts w:ascii="宋体" w:hAnsi="宋体" w:eastAsia="宋体"/>
                <w:sz w:val="21"/>
                <w:szCs w:val="21"/>
                <w:highlight w:val="none"/>
              </w:rPr>
            </w:pPr>
          </w:p>
        </w:tc>
      </w:tr>
      <w:tr w14:paraId="4AAC82C1">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370" w:hRule="atLeast"/>
          <w:jc w:val="center"/>
        </w:trPr>
        <w:tc>
          <w:tcPr>
            <w:tcW w:w="1392" w:type="dxa"/>
            <w:noWrap w:val="0"/>
            <w:vAlign w:val="center"/>
          </w:tcPr>
          <w:p w14:paraId="2F774A2F">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w:t>
            </w:r>
          </w:p>
        </w:tc>
        <w:tc>
          <w:tcPr>
            <w:tcW w:w="1080" w:type="dxa"/>
            <w:noWrap w:val="0"/>
            <w:vAlign w:val="center"/>
          </w:tcPr>
          <w:p w14:paraId="24DC2F8D">
            <w:pPr>
              <w:spacing w:after="0" w:line="480" w:lineRule="exact"/>
              <w:jc w:val="center"/>
              <w:rPr>
                <w:rFonts w:ascii="宋体" w:hAnsi="宋体" w:eastAsia="宋体"/>
                <w:sz w:val="21"/>
                <w:szCs w:val="21"/>
                <w:highlight w:val="none"/>
              </w:rPr>
            </w:pPr>
          </w:p>
        </w:tc>
        <w:tc>
          <w:tcPr>
            <w:tcW w:w="1236" w:type="dxa"/>
            <w:noWrap w:val="0"/>
            <w:vAlign w:val="center"/>
          </w:tcPr>
          <w:p w14:paraId="59896660">
            <w:pPr>
              <w:spacing w:after="0" w:line="480" w:lineRule="exact"/>
              <w:jc w:val="center"/>
              <w:rPr>
                <w:rFonts w:ascii="宋体" w:hAnsi="宋体" w:eastAsia="宋体"/>
                <w:sz w:val="21"/>
                <w:szCs w:val="21"/>
                <w:highlight w:val="none"/>
              </w:rPr>
            </w:pPr>
          </w:p>
        </w:tc>
        <w:tc>
          <w:tcPr>
            <w:tcW w:w="1236" w:type="dxa"/>
            <w:noWrap w:val="0"/>
            <w:vAlign w:val="center"/>
          </w:tcPr>
          <w:p w14:paraId="54402EA9">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6D3701D9">
            <w:pPr>
              <w:spacing w:after="0" w:line="480" w:lineRule="exact"/>
              <w:jc w:val="center"/>
              <w:rPr>
                <w:rFonts w:ascii="宋体" w:hAnsi="宋体" w:eastAsia="宋体"/>
                <w:sz w:val="21"/>
                <w:szCs w:val="21"/>
                <w:highlight w:val="none"/>
              </w:rPr>
            </w:pPr>
          </w:p>
        </w:tc>
        <w:tc>
          <w:tcPr>
            <w:tcW w:w="1236" w:type="dxa"/>
            <w:noWrap w:val="0"/>
            <w:vAlign w:val="center"/>
          </w:tcPr>
          <w:p w14:paraId="7B9AA0E1">
            <w:pPr>
              <w:spacing w:after="0" w:line="480" w:lineRule="exact"/>
              <w:jc w:val="center"/>
              <w:rPr>
                <w:rFonts w:ascii="宋体" w:hAnsi="宋体" w:eastAsia="宋体"/>
                <w:sz w:val="21"/>
                <w:szCs w:val="21"/>
                <w:highlight w:val="none"/>
              </w:rPr>
            </w:pPr>
          </w:p>
        </w:tc>
      </w:tr>
      <w:tr w14:paraId="666386C0">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1914" w:hRule="atLeast"/>
          <w:jc w:val="center"/>
        </w:trPr>
        <w:tc>
          <w:tcPr>
            <w:tcW w:w="7416" w:type="dxa"/>
            <w:gridSpan w:val="6"/>
            <w:tcBorders>
              <w:bottom w:val="single" w:color="auto" w:sz="4" w:space="0"/>
            </w:tcBorders>
            <w:noWrap w:val="0"/>
            <w:vAlign w:val="center"/>
          </w:tcPr>
          <w:p w14:paraId="022C3454">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 xml:space="preserve">第一联系人： </w:t>
            </w:r>
          </w:p>
          <w:p w14:paraId="00940C0F">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14:paraId="4333FD19">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联系地址：                                  邮编：</w:t>
            </w:r>
          </w:p>
          <w:p w14:paraId="7AECCAD3">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第二联系人：</w:t>
            </w:r>
          </w:p>
          <w:p w14:paraId="0EB37AFF">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14:paraId="059D42B7">
            <w:pPr>
              <w:pStyle w:val="6"/>
              <w:snapToGrid w:val="0"/>
              <w:spacing w:after="0" w:line="264" w:lineRule="auto"/>
              <w:rPr>
                <w:rFonts w:ascii="宋体" w:hAnsi="宋体" w:eastAsia="宋体"/>
                <w:szCs w:val="21"/>
                <w:highlight w:val="none"/>
                <w:lang w:eastAsia="en-US" w:bidi="en-US"/>
              </w:rPr>
            </w:pPr>
            <w:r>
              <w:rPr>
                <w:rFonts w:ascii="宋体" w:hAnsi="宋体" w:eastAsia="宋体"/>
                <w:szCs w:val="21"/>
                <w:highlight w:val="none"/>
                <w:lang w:bidi="en-US"/>
              </w:rPr>
              <w:t>联系地址：                                  邮编：</w:t>
            </w:r>
          </w:p>
        </w:tc>
      </w:tr>
    </w:tbl>
    <w:p w14:paraId="2F6BDE1C">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自保险赔付达成一致意见并签署相关文件之日起，在以下时限内结案并向投保人支付全部赔款。</w:t>
      </w:r>
    </w:p>
    <w:p w14:paraId="3675E116">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(1) 赔款金额在人民币100万元以下，</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w:t>
      </w:r>
    </w:p>
    <w:p w14:paraId="52869570">
      <w:pPr>
        <w:ind w:left="559" w:leftChars="266" w:firstLine="0" w:firstLineChars="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(2) 赔款金额在人民币100万元（含）以上，300万元以下</w:t>
      </w:r>
    </w:p>
    <w:p w14:paraId="10F548DC">
      <w:pPr>
        <w:ind w:left="559" w:leftChars="266" w:firstLine="0" w:firstLineChars="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w:t>
      </w:r>
    </w:p>
    <w:p w14:paraId="3FF63CA3">
      <w:pPr>
        <w:ind w:firstLine="560" w:firstLineChars="200"/>
        <w:rPr>
          <w:rFonts w:hint="default"/>
          <w:lang w:val="en-US" w:eastAsia="zh-CN"/>
        </w:rPr>
      </w:pPr>
      <w:r>
        <w:rPr>
          <w:rFonts w:hint="eastAsia" w:ascii="仿宋_GB2312" w:hAnsi="华文楷体" w:eastAsia="仿宋_GB2312" w:cs="宋体"/>
          <w:b w:val="0"/>
          <w:color w:val="auto"/>
          <w:kern w:val="0"/>
          <w:sz w:val="28"/>
          <w:szCs w:val="28"/>
          <w:lang w:val="en-US" w:eastAsia="zh-CN" w:bidi="ar-SA"/>
        </w:rPr>
        <w:t xml:space="preserve">(3)赔款金额在人民币300万元（含）以上， </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w:t>
      </w:r>
    </w:p>
    <w:p w14:paraId="0670EC6F">
      <w:pPr>
        <w:rPr>
          <w:rFonts w:hint="default" w:ascii="仿宋_GB2312" w:hAnsi="华文楷体" w:eastAsia="仿宋_GB2312" w:cs="宋体"/>
          <w:b w:val="0"/>
          <w:color w:val="auto"/>
          <w:kern w:val="0"/>
          <w:sz w:val="28"/>
          <w:szCs w:val="28"/>
          <w:u w:val="single"/>
          <w:lang w:val="en-US" w:eastAsia="zh-CN" w:bidi="ar-SA"/>
        </w:rPr>
      </w:pPr>
      <w:r>
        <w:rPr>
          <w:rFonts w:hint="eastAsia" w:ascii="仿宋_GB2312" w:hAnsi="华文楷体" w:eastAsia="仿宋_GB2312" w:cs="宋体"/>
          <w:b w:val="0"/>
          <w:color w:val="auto"/>
          <w:kern w:val="0"/>
          <w:sz w:val="28"/>
          <w:szCs w:val="28"/>
          <w:lang w:val="en-US" w:eastAsia="zh-CN" w:bidi="ar-SA"/>
        </w:rPr>
        <w:t>（2）现场踏勘时效</w:t>
      </w:r>
      <w:r>
        <w:rPr>
          <w:rFonts w:hint="eastAsia" w:ascii="仿宋_GB2312" w:hAnsi="华文楷体" w:eastAsia="仿宋_GB2312" w:cs="宋体"/>
          <w:b w:val="0"/>
          <w:color w:val="auto"/>
          <w:kern w:val="0"/>
          <w:sz w:val="28"/>
          <w:szCs w:val="28"/>
          <w:u w:val="single"/>
          <w:lang w:val="en-US" w:eastAsia="zh-CN" w:bidi="ar-SA"/>
        </w:rPr>
        <w:t xml:space="preserve">                                      </w:t>
      </w:r>
    </w:p>
    <w:p w14:paraId="15B25163">
      <w:pPr>
        <w:rPr>
          <w:rFonts w:hint="eastAsia" w:eastAsia="黑体"/>
          <w:bCs/>
          <w:sz w:val="30"/>
          <w:szCs w:val="30"/>
        </w:rPr>
      </w:pPr>
      <w:r>
        <w:rPr>
          <w:rFonts w:hint="eastAsia" w:eastAsia="黑体"/>
          <w:bCs/>
          <w:sz w:val="30"/>
          <w:szCs w:val="30"/>
        </w:rPr>
        <w:br w:type="page"/>
      </w:r>
    </w:p>
    <w:p w14:paraId="635FE2AF">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bookmarkStart w:id="109" w:name="_Toc2323"/>
      <w:r>
        <w:rPr>
          <w:rFonts w:hint="eastAsia" w:ascii="宋体" w:hAnsi="宋体" w:eastAsia="宋体" w:cs="宋体"/>
          <w:sz w:val="28"/>
          <w:szCs w:val="28"/>
          <w:lang w:val="en-US" w:eastAsia="zh-CN"/>
        </w:rPr>
        <w:t>6、其它资料</w:t>
      </w:r>
      <w:bookmarkEnd w:id="102"/>
      <w:bookmarkEnd w:id="108"/>
      <w:bookmarkEnd w:id="109"/>
    </w:p>
    <w:p w14:paraId="7D4D4AE7">
      <w:pPr>
        <w:rPr>
          <w:rFonts w:ascii="宋体" w:hAnsi="宋体"/>
          <w:color w:val="FF0000"/>
          <w:sz w:val="24"/>
        </w:rPr>
      </w:pPr>
    </w:p>
    <w:p w14:paraId="0DD51158">
      <w:pPr>
        <w:ind w:firstLine="480" w:firstLineChars="200"/>
        <w:rPr>
          <w:rFonts w:hint="eastAsia" w:ascii="宋体" w:hAnsi="宋体" w:eastAsia="宋体"/>
          <w:color w:val="000000"/>
          <w:sz w:val="24"/>
          <w:lang w:eastAsia="zh-CN"/>
        </w:rPr>
      </w:pPr>
      <w:r>
        <w:rPr>
          <w:rFonts w:hint="eastAsia" w:ascii="宋体" w:hAnsi="宋体"/>
          <w:color w:val="000000"/>
          <w:sz w:val="24"/>
          <w:lang w:eastAsia="zh-CN"/>
        </w:rPr>
        <w:t>（</w:t>
      </w:r>
      <w:r>
        <w:rPr>
          <w:rFonts w:hint="eastAsia" w:ascii="宋体" w:hAnsi="宋体" w:eastAsia="宋体" w:cs="宋体"/>
          <w:color w:val="auto"/>
          <w:sz w:val="24"/>
          <w:szCs w:val="24"/>
          <w:highlight w:val="none"/>
          <w:lang w:val="en-US"/>
        </w:rPr>
        <w:t>营业执照</w:t>
      </w:r>
      <w:r>
        <w:rPr>
          <w:rFonts w:hint="eastAsia" w:ascii="宋体" w:hAnsi="宋体" w:eastAsia="宋体" w:cs="宋体"/>
          <w:color w:val="auto"/>
          <w:sz w:val="24"/>
          <w:szCs w:val="24"/>
          <w:highlight w:val="none"/>
          <w:lang w:val="en-US" w:eastAsia="zh-CN"/>
        </w:rPr>
        <w:t>、</w:t>
      </w:r>
      <w:r>
        <w:rPr>
          <w:rFonts w:hint="eastAsia" w:ascii="宋体" w:hAnsi="宋体"/>
          <w:bCs/>
          <w:sz w:val="24"/>
        </w:rPr>
        <w:t>保险公司法人许可证</w:t>
      </w:r>
      <w:r>
        <w:rPr>
          <w:rFonts w:hint="eastAsia" w:ascii="宋体" w:hAnsi="宋体"/>
          <w:bCs/>
          <w:sz w:val="24"/>
          <w:lang w:eastAsia="zh-CN"/>
        </w:rPr>
        <w:t>或经营保险业务许可证</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信誉查询结果截图（如有）、</w:t>
      </w:r>
      <w:r>
        <w:rPr>
          <w:rFonts w:hint="eastAsia" w:ascii="宋体" w:hAnsi="宋体" w:eastAsia="宋体" w:cs="宋体"/>
          <w:color w:val="auto"/>
          <w:sz w:val="24"/>
          <w:highlight w:val="none"/>
          <w:lang w:val="en-US" w:eastAsia="zh-CN"/>
        </w:rPr>
        <w:t>询价保证金保函（如有）</w:t>
      </w:r>
      <w:r>
        <w:rPr>
          <w:rFonts w:hint="eastAsia" w:ascii="宋体" w:hAnsi="宋体" w:eastAsia="宋体" w:cs="宋体"/>
          <w:color w:val="auto"/>
          <w:sz w:val="24"/>
          <w:szCs w:val="24"/>
          <w:highlight w:val="none"/>
          <w:lang w:val="en-US" w:eastAsia="zh-CN"/>
        </w:rPr>
        <w:t>等</w:t>
      </w:r>
      <w:r>
        <w:rPr>
          <w:rFonts w:hint="eastAsia" w:ascii="宋体" w:hAnsi="宋体" w:cs="宋体"/>
          <w:color w:val="auto"/>
          <w:sz w:val="24"/>
          <w:szCs w:val="24"/>
          <w:highlight w:val="none"/>
          <w:lang w:val="en-US" w:eastAsia="zh-CN"/>
        </w:rPr>
        <w:t>资料</w:t>
      </w:r>
      <w:r>
        <w:rPr>
          <w:rFonts w:hint="eastAsia" w:ascii="宋体" w:hAnsi="宋体"/>
          <w:color w:val="000000"/>
          <w:sz w:val="24"/>
        </w:rPr>
        <w:t>等</w:t>
      </w:r>
      <w:r>
        <w:rPr>
          <w:rFonts w:hint="eastAsia" w:ascii="宋体" w:hAnsi="宋体"/>
          <w:color w:val="000000"/>
          <w:sz w:val="24"/>
          <w:lang w:eastAsia="zh-CN"/>
        </w:rPr>
        <w:t>）</w:t>
      </w:r>
    </w:p>
    <w:p w14:paraId="20BB3FFF">
      <w:pPr>
        <w:rPr>
          <w:rFonts w:ascii="宋体" w:hAnsi="宋体"/>
          <w:color w:val="000000"/>
          <w:sz w:val="24"/>
        </w:rPr>
      </w:pPr>
    </w:p>
    <w:p w14:paraId="1A100538">
      <w:pPr>
        <w:rPr>
          <w:rFonts w:ascii="宋体" w:hAnsi="宋体"/>
          <w:color w:val="000000"/>
          <w:sz w:val="24"/>
        </w:rPr>
      </w:pPr>
    </w:p>
    <w:p w14:paraId="472E52AC">
      <w:pPr>
        <w:ind w:left="1397" w:leftChars="208" w:hanging="960" w:hangingChars="400"/>
        <w:rPr>
          <w:rFonts w:hint="eastAsia" w:ascii="宋体" w:hAnsi="宋体" w:eastAsia="宋体"/>
          <w:color w:val="000000"/>
          <w:sz w:val="24"/>
          <w:lang w:eastAsia="zh-CN"/>
        </w:rPr>
      </w:pPr>
      <w:r>
        <w:rPr>
          <w:rFonts w:hint="eastAsia" w:ascii="宋体" w:hAnsi="宋体"/>
          <w:color w:val="000000"/>
          <w:sz w:val="24"/>
        </w:rPr>
        <w:t>注：</w:t>
      </w:r>
      <w:r>
        <w:rPr>
          <w:rFonts w:hint="eastAsia" w:ascii="宋体" w:hAnsi="宋体"/>
          <w:color w:val="000000"/>
          <w:sz w:val="24"/>
          <w:lang w:val="en-US" w:eastAsia="zh-CN"/>
        </w:rPr>
        <w:t>1、</w:t>
      </w:r>
      <w:r>
        <w:rPr>
          <w:rFonts w:hint="eastAsia" w:ascii="宋体" w:hAnsi="宋体" w:eastAsia="宋体" w:cs="Times New Roman"/>
          <w:b w:val="0"/>
          <w:color w:val="000000"/>
          <w:kern w:val="2"/>
          <w:sz w:val="24"/>
          <w:szCs w:val="24"/>
          <w:lang w:val="en-US" w:eastAsia="zh-CN" w:bidi="ar-SA"/>
        </w:rPr>
        <w:t>营业执照、保险公司法人许可证或经营保险业务许可证、</w:t>
      </w:r>
      <w:r>
        <w:rPr>
          <w:rFonts w:hint="eastAsia" w:ascii="宋体" w:hAnsi="宋体"/>
          <w:color w:val="000000"/>
          <w:sz w:val="24"/>
        </w:rPr>
        <w:t>提供复印件，并加盖公章</w:t>
      </w:r>
      <w:r>
        <w:rPr>
          <w:rFonts w:hint="eastAsia" w:ascii="宋体" w:hAnsi="宋体"/>
          <w:color w:val="000000"/>
          <w:sz w:val="24"/>
          <w:lang w:eastAsia="zh-CN"/>
        </w:rPr>
        <w:t>；</w:t>
      </w:r>
    </w:p>
    <w:p w14:paraId="3E8F6923">
      <w:pPr>
        <w:pStyle w:val="2"/>
        <w:ind w:firstLine="960" w:firstLineChars="400"/>
        <w:rPr>
          <w:rFonts w:ascii="宋体" w:hAnsi="宋体"/>
          <w:sz w:val="22"/>
        </w:rPr>
      </w:pPr>
      <w:r>
        <w:rPr>
          <w:rFonts w:hint="eastAsia" w:ascii="宋体" w:hAnsi="宋体" w:eastAsia="宋体" w:cs="Times New Roman"/>
          <w:b w:val="0"/>
          <w:color w:val="000000"/>
          <w:kern w:val="2"/>
          <w:sz w:val="24"/>
          <w:szCs w:val="24"/>
          <w:lang w:val="en-US" w:eastAsia="zh-CN" w:bidi="ar-SA"/>
        </w:rPr>
        <w:t>2、信誉查询结果截图（如有）提供截图彩色打印件，并加盖公章；</w:t>
      </w:r>
    </w:p>
    <w:p w14:paraId="6871B871">
      <w:pPr>
        <w:pStyle w:val="2"/>
        <w:ind w:firstLine="960" w:firstLineChars="400"/>
        <w:rPr>
          <w:rFonts w:hint="eastAsia" w:ascii="宋体" w:hAnsi="宋体" w:eastAsia="宋体" w:cs="Times New Roman"/>
          <w:b w:val="0"/>
          <w:color w:val="000000"/>
          <w:kern w:val="2"/>
          <w:sz w:val="24"/>
          <w:szCs w:val="24"/>
          <w:lang w:val="en-US" w:eastAsia="zh-CN" w:bidi="ar-SA"/>
        </w:rPr>
      </w:pPr>
      <w:r>
        <w:rPr>
          <w:rFonts w:hint="eastAsia" w:ascii="宋体" w:hAnsi="宋体" w:eastAsia="宋体" w:cs="Times New Roman"/>
          <w:b w:val="0"/>
          <w:color w:val="000000"/>
          <w:kern w:val="2"/>
          <w:sz w:val="24"/>
          <w:szCs w:val="24"/>
          <w:lang w:val="en-US" w:eastAsia="zh-CN" w:bidi="ar-SA"/>
        </w:rPr>
        <w:t>3、询价保证金银行保函提供复印件并加盖公章（如为现金形式，此条可不提供）。</w:t>
      </w:r>
    </w:p>
    <w:p w14:paraId="1B45A1BA">
      <w:pPr>
        <w:rPr>
          <w:rFonts w:ascii="宋体" w:hAnsi="宋体"/>
          <w:sz w:val="22"/>
        </w:rPr>
      </w:pPr>
    </w:p>
    <w:p w14:paraId="2CF70BBB">
      <w:pPr>
        <w:pStyle w:val="2"/>
        <w:rPr>
          <w:rFonts w:ascii="宋体" w:hAnsi="宋体"/>
          <w:sz w:val="22"/>
        </w:rPr>
      </w:pPr>
    </w:p>
    <w:p w14:paraId="12ADF4A8">
      <w:pPr>
        <w:rPr>
          <w:rFonts w:ascii="宋体" w:hAnsi="宋体"/>
          <w:sz w:val="22"/>
        </w:rPr>
      </w:pPr>
    </w:p>
    <w:p w14:paraId="1EBB5B82">
      <w:pPr>
        <w:pStyle w:val="2"/>
        <w:rPr>
          <w:rFonts w:ascii="宋体" w:hAnsi="宋体"/>
          <w:sz w:val="22"/>
        </w:rPr>
      </w:pPr>
    </w:p>
    <w:p w14:paraId="39167061">
      <w:pPr>
        <w:rPr>
          <w:rFonts w:ascii="宋体" w:hAnsi="宋体"/>
          <w:sz w:val="22"/>
        </w:rPr>
      </w:pPr>
    </w:p>
    <w:p w14:paraId="506BE7D9">
      <w:pPr>
        <w:pStyle w:val="2"/>
        <w:rPr>
          <w:rFonts w:ascii="宋体" w:hAnsi="宋体"/>
          <w:sz w:val="22"/>
        </w:rPr>
      </w:pPr>
    </w:p>
    <w:p w14:paraId="3631AD11">
      <w:pPr>
        <w:rPr>
          <w:rFonts w:ascii="宋体" w:hAnsi="宋体"/>
          <w:sz w:val="22"/>
        </w:rPr>
      </w:pPr>
    </w:p>
    <w:p w14:paraId="4AB13B03">
      <w:pPr>
        <w:pStyle w:val="2"/>
        <w:rPr>
          <w:rFonts w:ascii="宋体" w:hAnsi="宋体"/>
          <w:sz w:val="22"/>
        </w:rPr>
      </w:pPr>
    </w:p>
    <w:p w14:paraId="59FDFDA5">
      <w:pPr>
        <w:rPr>
          <w:rFonts w:ascii="宋体" w:hAnsi="宋体"/>
          <w:sz w:val="22"/>
        </w:rPr>
      </w:pPr>
    </w:p>
    <w:p w14:paraId="234CCCC7">
      <w:pPr>
        <w:pStyle w:val="2"/>
        <w:rPr>
          <w:rFonts w:ascii="宋体" w:hAnsi="宋体"/>
          <w:sz w:val="22"/>
        </w:rPr>
      </w:pPr>
    </w:p>
    <w:p w14:paraId="0EDBC82C"/>
    <w:p w14:paraId="227741BE">
      <w:pPr>
        <w:rPr>
          <w:rFonts w:hint="eastAsia"/>
          <w:lang w:eastAsia="zh-CN"/>
        </w:rPr>
      </w:pPr>
      <w:r>
        <w:rPr>
          <w:rFonts w:hint="eastAsia"/>
          <w:b/>
          <w:sz w:val="36"/>
          <w:szCs w:val="36"/>
        </w:rPr>
        <w:t xml:space="preserve">                                          </w:t>
      </w:r>
      <w:r>
        <w:rPr>
          <w:rFonts w:hint="eastAsia"/>
          <w:lang w:eastAsia="zh-CN"/>
        </w:rPr>
        <w:br w:type="page"/>
      </w:r>
    </w:p>
    <w:p w14:paraId="5D4C0FFD">
      <w:pPr>
        <w:pStyle w:val="3"/>
        <w:numPr>
          <w:ilvl w:val="0"/>
          <w:numId w:val="6"/>
        </w:numPr>
        <w:bidi w:val="0"/>
        <w:jc w:val="center"/>
        <w:rPr>
          <w:rFonts w:hint="eastAsia"/>
          <w:lang w:eastAsia="zh-CN"/>
        </w:rPr>
      </w:pPr>
      <w:r>
        <w:rPr>
          <w:rFonts w:hint="eastAsia"/>
          <w:lang w:eastAsia="zh-CN"/>
        </w:rPr>
        <w:t>保险条件</w:t>
      </w:r>
      <w:bookmarkEnd w:id="90"/>
      <w:bookmarkEnd w:id="91"/>
    </w:p>
    <w:p w14:paraId="6D8A8022">
      <w:pPr>
        <w:rPr>
          <w:rFonts w:hint="default"/>
          <w:sz w:val="22"/>
          <w:szCs w:val="28"/>
          <w:highlight w:val="yellow"/>
          <w:lang w:val="en-US" w:eastAsia="zh-CN"/>
        </w:rPr>
      </w:pPr>
      <w:r>
        <w:rPr>
          <w:rFonts w:hint="eastAsia"/>
          <w:sz w:val="22"/>
          <w:szCs w:val="28"/>
          <w:highlight w:val="yellow"/>
          <w:lang w:val="en-US" w:eastAsia="zh-CN"/>
        </w:rPr>
        <w:t>（本协议为样本，仅供参考，将根据保险中标结果确定的承保公司内容予以调整）</w:t>
      </w:r>
    </w:p>
    <w:p w14:paraId="54BDA740">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spacing w:val="-2"/>
          <w:sz w:val="21"/>
          <w:szCs w:val="21"/>
          <w:highlight w:val="none"/>
          <w:lang w:eastAsia="zh-CN"/>
        </w:rPr>
      </w:pPr>
      <w:bookmarkStart w:id="110" w:name="_Toc12943"/>
      <w:bookmarkStart w:id="111" w:name="_Toc21337"/>
      <w:r>
        <w:rPr>
          <w:rFonts w:hint="eastAsia" w:ascii="宋体" w:hAnsi="宋体" w:eastAsia="宋体" w:cs="宋体"/>
          <w:sz w:val="28"/>
          <w:szCs w:val="28"/>
          <w:lang w:val="en-US" w:eastAsia="zh-CN"/>
        </w:rPr>
        <w:t>一、保险协议书</w:t>
      </w:r>
      <w:bookmarkEnd w:id="110"/>
      <w:bookmarkEnd w:id="111"/>
    </w:p>
    <w:p w14:paraId="1F6C8C77">
      <w:pPr>
        <w:tabs>
          <w:tab w:val="right" w:pos="8951"/>
        </w:tabs>
        <w:adjustRightInd w:val="0"/>
        <w:snapToGrid w:val="0"/>
        <w:spacing w:line="360" w:lineRule="auto"/>
        <w:ind w:firstLine="397" w:firstLineChars="192"/>
        <w:rPr>
          <w:rFonts w:hint="eastAsia" w:ascii="宋体" w:hAnsi="宋体"/>
          <w:b/>
          <w:spacing w:val="-2"/>
          <w:sz w:val="21"/>
          <w:szCs w:val="21"/>
          <w:highlight w:val="none"/>
          <w:lang w:eastAsia="zh-CN"/>
        </w:rPr>
      </w:pPr>
      <w:r>
        <w:rPr>
          <w:rFonts w:hint="eastAsia" w:ascii="宋体" w:hAnsi="宋体"/>
          <w:b/>
          <w:spacing w:val="-2"/>
          <w:sz w:val="21"/>
          <w:szCs w:val="21"/>
          <w:highlight w:val="none"/>
          <w:lang w:eastAsia="zh-CN"/>
        </w:rPr>
        <w:t>甲方（投保人）：</w:t>
      </w:r>
    </w:p>
    <w:p w14:paraId="53746FF9">
      <w:pPr>
        <w:spacing w:line="360" w:lineRule="auto"/>
        <w:rPr>
          <w:rFonts w:hint="eastAsia" w:ascii="宋体" w:hAnsi="宋体"/>
          <w:b/>
          <w:spacing w:val="-2"/>
          <w:sz w:val="21"/>
          <w:szCs w:val="21"/>
          <w:highlight w:val="none"/>
          <w:lang w:eastAsia="zh-CN"/>
        </w:rPr>
      </w:pPr>
      <w:r>
        <w:rPr>
          <w:rFonts w:hint="eastAsia" w:ascii="宋体" w:hAnsi="宋体"/>
          <w:b/>
          <w:sz w:val="21"/>
          <w:szCs w:val="21"/>
          <w:highlight w:val="none"/>
          <w:lang w:eastAsia="zh-CN"/>
        </w:rPr>
        <w:t xml:space="preserve">    地址 ：</w:t>
      </w:r>
    </w:p>
    <w:p w14:paraId="00178CA1">
      <w:pPr>
        <w:adjustRightInd w:val="0"/>
        <w:snapToGrid w:val="0"/>
        <w:spacing w:line="360" w:lineRule="auto"/>
        <w:ind w:firstLine="397" w:firstLineChars="192"/>
        <w:rPr>
          <w:rFonts w:hint="eastAsia" w:ascii="宋体" w:hAnsi="宋体"/>
          <w:b/>
          <w:spacing w:val="-2"/>
          <w:sz w:val="21"/>
          <w:szCs w:val="21"/>
          <w:highlight w:val="none"/>
          <w:lang w:eastAsia="zh-CN"/>
        </w:rPr>
      </w:pPr>
    </w:p>
    <w:p w14:paraId="39274ED6">
      <w:pPr>
        <w:adjustRightInd w:val="0"/>
        <w:snapToGrid w:val="0"/>
        <w:spacing w:line="360" w:lineRule="auto"/>
        <w:ind w:firstLine="397" w:firstLineChars="192"/>
        <w:rPr>
          <w:rFonts w:hint="eastAsia" w:ascii="宋体" w:hAnsi="宋体"/>
          <w:b/>
          <w:spacing w:val="-2"/>
          <w:sz w:val="21"/>
          <w:szCs w:val="21"/>
          <w:highlight w:val="none"/>
          <w:lang w:eastAsia="zh-CN"/>
        </w:rPr>
      </w:pPr>
      <w:r>
        <w:rPr>
          <w:rFonts w:hint="eastAsia" w:ascii="宋体" w:hAnsi="宋体"/>
          <w:b/>
          <w:spacing w:val="-2"/>
          <w:sz w:val="21"/>
          <w:szCs w:val="21"/>
          <w:highlight w:val="none"/>
          <w:lang w:eastAsia="zh-CN"/>
        </w:rPr>
        <w:t xml:space="preserve">乙方（保险人）： </w:t>
      </w:r>
    </w:p>
    <w:p w14:paraId="70D858B7">
      <w:pPr>
        <w:adjustRightInd w:val="0"/>
        <w:snapToGrid w:val="0"/>
        <w:spacing w:line="360" w:lineRule="auto"/>
        <w:ind w:firstLine="397" w:firstLineChars="192"/>
        <w:rPr>
          <w:rFonts w:hint="eastAsia"/>
          <w:highlight w:val="none"/>
          <w:lang w:eastAsia="zh-CN"/>
        </w:rPr>
      </w:pPr>
      <w:r>
        <w:rPr>
          <w:rFonts w:hint="eastAsia" w:ascii="宋体" w:hAnsi="宋体"/>
          <w:b/>
          <w:spacing w:val="-2"/>
          <w:sz w:val="21"/>
          <w:szCs w:val="21"/>
          <w:highlight w:val="none"/>
          <w:lang w:eastAsia="zh-CN"/>
        </w:rPr>
        <w:t xml:space="preserve">地址： </w:t>
      </w:r>
    </w:p>
    <w:p w14:paraId="0DB17AA4">
      <w:pPr>
        <w:spacing w:after="0" w:line="360" w:lineRule="auto"/>
        <w:ind w:firstLine="420" w:firstLineChars="200"/>
        <w:rPr>
          <w:rFonts w:hint="eastAsia" w:ascii="宋体" w:hAnsi="宋体" w:eastAsia="宋体" w:cs="Times New Roman"/>
          <w:sz w:val="21"/>
          <w:szCs w:val="21"/>
          <w:highlight w:val="none"/>
          <w:lang w:eastAsia="zh-CN"/>
        </w:rPr>
      </w:pPr>
      <w:r>
        <w:rPr>
          <w:rFonts w:hint="eastAsia" w:ascii="宋体" w:hAnsi="宋体"/>
          <w:sz w:val="21"/>
          <w:szCs w:val="21"/>
          <w:highlight w:val="none"/>
          <w:lang w:eastAsia="zh-CN"/>
        </w:rPr>
        <w:t>甲方、乙方本着自愿、平等、互</w:t>
      </w:r>
      <w:r>
        <w:rPr>
          <w:rFonts w:hint="eastAsia" w:ascii="宋体" w:hAnsi="宋体" w:eastAsia="宋体" w:cs="Times New Roman"/>
          <w:sz w:val="21"/>
          <w:szCs w:val="21"/>
          <w:highlight w:val="none"/>
          <w:lang w:eastAsia="zh-CN"/>
        </w:rPr>
        <w:t>利和诚实信用的原则，经充分协商，就</w:t>
      </w:r>
      <w:r>
        <w:rPr>
          <w:rFonts w:hint="eastAsia" w:ascii="宋体" w:hAnsi="宋体" w:cs="Times New Roman"/>
          <w:sz w:val="21"/>
          <w:szCs w:val="21"/>
          <w:highlight w:val="none"/>
          <w:lang w:val="en-US" w:eastAsia="zh-CN"/>
        </w:rPr>
        <w:t>江西联兴公路工程有限公司</w:t>
      </w:r>
      <w:r>
        <w:rPr>
          <w:rFonts w:hint="eastAsia" w:ascii="宋体" w:hAnsi="宋体" w:eastAsia="宋体" w:cs="Times New Roman"/>
          <w:sz w:val="21"/>
          <w:szCs w:val="21"/>
          <w:highlight w:val="none"/>
          <w:lang w:eastAsia="zh-CN"/>
        </w:rPr>
        <w:t>通过公开</w:t>
      </w:r>
      <w:r>
        <w:rPr>
          <w:rFonts w:hint="eastAsia" w:ascii="宋体" w:hAnsi="宋体" w:cs="Times New Roman"/>
          <w:sz w:val="21"/>
          <w:szCs w:val="21"/>
          <w:highlight w:val="none"/>
          <w:lang w:val="en-US" w:eastAsia="zh-CN"/>
        </w:rPr>
        <w:t>询价人</w:t>
      </w:r>
      <w:r>
        <w:rPr>
          <w:rFonts w:hint="eastAsia" w:ascii="宋体" w:hAnsi="宋体" w:eastAsia="宋体" w:cs="Times New Roman"/>
          <w:sz w:val="21"/>
          <w:szCs w:val="21"/>
          <w:highlight w:val="none"/>
          <w:lang w:eastAsia="zh-CN"/>
        </w:rPr>
        <w:t>式为2025年赣定、龙河、龙杨、兴赣高速公路路面病害处治专项工程</w:t>
      </w:r>
      <w:r>
        <w:rPr>
          <w:rFonts w:hint="eastAsia" w:ascii="宋体" w:hAnsi="宋体" w:eastAsia="宋体" w:cs="Times New Roman"/>
          <w:sz w:val="21"/>
          <w:szCs w:val="21"/>
          <w:highlight w:val="none"/>
          <w:lang w:val="en-US" w:eastAsia="zh-CN"/>
        </w:rPr>
        <w:t>保</w:t>
      </w:r>
      <w:r>
        <w:rPr>
          <w:rFonts w:hint="eastAsia" w:ascii="宋体" w:hAnsi="宋体" w:eastAsia="宋体" w:cs="Times New Roman"/>
          <w:sz w:val="21"/>
          <w:szCs w:val="21"/>
          <w:highlight w:val="none"/>
          <w:lang w:eastAsia="zh-CN"/>
        </w:rPr>
        <w:t>险</w:t>
      </w:r>
      <w:r>
        <w:rPr>
          <w:rFonts w:hint="eastAsia" w:ascii="宋体" w:hAnsi="宋体" w:eastAsia="宋体" w:cs="Times New Roman"/>
          <w:sz w:val="21"/>
          <w:szCs w:val="21"/>
          <w:highlight w:val="none"/>
          <w:lang w:val="en-US" w:eastAsia="zh-CN"/>
        </w:rPr>
        <w:t>采购项目</w:t>
      </w:r>
      <w:r>
        <w:rPr>
          <w:rFonts w:hint="eastAsia" w:ascii="宋体" w:hAnsi="宋体" w:eastAsia="宋体" w:cs="Times New Roman"/>
          <w:sz w:val="21"/>
          <w:szCs w:val="21"/>
          <w:highlight w:val="none"/>
          <w:lang w:eastAsia="zh-CN"/>
        </w:rPr>
        <w:t>达成本保险协议。</w:t>
      </w:r>
    </w:p>
    <w:p w14:paraId="1D4887AF">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1.1 本合同组成文件</w:t>
      </w:r>
    </w:p>
    <w:p w14:paraId="38A7E22C">
      <w:pPr>
        <w:spacing w:after="0" w:line="360" w:lineRule="auto"/>
        <w:ind w:firstLine="414" w:firstLineChars="200"/>
        <w:rPr>
          <w:rFonts w:hint="eastAsia" w:ascii="宋体" w:hAnsi="宋体"/>
          <w:bCs/>
          <w:spacing w:val="-2"/>
          <w:sz w:val="21"/>
          <w:szCs w:val="21"/>
          <w:highlight w:val="none"/>
          <w:lang w:eastAsia="zh-CN"/>
        </w:rPr>
      </w:pPr>
      <w:r>
        <w:rPr>
          <w:rFonts w:hint="eastAsia" w:ascii="宋体" w:hAnsi="宋体"/>
          <w:b/>
          <w:bCs/>
          <w:spacing w:val="-2"/>
          <w:sz w:val="21"/>
          <w:szCs w:val="21"/>
          <w:highlight w:val="none"/>
          <w:lang w:eastAsia="zh-CN"/>
        </w:rPr>
        <w:t>1.1.1</w:t>
      </w:r>
      <w:r>
        <w:rPr>
          <w:rFonts w:hint="eastAsia" w:ascii="宋体" w:hAnsi="宋体"/>
          <w:bCs/>
          <w:spacing w:val="-2"/>
          <w:sz w:val="21"/>
          <w:szCs w:val="21"/>
          <w:highlight w:val="none"/>
          <w:lang w:eastAsia="zh-CN"/>
        </w:rPr>
        <w:t xml:space="preserve">  下述文件共同组成本合同：</w:t>
      </w:r>
    </w:p>
    <w:p w14:paraId="705F8C20">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（1）批单；</w:t>
      </w:r>
    </w:p>
    <w:p w14:paraId="7D97ABB8">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（2）本保险协议书；</w:t>
      </w:r>
    </w:p>
    <w:p w14:paraId="2959505E">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（3）保险单；</w:t>
      </w:r>
    </w:p>
    <w:p w14:paraId="70581BE0">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（4）投保单；</w:t>
      </w:r>
    </w:p>
    <w:p w14:paraId="2C55FCFD">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（5）中标通知书；</w:t>
      </w:r>
    </w:p>
    <w:p w14:paraId="2CE487EE">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（6）</w:t>
      </w:r>
      <w:r>
        <w:rPr>
          <w:rFonts w:hint="eastAsia" w:ascii="宋体" w:hAnsi="宋体"/>
          <w:bCs/>
          <w:spacing w:val="-2"/>
          <w:sz w:val="21"/>
          <w:szCs w:val="21"/>
          <w:highlight w:val="none"/>
          <w:lang w:val="en-US" w:eastAsia="zh-CN"/>
        </w:rPr>
        <w:t>报价</w:t>
      </w:r>
      <w:r>
        <w:rPr>
          <w:rFonts w:hint="eastAsia" w:ascii="宋体" w:hAnsi="宋体"/>
          <w:bCs/>
          <w:spacing w:val="-2"/>
          <w:sz w:val="21"/>
          <w:szCs w:val="21"/>
          <w:highlight w:val="none"/>
          <w:lang w:eastAsia="zh-CN"/>
        </w:rPr>
        <w:t>文件（含澄清文件及承诺）；</w:t>
      </w:r>
    </w:p>
    <w:p w14:paraId="6E02D215">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（7）</w:t>
      </w:r>
      <w:r>
        <w:rPr>
          <w:rFonts w:hint="eastAsia" w:ascii="宋体" w:hAnsi="宋体"/>
          <w:bCs/>
          <w:spacing w:val="-2"/>
          <w:sz w:val="21"/>
          <w:szCs w:val="21"/>
          <w:highlight w:val="none"/>
          <w:lang w:val="en-US" w:eastAsia="zh-CN"/>
        </w:rPr>
        <w:t>询价</w:t>
      </w:r>
      <w:r>
        <w:rPr>
          <w:rFonts w:hint="eastAsia" w:ascii="宋体" w:hAnsi="宋体"/>
          <w:bCs/>
          <w:spacing w:val="-2"/>
          <w:sz w:val="21"/>
          <w:szCs w:val="21"/>
          <w:highlight w:val="none"/>
          <w:lang w:eastAsia="zh-CN"/>
        </w:rPr>
        <w:t>文件（含招标文件补充通知）；</w:t>
      </w:r>
    </w:p>
    <w:p w14:paraId="28C4A222">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（8）形成合同的其他有关文件。</w:t>
      </w:r>
    </w:p>
    <w:p w14:paraId="6E169DE7">
      <w:pPr>
        <w:spacing w:after="0" w:line="360" w:lineRule="auto"/>
        <w:ind w:firstLine="420" w:firstLineChars="200"/>
        <w:rPr>
          <w:rFonts w:hint="eastAsia" w:ascii="宋体" w:hAnsi="宋体"/>
          <w:bCs/>
          <w:spacing w:val="-2"/>
          <w:sz w:val="21"/>
          <w:szCs w:val="21"/>
          <w:highlight w:val="none"/>
          <w:lang w:eastAsia="zh-CN"/>
        </w:rPr>
      </w:pPr>
      <w:r>
        <w:rPr>
          <w:rFonts w:hint="eastAsia" w:ascii="宋体" w:hAnsi="宋体"/>
          <w:sz w:val="21"/>
          <w:szCs w:val="21"/>
          <w:highlight w:val="none"/>
          <w:lang w:eastAsia="zh-CN"/>
        </w:rPr>
        <w:t>上述文件应互为补充和解释，如有不清或互相矛盾之处，以上面所列文件顺序在前的为准，甲、乙双方另有明确约定的情况除外。</w:t>
      </w:r>
    </w:p>
    <w:p w14:paraId="10B4681D">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1.1.2 在本保险合同终止前经甲、乙双方共同签署确认的对本保险合同的补充与修正文件将作为本协议的有效组成部分，效力优于第1.1.1款所列全部文件。</w:t>
      </w:r>
    </w:p>
    <w:p w14:paraId="64466DCB">
      <w:pPr>
        <w:spacing w:after="0" w:line="360" w:lineRule="auto"/>
        <w:ind w:firstLine="422" w:firstLineChars="200"/>
        <w:rPr>
          <w:rFonts w:hint="eastAsia" w:ascii="宋体" w:hAnsi="宋体"/>
          <w:b/>
          <w:bCs/>
          <w:spacing w:val="-2"/>
          <w:sz w:val="21"/>
          <w:szCs w:val="21"/>
          <w:highlight w:val="none"/>
          <w:lang w:eastAsia="zh-CN"/>
        </w:rPr>
      </w:pPr>
      <w:r>
        <w:rPr>
          <w:rFonts w:hint="eastAsia" w:ascii="宋体" w:hAnsi="宋体"/>
          <w:b/>
          <w:szCs w:val="21"/>
          <w:highlight w:val="none"/>
          <w:lang w:eastAsia="zh-CN"/>
        </w:rPr>
        <w:t>1.</w:t>
      </w:r>
      <w:r>
        <w:rPr>
          <w:rFonts w:hint="eastAsia" w:ascii="宋体" w:hAnsi="宋体"/>
          <w:b/>
          <w:szCs w:val="21"/>
          <w:highlight w:val="none"/>
          <w:lang w:val="en-US" w:eastAsia="zh-CN"/>
        </w:rPr>
        <w:t>2</w:t>
      </w:r>
      <w:r>
        <w:rPr>
          <w:rFonts w:hint="eastAsia" w:ascii="宋体" w:hAnsi="宋体"/>
          <w:b/>
          <w:szCs w:val="21"/>
          <w:highlight w:val="none"/>
          <w:lang w:eastAsia="zh-CN"/>
        </w:rPr>
        <w:t xml:space="preserve"> </w:t>
      </w:r>
      <w:r>
        <w:rPr>
          <w:rFonts w:hint="eastAsia" w:ascii="宋体" w:hAnsi="宋体"/>
          <w:b/>
          <w:bCs/>
          <w:spacing w:val="-2"/>
          <w:sz w:val="21"/>
          <w:szCs w:val="21"/>
          <w:highlight w:val="none"/>
          <w:lang w:eastAsia="zh-CN"/>
        </w:rPr>
        <w:t>投保出单</w:t>
      </w:r>
    </w:p>
    <w:p w14:paraId="37C3B625">
      <w:pPr>
        <w:spacing w:after="0" w:line="360" w:lineRule="auto"/>
        <w:ind w:firstLine="420" w:firstLineChars="200"/>
        <w:rPr>
          <w:rFonts w:hint="eastAsia"/>
          <w:highlight w:val="none"/>
          <w:lang w:eastAsia="zh-CN"/>
        </w:rPr>
      </w:pPr>
      <w:r>
        <w:rPr>
          <w:rFonts w:hint="eastAsia" w:ascii="宋体" w:hAnsi="宋体"/>
          <w:sz w:val="21"/>
          <w:szCs w:val="21"/>
          <w:highlight w:val="none"/>
          <w:lang w:eastAsia="zh-CN"/>
        </w:rPr>
        <w:t>由甲方向乙方办理投保手续，乙方根据本保险协议的承保方案及承保条件并经甲方确认后出具正式保险单，若保险单有关条款与本协议存在矛盾或不一致之处，应按本协议的规定优先执行。</w:t>
      </w:r>
    </w:p>
    <w:p w14:paraId="43C59276">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3</w:t>
      </w:r>
      <w:r>
        <w:rPr>
          <w:rFonts w:hint="eastAsia" w:ascii="宋体" w:hAnsi="宋体"/>
          <w:b/>
          <w:bCs/>
          <w:spacing w:val="-2"/>
          <w:sz w:val="21"/>
          <w:szCs w:val="21"/>
          <w:highlight w:val="none"/>
          <w:lang w:eastAsia="zh-CN"/>
        </w:rPr>
        <w:t xml:space="preserve"> 保险费及保险条件</w:t>
      </w:r>
    </w:p>
    <w:p w14:paraId="0E9763BE">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3</w:t>
      </w:r>
      <w:r>
        <w:rPr>
          <w:rFonts w:hint="eastAsia" w:ascii="宋体" w:hAnsi="宋体"/>
          <w:b/>
          <w:bCs/>
          <w:spacing w:val="-2"/>
          <w:sz w:val="21"/>
          <w:szCs w:val="21"/>
          <w:highlight w:val="none"/>
          <w:lang w:eastAsia="zh-CN"/>
        </w:rPr>
        <w:t>.1 保险费：</w:t>
      </w:r>
    </w:p>
    <w:p w14:paraId="778069E0">
      <w:pPr>
        <w:spacing w:after="0" w:line="360" w:lineRule="auto"/>
        <w:ind w:firstLine="420" w:firstLineChars="200"/>
        <w:rPr>
          <w:rFonts w:hint="eastAsia" w:ascii="宋体" w:hAnsi="宋体"/>
          <w:bCs/>
          <w:sz w:val="21"/>
          <w:szCs w:val="21"/>
          <w:highlight w:val="none"/>
          <w:lang w:eastAsia="zh-CN"/>
        </w:rPr>
      </w:pPr>
      <w:r>
        <w:rPr>
          <w:rFonts w:hint="eastAsia" w:ascii="宋体" w:hAnsi="宋体"/>
          <w:bCs/>
          <w:sz w:val="21"/>
          <w:szCs w:val="21"/>
          <w:highlight w:val="none"/>
          <w:lang w:eastAsia="zh-CN"/>
        </w:rPr>
        <w:t>保险费：RMB___________元</w:t>
      </w:r>
    </w:p>
    <w:p w14:paraId="5AF437A0">
      <w:pPr>
        <w:spacing w:after="0" w:line="360" w:lineRule="auto"/>
        <w:ind w:firstLine="414" w:firstLineChars="200"/>
        <w:rPr>
          <w:rFonts w:hint="eastAsia" w:ascii="宋体" w:hAnsi="宋体"/>
          <w:b/>
          <w:bCs/>
          <w:spacing w:val="-2"/>
          <w:sz w:val="21"/>
          <w:szCs w:val="21"/>
          <w:highlight w:val="yellow"/>
          <w:lang w:eastAsia="zh-CN"/>
        </w:rPr>
      </w:pPr>
      <w:r>
        <w:rPr>
          <w:rFonts w:hint="eastAsia" w:ascii="宋体" w:hAnsi="宋体"/>
          <w:b/>
          <w:bCs/>
          <w:spacing w:val="-2"/>
          <w:sz w:val="21"/>
          <w:szCs w:val="21"/>
          <w:highlight w:val="yellow"/>
          <w:lang w:eastAsia="zh-CN"/>
        </w:rPr>
        <w:t>1.</w:t>
      </w:r>
      <w:r>
        <w:rPr>
          <w:rFonts w:hint="eastAsia" w:ascii="宋体" w:hAnsi="宋体"/>
          <w:b/>
          <w:bCs/>
          <w:spacing w:val="-2"/>
          <w:sz w:val="21"/>
          <w:szCs w:val="21"/>
          <w:highlight w:val="yellow"/>
          <w:lang w:val="en-US" w:eastAsia="zh-CN"/>
        </w:rPr>
        <w:t>4</w:t>
      </w:r>
      <w:r>
        <w:rPr>
          <w:rFonts w:hint="eastAsia" w:ascii="宋体" w:hAnsi="宋体"/>
          <w:b/>
          <w:bCs/>
          <w:spacing w:val="-2"/>
          <w:sz w:val="21"/>
          <w:szCs w:val="21"/>
          <w:highlight w:val="yellow"/>
          <w:lang w:eastAsia="zh-CN"/>
        </w:rPr>
        <w:t xml:space="preserve"> 保险费支付方式</w:t>
      </w:r>
    </w:p>
    <w:p w14:paraId="7BFAE29E">
      <w:pPr>
        <w:spacing w:after="0" w:line="360" w:lineRule="auto"/>
        <w:ind w:firstLine="480" w:firstLineChars="200"/>
        <w:rPr>
          <w:rFonts w:hint="eastAsia" w:ascii="宋体" w:hAnsi="宋体" w:eastAsia="宋体" w:cs="宋体"/>
          <w:b w:val="0"/>
          <w:bCs/>
          <w:color w:val="auto"/>
          <w:sz w:val="24"/>
          <w:szCs w:val="24"/>
          <w:highlight w:val="yellow"/>
          <w:lang w:val="en-US" w:eastAsia="zh-CN"/>
        </w:rPr>
      </w:pPr>
      <w:r>
        <w:rPr>
          <w:rFonts w:hint="eastAsia" w:ascii="宋体" w:hAnsi="宋体" w:eastAsia="宋体" w:cs="宋体"/>
          <w:b w:val="0"/>
          <w:bCs/>
          <w:color w:val="auto"/>
          <w:sz w:val="24"/>
          <w:szCs w:val="24"/>
          <w:highlight w:val="yellow"/>
          <w:lang w:val="en-US" w:eastAsia="zh-CN"/>
        </w:rPr>
        <w:t>保险协议签订后30天内，须提供符合要求的发票，经询价人付款流程审批通过后，一次性付款。</w:t>
      </w:r>
    </w:p>
    <w:p w14:paraId="4AC43621">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 xml:space="preserve"> 服务条款</w:t>
      </w:r>
    </w:p>
    <w:p w14:paraId="5633C1FC">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.1 专项服务小组的建立</w:t>
      </w:r>
    </w:p>
    <w:p w14:paraId="7CAA1B5A">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应专门成立本保险项目专项服务小组，在保险生效后立即投入正式运作，任何有关的保险服务事宜，甲方只需与乙方为本保险项目成立的专项服务小组联系即可，专项服务小组成员必须受理并积极协调内部具体负责人员负责落实，不得推诿拖延。专项服务小组成员如有更换应提前通知甲方。</w:t>
      </w:r>
    </w:p>
    <w:p w14:paraId="4148F255">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专项服务小组应由组长（由乙方的相关领导担任，负责项目的总体管理）、组员（专职负责承保、理赔、风险管理等工作）构成。</w:t>
      </w:r>
    </w:p>
    <w:p w14:paraId="4CFB3167">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专项服务小组的人员组成及各自职责应在本协议签署时同时提供。</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0" w:type="dxa"/>
          <w:bottom w:w="0" w:type="dxa"/>
          <w:right w:w="0" w:type="dxa"/>
        </w:tblCellMar>
      </w:tblPr>
      <w:tblGrid>
        <w:gridCol w:w="1562"/>
        <w:gridCol w:w="1563"/>
        <w:gridCol w:w="1562"/>
        <w:gridCol w:w="1563"/>
        <w:gridCol w:w="1562"/>
        <w:gridCol w:w="1563"/>
      </w:tblGrid>
      <w:tr w14:paraId="1350FE28">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9375" w:type="dxa"/>
            <w:gridSpan w:val="6"/>
            <w:tcBorders>
              <w:top w:val="single" w:color="auto" w:sz="12" w:space="0"/>
              <w:bottom w:val="single" w:color="auto" w:sz="4" w:space="0"/>
            </w:tcBorders>
            <w:shd w:val="clear" w:color="auto" w:fill="CCCCCC"/>
            <w:noWrap w:val="0"/>
            <w:vAlign w:val="center"/>
          </w:tcPr>
          <w:p w14:paraId="22DA9373">
            <w:pPr>
              <w:spacing w:after="0" w:line="480" w:lineRule="exact"/>
              <w:jc w:val="center"/>
              <w:rPr>
                <w:rFonts w:ascii="宋体" w:hAnsi="宋体" w:eastAsia="宋体"/>
                <w:b/>
                <w:sz w:val="21"/>
                <w:szCs w:val="21"/>
                <w:highlight w:val="none"/>
                <w:lang w:eastAsia="zh-CN"/>
              </w:rPr>
            </w:pPr>
            <w:r>
              <w:rPr>
                <w:rFonts w:ascii="宋体" w:hAnsi="宋体" w:eastAsia="宋体"/>
                <w:b/>
                <w:sz w:val="21"/>
                <w:szCs w:val="21"/>
                <w:highlight w:val="none"/>
                <w:u w:val="single"/>
                <w:lang w:eastAsia="zh-CN"/>
              </w:rPr>
              <w:t>（保险人名称）</w:t>
            </w:r>
          </w:p>
          <w:p w14:paraId="32FF6F05">
            <w:pPr>
              <w:spacing w:after="0" w:line="480" w:lineRule="exact"/>
              <w:jc w:val="center"/>
              <w:rPr>
                <w:rFonts w:ascii="宋体" w:hAnsi="宋体" w:eastAsia="宋体"/>
                <w:b/>
                <w:sz w:val="21"/>
                <w:szCs w:val="21"/>
                <w:highlight w:val="none"/>
                <w:lang w:eastAsia="zh-CN"/>
              </w:rPr>
            </w:pPr>
            <w:r>
              <w:rPr>
                <w:rFonts w:ascii="宋体" w:hAnsi="宋体" w:eastAsia="宋体"/>
                <w:b/>
                <w:sz w:val="21"/>
                <w:szCs w:val="21"/>
                <w:highlight w:val="none"/>
                <w:u w:val="single"/>
                <w:lang w:eastAsia="zh-CN"/>
              </w:rPr>
              <w:t>（项目名称）</w:t>
            </w:r>
            <w:r>
              <w:rPr>
                <w:rFonts w:ascii="宋体" w:hAnsi="宋体" w:eastAsia="宋体"/>
                <w:b/>
                <w:sz w:val="21"/>
                <w:szCs w:val="21"/>
                <w:highlight w:val="none"/>
                <w:lang w:eastAsia="zh-CN"/>
              </w:rPr>
              <w:t>保险服务小组</w:t>
            </w:r>
          </w:p>
        </w:tc>
      </w:tr>
      <w:tr w14:paraId="2DE6BF14">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tcBorders>
              <w:top w:val="single" w:color="auto" w:sz="4" w:space="0"/>
            </w:tcBorders>
            <w:noWrap w:val="0"/>
            <w:vAlign w:val="center"/>
          </w:tcPr>
          <w:p w14:paraId="1809EA29">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职责</w:t>
            </w:r>
          </w:p>
        </w:tc>
        <w:tc>
          <w:tcPr>
            <w:tcW w:w="1563" w:type="dxa"/>
            <w:tcBorders>
              <w:top w:val="single" w:color="auto" w:sz="4" w:space="0"/>
            </w:tcBorders>
            <w:noWrap w:val="0"/>
            <w:vAlign w:val="center"/>
          </w:tcPr>
          <w:p w14:paraId="4C3544AF">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姓名</w:t>
            </w:r>
          </w:p>
        </w:tc>
        <w:tc>
          <w:tcPr>
            <w:tcW w:w="1562" w:type="dxa"/>
            <w:tcBorders>
              <w:top w:val="single" w:color="auto" w:sz="4" w:space="0"/>
            </w:tcBorders>
            <w:noWrap w:val="0"/>
            <w:vAlign w:val="center"/>
          </w:tcPr>
          <w:p w14:paraId="0CDAA787">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职务</w:t>
            </w:r>
          </w:p>
        </w:tc>
        <w:tc>
          <w:tcPr>
            <w:tcW w:w="1563" w:type="dxa"/>
            <w:tcBorders>
              <w:top w:val="single" w:color="auto" w:sz="4" w:space="0"/>
            </w:tcBorders>
            <w:noWrap w:val="0"/>
            <w:vAlign w:val="center"/>
          </w:tcPr>
          <w:p w14:paraId="7B12E28C">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手机</w:t>
            </w:r>
          </w:p>
        </w:tc>
        <w:tc>
          <w:tcPr>
            <w:tcW w:w="1562" w:type="dxa"/>
            <w:tcBorders>
              <w:top w:val="single" w:color="auto" w:sz="4" w:space="0"/>
            </w:tcBorders>
            <w:noWrap w:val="0"/>
            <w:vAlign w:val="center"/>
          </w:tcPr>
          <w:p w14:paraId="67F751DB">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固话</w:t>
            </w:r>
          </w:p>
        </w:tc>
        <w:tc>
          <w:tcPr>
            <w:tcW w:w="1563" w:type="dxa"/>
            <w:tcBorders>
              <w:top w:val="single" w:color="auto" w:sz="4" w:space="0"/>
            </w:tcBorders>
            <w:noWrap w:val="0"/>
            <w:vAlign w:val="center"/>
          </w:tcPr>
          <w:p w14:paraId="56922BDA">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传真</w:t>
            </w:r>
          </w:p>
        </w:tc>
      </w:tr>
      <w:tr w14:paraId="1D0BD05D">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tcBorders>
              <w:top w:val="single" w:color="auto" w:sz="4" w:space="0"/>
            </w:tcBorders>
            <w:noWrap w:val="0"/>
            <w:vAlign w:val="center"/>
          </w:tcPr>
          <w:p w14:paraId="6474133C">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hint="eastAsia" w:ascii="宋体" w:hAnsi="宋体"/>
                <w:kern w:val="0"/>
                <w:sz w:val="21"/>
                <w:szCs w:val="21"/>
                <w:highlight w:val="none"/>
                <w:lang w:eastAsia="zh-CN" w:bidi="en-US"/>
              </w:rPr>
              <w:t>总</w:t>
            </w:r>
            <w:r>
              <w:rPr>
                <w:rFonts w:ascii="宋体" w:hAnsi="宋体"/>
                <w:kern w:val="0"/>
                <w:sz w:val="21"/>
                <w:szCs w:val="21"/>
                <w:highlight w:val="none"/>
                <w:lang w:eastAsia="zh-CN" w:bidi="en-US"/>
              </w:rPr>
              <w:t>公司协调</w:t>
            </w:r>
            <w:r>
              <w:rPr>
                <w:rFonts w:hint="eastAsia" w:ascii="宋体" w:hAnsi="宋体"/>
                <w:kern w:val="0"/>
                <w:sz w:val="21"/>
                <w:szCs w:val="21"/>
                <w:highlight w:val="none"/>
                <w:lang w:eastAsia="zh-CN" w:bidi="en-US"/>
              </w:rPr>
              <w:t>人</w:t>
            </w:r>
          </w:p>
        </w:tc>
        <w:tc>
          <w:tcPr>
            <w:tcW w:w="1563" w:type="dxa"/>
            <w:tcBorders>
              <w:top w:val="single" w:color="auto" w:sz="4" w:space="0"/>
            </w:tcBorders>
            <w:noWrap w:val="0"/>
            <w:vAlign w:val="center"/>
          </w:tcPr>
          <w:p w14:paraId="7FBAE65E">
            <w:pPr>
              <w:spacing w:after="0" w:line="480" w:lineRule="exact"/>
              <w:jc w:val="center"/>
              <w:rPr>
                <w:rFonts w:ascii="宋体" w:hAnsi="宋体" w:eastAsia="宋体"/>
                <w:b/>
                <w:sz w:val="21"/>
                <w:szCs w:val="21"/>
                <w:highlight w:val="none"/>
              </w:rPr>
            </w:pPr>
          </w:p>
        </w:tc>
        <w:tc>
          <w:tcPr>
            <w:tcW w:w="1562" w:type="dxa"/>
            <w:tcBorders>
              <w:top w:val="single" w:color="auto" w:sz="4" w:space="0"/>
            </w:tcBorders>
            <w:noWrap w:val="0"/>
            <w:vAlign w:val="center"/>
          </w:tcPr>
          <w:p w14:paraId="616A6E37">
            <w:pPr>
              <w:spacing w:after="0" w:line="480" w:lineRule="exact"/>
              <w:jc w:val="center"/>
              <w:rPr>
                <w:rFonts w:ascii="宋体" w:hAnsi="宋体" w:eastAsia="宋体"/>
                <w:b/>
                <w:sz w:val="21"/>
                <w:szCs w:val="21"/>
                <w:highlight w:val="none"/>
              </w:rPr>
            </w:pPr>
          </w:p>
        </w:tc>
        <w:tc>
          <w:tcPr>
            <w:tcW w:w="1563" w:type="dxa"/>
            <w:tcBorders>
              <w:top w:val="single" w:color="auto" w:sz="4" w:space="0"/>
            </w:tcBorders>
            <w:noWrap w:val="0"/>
            <w:vAlign w:val="center"/>
          </w:tcPr>
          <w:p w14:paraId="4E3C38A4">
            <w:pPr>
              <w:spacing w:after="0" w:line="480" w:lineRule="exact"/>
              <w:jc w:val="center"/>
              <w:rPr>
                <w:rFonts w:ascii="宋体" w:hAnsi="宋体" w:eastAsia="宋体"/>
                <w:b/>
                <w:sz w:val="21"/>
                <w:szCs w:val="21"/>
                <w:highlight w:val="none"/>
              </w:rPr>
            </w:pPr>
          </w:p>
        </w:tc>
        <w:tc>
          <w:tcPr>
            <w:tcW w:w="1562" w:type="dxa"/>
            <w:tcBorders>
              <w:top w:val="single" w:color="auto" w:sz="4" w:space="0"/>
            </w:tcBorders>
            <w:noWrap w:val="0"/>
            <w:vAlign w:val="center"/>
          </w:tcPr>
          <w:p w14:paraId="38236763">
            <w:pPr>
              <w:spacing w:after="0" w:line="480" w:lineRule="exact"/>
              <w:jc w:val="center"/>
              <w:rPr>
                <w:rFonts w:ascii="宋体" w:hAnsi="宋体" w:eastAsia="宋体"/>
                <w:b/>
                <w:sz w:val="21"/>
                <w:szCs w:val="21"/>
                <w:highlight w:val="none"/>
              </w:rPr>
            </w:pPr>
          </w:p>
        </w:tc>
        <w:tc>
          <w:tcPr>
            <w:tcW w:w="1563" w:type="dxa"/>
            <w:tcBorders>
              <w:top w:val="single" w:color="auto" w:sz="4" w:space="0"/>
            </w:tcBorders>
            <w:noWrap w:val="0"/>
            <w:vAlign w:val="center"/>
          </w:tcPr>
          <w:p w14:paraId="4B744087">
            <w:pPr>
              <w:spacing w:after="0" w:line="480" w:lineRule="exact"/>
              <w:jc w:val="center"/>
              <w:rPr>
                <w:rFonts w:ascii="宋体" w:hAnsi="宋体" w:eastAsia="宋体"/>
                <w:b/>
                <w:sz w:val="21"/>
                <w:szCs w:val="21"/>
                <w:highlight w:val="none"/>
              </w:rPr>
            </w:pPr>
          </w:p>
        </w:tc>
      </w:tr>
      <w:tr w14:paraId="7FA6F090">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noWrap w:val="0"/>
            <w:vAlign w:val="center"/>
          </w:tcPr>
          <w:p w14:paraId="062F146C">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项目负责人</w:t>
            </w:r>
          </w:p>
        </w:tc>
        <w:tc>
          <w:tcPr>
            <w:tcW w:w="1563" w:type="dxa"/>
            <w:noWrap w:val="0"/>
            <w:vAlign w:val="center"/>
          </w:tcPr>
          <w:p w14:paraId="63565123">
            <w:pPr>
              <w:spacing w:after="0" w:line="480" w:lineRule="exact"/>
              <w:jc w:val="center"/>
              <w:rPr>
                <w:rFonts w:ascii="宋体" w:hAnsi="宋体" w:eastAsia="宋体"/>
                <w:sz w:val="21"/>
                <w:szCs w:val="21"/>
                <w:highlight w:val="none"/>
              </w:rPr>
            </w:pPr>
          </w:p>
        </w:tc>
        <w:tc>
          <w:tcPr>
            <w:tcW w:w="1562" w:type="dxa"/>
            <w:noWrap w:val="0"/>
            <w:vAlign w:val="center"/>
          </w:tcPr>
          <w:p w14:paraId="37617933">
            <w:pPr>
              <w:spacing w:after="0" w:line="480" w:lineRule="exact"/>
              <w:jc w:val="center"/>
              <w:rPr>
                <w:rFonts w:ascii="宋体" w:hAnsi="宋体" w:eastAsia="宋体"/>
                <w:sz w:val="21"/>
                <w:szCs w:val="21"/>
                <w:highlight w:val="none"/>
              </w:rPr>
            </w:pPr>
          </w:p>
        </w:tc>
        <w:tc>
          <w:tcPr>
            <w:tcW w:w="1563" w:type="dxa"/>
            <w:noWrap w:val="0"/>
            <w:vAlign w:val="center"/>
          </w:tcPr>
          <w:p w14:paraId="1C0FF973">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14:paraId="12BC00CD">
            <w:pPr>
              <w:spacing w:after="0" w:line="480" w:lineRule="exact"/>
              <w:jc w:val="center"/>
              <w:rPr>
                <w:rFonts w:ascii="宋体" w:hAnsi="宋体" w:eastAsia="宋体"/>
                <w:sz w:val="21"/>
                <w:szCs w:val="21"/>
                <w:highlight w:val="none"/>
              </w:rPr>
            </w:pPr>
          </w:p>
        </w:tc>
        <w:tc>
          <w:tcPr>
            <w:tcW w:w="1563" w:type="dxa"/>
            <w:noWrap w:val="0"/>
            <w:vAlign w:val="center"/>
          </w:tcPr>
          <w:p w14:paraId="1060B19A">
            <w:pPr>
              <w:spacing w:after="0" w:line="480" w:lineRule="exact"/>
              <w:jc w:val="center"/>
              <w:rPr>
                <w:rFonts w:ascii="宋体" w:hAnsi="宋体" w:eastAsia="宋体"/>
                <w:sz w:val="21"/>
                <w:szCs w:val="21"/>
                <w:highlight w:val="none"/>
              </w:rPr>
            </w:pPr>
          </w:p>
        </w:tc>
      </w:tr>
      <w:tr w14:paraId="6985B5A8">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noWrap w:val="0"/>
            <w:vAlign w:val="center"/>
          </w:tcPr>
          <w:p w14:paraId="7AF07506">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承保服务</w:t>
            </w:r>
          </w:p>
        </w:tc>
        <w:tc>
          <w:tcPr>
            <w:tcW w:w="1563" w:type="dxa"/>
            <w:noWrap w:val="0"/>
            <w:vAlign w:val="center"/>
          </w:tcPr>
          <w:p w14:paraId="7506D962">
            <w:pPr>
              <w:spacing w:after="0" w:line="480" w:lineRule="exact"/>
              <w:jc w:val="center"/>
              <w:rPr>
                <w:rFonts w:ascii="宋体" w:hAnsi="宋体" w:eastAsia="宋体"/>
                <w:sz w:val="21"/>
                <w:szCs w:val="21"/>
                <w:highlight w:val="none"/>
              </w:rPr>
            </w:pPr>
          </w:p>
        </w:tc>
        <w:tc>
          <w:tcPr>
            <w:tcW w:w="1562" w:type="dxa"/>
            <w:noWrap w:val="0"/>
            <w:vAlign w:val="center"/>
          </w:tcPr>
          <w:p w14:paraId="3EB54F01">
            <w:pPr>
              <w:spacing w:after="0" w:line="480" w:lineRule="exact"/>
              <w:jc w:val="center"/>
              <w:rPr>
                <w:rFonts w:ascii="宋体" w:hAnsi="宋体" w:eastAsia="宋体"/>
                <w:sz w:val="21"/>
                <w:szCs w:val="21"/>
                <w:highlight w:val="none"/>
              </w:rPr>
            </w:pPr>
          </w:p>
        </w:tc>
        <w:tc>
          <w:tcPr>
            <w:tcW w:w="1563" w:type="dxa"/>
            <w:noWrap w:val="0"/>
            <w:vAlign w:val="center"/>
          </w:tcPr>
          <w:p w14:paraId="546FE29C">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14:paraId="624806B7">
            <w:pPr>
              <w:spacing w:after="0" w:line="480" w:lineRule="exact"/>
              <w:jc w:val="center"/>
              <w:rPr>
                <w:rFonts w:ascii="宋体" w:hAnsi="宋体" w:eastAsia="宋体"/>
                <w:sz w:val="21"/>
                <w:szCs w:val="21"/>
                <w:highlight w:val="none"/>
              </w:rPr>
            </w:pPr>
          </w:p>
        </w:tc>
        <w:tc>
          <w:tcPr>
            <w:tcW w:w="1563" w:type="dxa"/>
            <w:noWrap w:val="0"/>
            <w:vAlign w:val="center"/>
          </w:tcPr>
          <w:p w14:paraId="082A9AF6">
            <w:pPr>
              <w:spacing w:after="0" w:line="480" w:lineRule="exact"/>
              <w:jc w:val="center"/>
              <w:rPr>
                <w:rFonts w:ascii="宋体" w:hAnsi="宋体" w:eastAsia="宋体"/>
                <w:sz w:val="21"/>
                <w:szCs w:val="21"/>
                <w:highlight w:val="none"/>
              </w:rPr>
            </w:pPr>
          </w:p>
        </w:tc>
      </w:tr>
      <w:tr w14:paraId="419EBD07">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noWrap w:val="0"/>
            <w:vAlign w:val="center"/>
          </w:tcPr>
          <w:p w14:paraId="64B3D6D9">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理赔服务</w:t>
            </w:r>
          </w:p>
        </w:tc>
        <w:tc>
          <w:tcPr>
            <w:tcW w:w="1563" w:type="dxa"/>
            <w:noWrap w:val="0"/>
            <w:vAlign w:val="center"/>
          </w:tcPr>
          <w:p w14:paraId="4ED5C0E3">
            <w:pPr>
              <w:spacing w:after="0" w:line="480" w:lineRule="exact"/>
              <w:jc w:val="center"/>
              <w:rPr>
                <w:rFonts w:ascii="宋体" w:hAnsi="宋体" w:eastAsia="宋体"/>
                <w:sz w:val="21"/>
                <w:szCs w:val="21"/>
                <w:highlight w:val="none"/>
              </w:rPr>
            </w:pPr>
          </w:p>
        </w:tc>
        <w:tc>
          <w:tcPr>
            <w:tcW w:w="1562" w:type="dxa"/>
            <w:noWrap w:val="0"/>
            <w:vAlign w:val="center"/>
          </w:tcPr>
          <w:p w14:paraId="42D21021">
            <w:pPr>
              <w:spacing w:after="0" w:line="480" w:lineRule="exact"/>
              <w:jc w:val="center"/>
              <w:rPr>
                <w:rFonts w:ascii="宋体" w:hAnsi="宋体" w:eastAsia="宋体"/>
                <w:sz w:val="21"/>
                <w:szCs w:val="21"/>
                <w:highlight w:val="none"/>
              </w:rPr>
            </w:pPr>
          </w:p>
        </w:tc>
        <w:tc>
          <w:tcPr>
            <w:tcW w:w="1563" w:type="dxa"/>
            <w:noWrap w:val="0"/>
            <w:vAlign w:val="center"/>
          </w:tcPr>
          <w:p w14:paraId="45B500E7">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14:paraId="669369C3">
            <w:pPr>
              <w:spacing w:after="0" w:line="480" w:lineRule="exact"/>
              <w:jc w:val="center"/>
              <w:rPr>
                <w:rFonts w:ascii="宋体" w:hAnsi="宋体" w:eastAsia="宋体"/>
                <w:sz w:val="21"/>
                <w:szCs w:val="21"/>
                <w:highlight w:val="none"/>
              </w:rPr>
            </w:pPr>
          </w:p>
        </w:tc>
        <w:tc>
          <w:tcPr>
            <w:tcW w:w="1563" w:type="dxa"/>
            <w:noWrap w:val="0"/>
            <w:vAlign w:val="center"/>
          </w:tcPr>
          <w:p w14:paraId="51016EF6">
            <w:pPr>
              <w:spacing w:after="0" w:line="480" w:lineRule="exact"/>
              <w:jc w:val="center"/>
              <w:rPr>
                <w:rFonts w:ascii="宋体" w:hAnsi="宋体" w:eastAsia="宋体"/>
                <w:sz w:val="21"/>
                <w:szCs w:val="21"/>
                <w:highlight w:val="none"/>
              </w:rPr>
            </w:pPr>
          </w:p>
        </w:tc>
      </w:tr>
      <w:tr w14:paraId="1E402B30">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noWrap w:val="0"/>
            <w:vAlign w:val="center"/>
          </w:tcPr>
          <w:p w14:paraId="00CC81E5">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第一联系人</w:t>
            </w:r>
          </w:p>
        </w:tc>
        <w:tc>
          <w:tcPr>
            <w:tcW w:w="1563" w:type="dxa"/>
            <w:noWrap w:val="0"/>
            <w:vAlign w:val="center"/>
          </w:tcPr>
          <w:p w14:paraId="43C63DE7">
            <w:pPr>
              <w:spacing w:after="0" w:line="480" w:lineRule="exact"/>
              <w:jc w:val="center"/>
              <w:rPr>
                <w:rFonts w:ascii="宋体" w:hAnsi="宋体" w:eastAsia="宋体"/>
                <w:sz w:val="21"/>
                <w:szCs w:val="21"/>
                <w:highlight w:val="none"/>
              </w:rPr>
            </w:pPr>
          </w:p>
        </w:tc>
        <w:tc>
          <w:tcPr>
            <w:tcW w:w="1562" w:type="dxa"/>
            <w:noWrap w:val="0"/>
            <w:vAlign w:val="center"/>
          </w:tcPr>
          <w:p w14:paraId="5695C548">
            <w:pPr>
              <w:spacing w:after="0" w:line="480" w:lineRule="exact"/>
              <w:jc w:val="center"/>
              <w:rPr>
                <w:rFonts w:ascii="宋体" w:hAnsi="宋体" w:eastAsia="宋体"/>
                <w:sz w:val="21"/>
                <w:szCs w:val="21"/>
                <w:highlight w:val="none"/>
              </w:rPr>
            </w:pPr>
          </w:p>
        </w:tc>
        <w:tc>
          <w:tcPr>
            <w:tcW w:w="1563" w:type="dxa"/>
            <w:noWrap w:val="0"/>
            <w:vAlign w:val="center"/>
          </w:tcPr>
          <w:p w14:paraId="20901258">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14:paraId="7224C3D1">
            <w:pPr>
              <w:spacing w:after="0" w:line="480" w:lineRule="exact"/>
              <w:jc w:val="center"/>
              <w:rPr>
                <w:rFonts w:ascii="宋体" w:hAnsi="宋体" w:eastAsia="宋体"/>
                <w:sz w:val="21"/>
                <w:szCs w:val="21"/>
                <w:highlight w:val="none"/>
              </w:rPr>
            </w:pPr>
          </w:p>
        </w:tc>
        <w:tc>
          <w:tcPr>
            <w:tcW w:w="1563" w:type="dxa"/>
            <w:noWrap w:val="0"/>
            <w:vAlign w:val="center"/>
          </w:tcPr>
          <w:p w14:paraId="5C88BE0A">
            <w:pPr>
              <w:spacing w:after="0" w:line="480" w:lineRule="exact"/>
              <w:jc w:val="center"/>
              <w:rPr>
                <w:rFonts w:ascii="宋体" w:hAnsi="宋体" w:eastAsia="宋体"/>
                <w:sz w:val="21"/>
                <w:szCs w:val="21"/>
                <w:highlight w:val="none"/>
              </w:rPr>
            </w:pPr>
          </w:p>
        </w:tc>
      </w:tr>
      <w:tr w14:paraId="24D8CCB2">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noWrap w:val="0"/>
            <w:vAlign w:val="center"/>
          </w:tcPr>
          <w:p w14:paraId="6937DF24">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第二联系人</w:t>
            </w:r>
          </w:p>
        </w:tc>
        <w:tc>
          <w:tcPr>
            <w:tcW w:w="1563" w:type="dxa"/>
            <w:noWrap w:val="0"/>
            <w:vAlign w:val="center"/>
          </w:tcPr>
          <w:p w14:paraId="35A73357">
            <w:pPr>
              <w:spacing w:after="0" w:line="480" w:lineRule="exact"/>
              <w:jc w:val="center"/>
              <w:rPr>
                <w:rFonts w:ascii="宋体" w:hAnsi="宋体" w:eastAsia="宋体"/>
                <w:sz w:val="21"/>
                <w:szCs w:val="21"/>
                <w:highlight w:val="none"/>
              </w:rPr>
            </w:pPr>
          </w:p>
        </w:tc>
        <w:tc>
          <w:tcPr>
            <w:tcW w:w="1562" w:type="dxa"/>
            <w:noWrap w:val="0"/>
            <w:vAlign w:val="center"/>
          </w:tcPr>
          <w:p w14:paraId="66E2779E">
            <w:pPr>
              <w:spacing w:after="0" w:line="480" w:lineRule="exact"/>
              <w:jc w:val="center"/>
              <w:rPr>
                <w:rFonts w:ascii="宋体" w:hAnsi="宋体" w:eastAsia="宋体"/>
                <w:sz w:val="21"/>
                <w:szCs w:val="21"/>
                <w:highlight w:val="none"/>
              </w:rPr>
            </w:pPr>
          </w:p>
        </w:tc>
        <w:tc>
          <w:tcPr>
            <w:tcW w:w="1563" w:type="dxa"/>
            <w:noWrap w:val="0"/>
            <w:vAlign w:val="center"/>
          </w:tcPr>
          <w:p w14:paraId="64B89891">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14:paraId="31EE7BD7">
            <w:pPr>
              <w:spacing w:after="0" w:line="480" w:lineRule="exact"/>
              <w:jc w:val="center"/>
              <w:rPr>
                <w:rFonts w:ascii="宋体" w:hAnsi="宋体" w:eastAsia="宋体"/>
                <w:sz w:val="21"/>
                <w:szCs w:val="21"/>
                <w:highlight w:val="none"/>
              </w:rPr>
            </w:pPr>
          </w:p>
        </w:tc>
        <w:tc>
          <w:tcPr>
            <w:tcW w:w="1563" w:type="dxa"/>
            <w:noWrap w:val="0"/>
            <w:vAlign w:val="center"/>
          </w:tcPr>
          <w:p w14:paraId="73C15641">
            <w:pPr>
              <w:spacing w:after="0" w:line="480" w:lineRule="exact"/>
              <w:jc w:val="center"/>
              <w:rPr>
                <w:rFonts w:ascii="宋体" w:hAnsi="宋体" w:eastAsia="宋体"/>
                <w:sz w:val="21"/>
                <w:szCs w:val="21"/>
                <w:highlight w:val="none"/>
              </w:rPr>
            </w:pPr>
          </w:p>
        </w:tc>
      </w:tr>
      <w:tr w14:paraId="52D3FD8D">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noWrap w:val="0"/>
            <w:vAlign w:val="center"/>
          </w:tcPr>
          <w:p w14:paraId="179AA7B7">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现场服务</w:t>
            </w:r>
          </w:p>
        </w:tc>
        <w:tc>
          <w:tcPr>
            <w:tcW w:w="1563" w:type="dxa"/>
            <w:noWrap w:val="0"/>
            <w:vAlign w:val="center"/>
          </w:tcPr>
          <w:p w14:paraId="02D11FDE">
            <w:pPr>
              <w:spacing w:after="0" w:line="480" w:lineRule="exact"/>
              <w:jc w:val="center"/>
              <w:rPr>
                <w:rFonts w:ascii="宋体" w:hAnsi="宋体" w:eastAsia="宋体"/>
                <w:sz w:val="21"/>
                <w:szCs w:val="21"/>
                <w:highlight w:val="none"/>
              </w:rPr>
            </w:pPr>
          </w:p>
        </w:tc>
        <w:tc>
          <w:tcPr>
            <w:tcW w:w="1562" w:type="dxa"/>
            <w:noWrap w:val="0"/>
            <w:vAlign w:val="center"/>
          </w:tcPr>
          <w:p w14:paraId="3B52E562">
            <w:pPr>
              <w:spacing w:after="0" w:line="480" w:lineRule="exact"/>
              <w:jc w:val="center"/>
              <w:rPr>
                <w:rFonts w:ascii="宋体" w:hAnsi="宋体" w:eastAsia="宋体"/>
                <w:sz w:val="21"/>
                <w:szCs w:val="21"/>
                <w:highlight w:val="none"/>
              </w:rPr>
            </w:pPr>
          </w:p>
        </w:tc>
        <w:tc>
          <w:tcPr>
            <w:tcW w:w="1563" w:type="dxa"/>
            <w:noWrap w:val="0"/>
            <w:vAlign w:val="center"/>
          </w:tcPr>
          <w:p w14:paraId="705013C1">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14:paraId="495576F5">
            <w:pPr>
              <w:spacing w:after="0" w:line="480" w:lineRule="exact"/>
              <w:jc w:val="center"/>
              <w:rPr>
                <w:rFonts w:ascii="宋体" w:hAnsi="宋体" w:eastAsia="宋体"/>
                <w:sz w:val="21"/>
                <w:szCs w:val="21"/>
                <w:highlight w:val="none"/>
              </w:rPr>
            </w:pPr>
          </w:p>
        </w:tc>
        <w:tc>
          <w:tcPr>
            <w:tcW w:w="1563" w:type="dxa"/>
            <w:noWrap w:val="0"/>
            <w:vAlign w:val="center"/>
          </w:tcPr>
          <w:p w14:paraId="05A621BD">
            <w:pPr>
              <w:spacing w:after="0" w:line="480" w:lineRule="exact"/>
              <w:jc w:val="center"/>
              <w:rPr>
                <w:rFonts w:ascii="宋体" w:hAnsi="宋体" w:eastAsia="宋体"/>
                <w:sz w:val="21"/>
                <w:szCs w:val="21"/>
                <w:highlight w:val="none"/>
              </w:rPr>
            </w:pPr>
          </w:p>
        </w:tc>
      </w:tr>
      <w:tr w14:paraId="373D76AC">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noWrap w:val="0"/>
            <w:vAlign w:val="center"/>
          </w:tcPr>
          <w:p w14:paraId="76AA7983">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w:t>
            </w:r>
          </w:p>
        </w:tc>
        <w:tc>
          <w:tcPr>
            <w:tcW w:w="1563" w:type="dxa"/>
            <w:noWrap w:val="0"/>
            <w:vAlign w:val="center"/>
          </w:tcPr>
          <w:p w14:paraId="191E7160">
            <w:pPr>
              <w:spacing w:after="0" w:line="480" w:lineRule="exact"/>
              <w:jc w:val="center"/>
              <w:rPr>
                <w:rFonts w:ascii="宋体" w:hAnsi="宋体" w:eastAsia="宋体"/>
                <w:sz w:val="21"/>
                <w:szCs w:val="21"/>
                <w:highlight w:val="none"/>
              </w:rPr>
            </w:pPr>
          </w:p>
        </w:tc>
        <w:tc>
          <w:tcPr>
            <w:tcW w:w="1562" w:type="dxa"/>
            <w:noWrap w:val="0"/>
            <w:vAlign w:val="center"/>
          </w:tcPr>
          <w:p w14:paraId="792E5DF0">
            <w:pPr>
              <w:spacing w:after="0" w:line="480" w:lineRule="exact"/>
              <w:jc w:val="center"/>
              <w:rPr>
                <w:rFonts w:ascii="宋体" w:hAnsi="宋体" w:eastAsia="宋体"/>
                <w:sz w:val="21"/>
                <w:szCs w:val="21"/>
                <w:highlight w:val="none"/>
              </w:rPr>
            </w:pPr>
          </w:p>
        </w:tc>
        <w:tc>
          <w:tcPr>
            <w:tcW w:w="1563" w:type="dxa"/>
            <w:noWrap w:val="0"/>
            <w:vAlign w:val="center"/>
          </w:tcPr>
          <w:p w14:paraId="3EE1D9CE">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14:paraId="4D69E28A">
            <w:pPr>
              <w:spacing w:after="0" w:line="480" w:lineRule="exact"/>
              <w:jc w:val="center"/>
              <w:rPr>
                <w:rFonts w:ascii="宋体" w:hAnsi="宋体" w:eastAsia="宋体"/>
                <w:sz w:val="21"/>
                <w:szCs w:val="21"/>
                <w:highlight w:val="none"/>
              </w:rPr>
            </w:pPr>
          </w:p>
        </w:tc>
        <w:tc>
          <w:tcPr>
            <w:tcW w:w="1563" w:type="dxa"/>
            <w:noWrap w:val="0"/>
            <w:vAlign w:val="center"/>
          </w:tcPr>
          <w:p w14:paraId="496CFA09">
            <w:pPr>
              <w:spacing w:after="0" w:line="480" w:lineRule="exact"/>
              <w:jc w:val="center"/>
              <w:rPr>
                <w:rFonts w:ascii="宋体" w:hAnsi="宋体" w:eastAsia="宋体"/>
                <w:sz w:val="21"/>
                <w:szCs w:val="21"/>
                <w:highlight w:val="none"/>
              </w:rPr>
            </w:pPr>
          </w:p>
        </w:tc>
      </w:tr>
      <w:tr w14:paraId="37EBC782">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9375" w:type="dxa"/>
            <w:gridSpan w:val="6"/>
            <w:tcBorders>
              <w:bottom w:val="single" w:color="auto" w:sz="4" w:space="0"/>
            </w:tcBorders>
            <w:noWrap w:val="0"/>
            <w:vAlign w:val="center"/>
          </w:tcPr>
          <w:p w14:paraId="4D27A75B">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 xml:space="preserve">第一联系人： </w:t>
            </w:r>
          </w:p>
          <w:p w14:paraId="1795D960">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14:paraId="14D6636D">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联系地址：                                  邮编：</w:t>
            </w:r>
          </w:p>
          <w:p w14:paraId="712BE4C4">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第二联系人：</w:t>
            </w:r>
          </w:p>
          <w:p w14:paraId="0CB1FDF6">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14:paraId="1C0BD763">
            <w:pPr>
              <w:pStyle w:val="6"/>
              <w:snapToGrid w:val="0"/>
              <w:spacing w:after="0" w:line="264" w:lineRule="auto"/>
              <w:rPr>
                <w:rFonts w:hint="eastAsia" w:ascii="宋体" w:hAnsi="宋体" w:eastAsia="宋体"/>
                <w:szCs w:val="21"/>
                <w:highlight w:val="none"/>
                <w:lang w:bidi="en-US"/>
              </w:rPr>
            </w:pPr>
            <w:r>
              <w:rPr>
                <w:rFonts w:ascii="宋体" w:hAnsi="宋体" w:eastAsia="宋体"/>
                <w:szCs w:val="21"/>
                <w:highlight w:val="none"/>
                <w:lang w:bidi="en-US"/>
              </w:rPr>
              <w:t>联系地址：                                  邮编：</w:t>
            </w:r>
          </w:p>
          <w:p w14:paraId="054EBC41">
            <w:pPr>
              <w:pStyle w:val="6"/>
              <w:snapToGrid w:val="0"/>
              <w:spacing w:after="0" w:line="264" w:lineRule="auto"/>
              <w:rPr>
                <w:rFonts w:ascii="宋体" w:hAnsi="宋体" w:eastAsia="宋体"/>
                <w:szCs w:val="21"/>
                <w:highlight w:val="none"/>
                <w:lang w:eastAsia="en-US" w:bidi="en-US"/>
              </w:rPr>
            </w:pPr>
            <w:r>
              <w:rPr>
                <w:rFonts w:hint="eastAsia" w:ascii="宋体" w:hAnsi="宋体" w:eastAsia="宋体"/>
                <w:szCs w:val="21"/>
                <w:highlight w:val="none"/>
                <w:lang w:eastAsia="en-US" w:bidi="en-US"/>
              </w:rPr>
              <w:t>…………</w:t>
            </w:r>
          </w:p>
        </w:tc>
      </w:tr>
    </w:tbl>
    <w:p w14:paraId="612C52FA">
      <w:pPr>
        <w:spacing w:line="360" w:lineRule="auto"/>
        <w:rPr>
          <w:rFonts w:hint="eastAsia" w:ascii="宋体" w:hAnsi="宋体"/>
          <w:b/>
          <w:sz w:val="21"/>
          <w:szCs w:val="21"/>
          <w:highlight w:val="none"/>
          <w:lang w:eastAsia="zh-CN"/>
        </w:rPr>
      </w:pPr>
      <w:r>
        <w:rPr>
          <w:rFonts w:hint="eastAsia" w:ascii="宋体" w:hAnsi="宋体"/>
          <w:b/>
          <w:sz w:val="21"/>
          <w:szCs w:val="21"/>
          <w:highlight w:val="none"/>
          <w:lang w:eastAsia="zh-CN"/>
        </w:rPr>
        <w:t>表格可自行延展，但必须包含上表内容。</w:t>
      </w:r>
    </w:p>
    <w:p w14:paraId="16E93C8F">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.2 客户服务专线的设立</w:t>
      </w:r>
    </w:p>
    <w:p w14:paraId="1844E8B6">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乙方设立本保险客户服务专线及专人负责手机电话（联系人</w:t>
      </w:r>
      <w:r>
        <w:rPr>
          <w:rFonts w:hint="eastAsia" w:ascii="宋体" w:hAnsi="宋体"/>
          <w:sz w:val="21"/>
          <w:szCs w:val="21"/>
          <w:highlight w:val="none"/>
          <w:u w:val="single"/>
          <w:lang w:eastAsia="zh-CN"/>
        </w:rPr>
        <w:t xml:space="preserve">：        </w:t>
      </w:r>
      <w:r>
        <w:rPr>
          <w:rFonts w:hint="eastAsia" w:ascii="宋体" w:hAnsi="宋体"/>
          <w:sz w:val="21"/>
          <w:szCs w:val="21"/>
          <w:highlight w:val="none"/>
          <w:lang w:eastAsia="zh-CN"/>
        </w:rPr>
        <w:t>，联系电话：__________），提供24小时受理报案服务及保险理赔咨询服务。</w:t>
      </w:r>
    </w:p>
    <w:p w14:paraId="237AE908">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客服专线号码：___________</w:t>
      </w:r>
    </w:p>
    <w:p w14:paraId="0761BDC4">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3</w:t>
      </w:r>
      <w:r>
        <w:rPr>
          <w:rFonts w:hint="eastAsia" w:ascii="宋体" w:hAnsi="宋体"/>
          <w:b/>
          <w:bCs/>
          <w:spacing w:val="-2"/>
          <w:sz w:val="21"/>
          <w:szCs w:val="21"/>
          <w:highlight w:val="none"/>
          <w:lang w:eastAsia="zh-CN"/>
        </w:rPr>
        <w:t xml:space="preserve"> 投保服务</w:t>
      </w:r>
    </w:p>
    <w:p w14:paraId="35302CBC">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乙方应协助甲方办理相关投保手续，并及时送达保险合同、保费发票等。</w:t>
      </w:r>
    </w:p>
    <w:p w14:paraId="1142F1EF">
      <w:pPr>
        <w:spacing w:after="0" w:line="360" w:lineRule="auto"/>
        <w:ind w:firstLine="414" w:firstLineChars="200"/>
        <w:rPr>
          <w:rFonts w:hint="eastAsia" w:ascii="宋体" w:hAnsi="宋体"/>
          <w:b/>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4</w:t>
      </w:r>
      <w:r>
        <w:rPr>
          <w:rFonts w:hint="eastAsia" w:ascii="宋体" w:hAnsi="宋体"/>
          <w:b/>
          <w:sz w:val="21"/>
          <w:szCs w:val="21"/>
          <w:highlight w:val="none"/>
          <w:lang w:eastAsia="zh-CN"/>
        </w:rPr>
        <w:t>防灾防损和安全管理</w:t>
      </w:r>
    </w:p>
    <w:p w14:paraId="5395D543">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在保险期间，乙方应为被保险人提供防灾防损及安全管理服务。</w:t>
      </w:r>
    </w:p>
    <w:p w14:paraId="548FBDD0">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（1）工程施工期间，乙方应协助被保险人对施工现场进行日常防灾防损检查并及时向被保险人提交专业的防灾、防损建议；</w:t>
      </w:r>
    </w:p>
    <w:p w14:paraId="7E0F7CA5">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乙方在做好工程所在地自然灾害认识及分析评价的基础上，有针对性地向被保险人提供预防措施，协助被保险人在每年雨季、台风季节、冬季重点做好突发性洪水、台风、干燥天气、易发火灾及雪灾引起重大损失的防范工作；</w:t>
      </w:r>
    </w:p>
    <w:p w14:paraId="7E9F2129">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3）乙方在保险期内，应派风险管理顾问定期到现场（每年不少于二次，另外，每一工程重大施工节点至少提供一次现场的风险评估服务）对施工单位进行现场风险管理咨询服务，协助被保险人完善和执行一般和重大事故应急预案和报告程序，协助被保险人进行防灾防损，在气象预报自然灾害发生前协助被保险人采取必要的措施做好相应的防范；</w:t>
      </w:r>
    </w:p>
    <w:p w14:paraId="7ECB7319">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（4）根据项目施工进度，积极与气象、水文、地震等部门联络，建立气象及地震灾害预警系统，提供灾害防御服务；</w:t>
      </w:r>
    </w:p>
    <w:p w14:paraId="5C455260">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（5）乙方应对被保险人进行现场救护知识宣传；</w:t>
      </w:r>
    </w:p>
    <w:p w14:paraId="68F42728">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（6）上述保险服务不免除保险人的赔偿责任。</w:t>
      </w:r>
    </w:p>
    <w:p w14:paraId="55725720">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 xml:space="preserve"> 理赔服务</w:t>
      </w:r>
    </w:p>
    <w:p w14:paraId="0EA606B0">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.1接报案</w:t>
      </w:r>
    </w:p>
    <w:p w14:paraId="001E333D">
      <w:pPr>
        <w:spacing w:after="0" w:line="360" w:lineRule="auto"/>
        <w:ind w:firstLine="420" w:firstLineChars="200"/>
        <w:rPr>
          <w:rFonts w:hint="eastAsia" w:ascii="宋体" w:hAnsi="宋体" w:eastAsia="宋体" w:cs="Times New Roman"/>
          <w:sz w:val="21"/>
          <w:szCs w:val="21"/>
          <w:highlight w:val="none"/>
          <w:lang w:eastAsia="zh-CN"/>
        </w:rPr>
      </w:pPr>
      <w:r>
        <w:rPr>
          <w:rFonts w:hint="eastAsia" w:ascii="宋体" w:hAnsi="宋体"/>
          <w:sz w:val="21"/>
          <w:szCs w:val="21"/>
          <w:highlight w:val="none"/>
          <w:lang w:eastAsia="zh-CN"/>
        </w:rPr>
        <w:t>发生保险事故后，乙方在接到甲方报案后，应</w:t>
      </w:r>
      <w:r>
        <w:rPr>
          <w:rFonts w:hint="eastAsia" w:ascii="宋体" w:hAnsi="宋体" w:eastAsia="宋体" w:cs="Times New Roman"/>
          <w:sz w:val="21"/>
          <w:szCs w:val="21"/>
          <w:highlight w:val="none"/>
          <w:lang w:eastAsia="zh-CN"/>
        </w:rPr>
        <w:t>在1小时内提出处理意见，并回复是否前往现场查勘。如果乙方未按上述规定进行回复，则表示不去现场查勘并同意以甲方提供的索赔材料为理赔依据。</w:t>
      </w:r>
    </w:p>
    <w:p w14:paraId="5E6AF7BD">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.2现场查勘</w:t>
      </w:r>
    </w:p>
    <w:p w14:paraId="3801DDE0">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乙方在接到甲方的报案后，应</w:t>
      </w:r>
      <w:r>
        <w:rPr>
          <w:rFonts w:hint="eastAsia" w:ascii="宋体" w:hAnsi="宋体" w:eastAsia="宋体" w:cs="Times New Roman"/>
          <w:sz w:val="21"/>
          <w:szCs w:val="21"/>
          <w:highlight w:val="none"/>
          <w:lang w:eastAsia="zh-CN"/>
        </w:rPr>
        <w:t>与被保险人约定到达现场的预估时间。若保险人代表超出预估时间</w:t>
      </w:r>
      <w:r>
        <w:rPr>
          <w:rFonts w:hint="eastAsia" w:ascii="宋体" w:hAnsi="宋体" w:cs="Times New Roman"/>
          <w:sz w:val="21"/>
          <w:szCs w:val="21"/>
          <w:highlight w:val="none"/>
          <w:u w:val="single"/>
          <w:lang w:val="en-US" w:eastAsia="zh-CN"/>
        </w:rPr>
        <w:t xml:space="preserve">  （同技术文件承诺）   </w:t>
      </w:r>
      <w:r>
        <w:rPr>
          <w:rFonts w:hint="eastAsia" w:ascii="宋体" w:hAnsi="宋体" w:eastAsia="宋体" w:cs="Times New Roman"/>
          <w:sz w:val="21"/>
          <w:szCs w:val="21"/>
          <w:highlight w:val="none"/>
          <w:lang w:eastAsia="zh-CN"/>
        </w:rPr>
        <w:t>小时未赶到现场，被保险人可根据工程损失现状及检验需要，事故现场在拍照保留证据后不再保留。同时乙方不得以被保险人未保留现场为由拒赔。</w:t>
      </w:r>
    </w:p>
    <w:p w14:paraId="2BECB29E">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.3索赔材料认定</w:t>
      </w:r>
    </w:p>
    <w:p w14:paraId="46D19C56">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在接到甲方提交的索赔材料（《工程险索赔资料清单》）后应立即审查核实，若认为有关证明和材料不完整，应立即以书面或口头方式一次性通知甲方应补充提供的有关证明或资料，若在接到索赔资料后3个工作日内未提出有关审核意见，则视为乙方认可索赔资料完整。</w:t>
      </w:r>
    </w:p>
    <w:p w14:paraId="1184A27B">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乙方应当尽量简化理赔程序，严格按照本协议所附《工程险索赔资料清单》要求收集甲方索赔材料，不得加重甲方的举证责任。</w:t>
      </w:r>
    </w:p>
    <w:p w14:paraId="58C2EABE">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.4定责定损</w:t>
      </w:r>
    </w:p>
    <w:p w14:paraId="40383090">
      <w:pPr>
        <w:spacing w:after="0" w:line="360" w:lineRule="auto"/>
        <w:ind w:firstLine="420" w:firstLineChars="200"/>
        <w:rPr>
          <w:rFonts w:hint="eastAsia" w:ascii="宋体" w:hAnsi="宋体"/>
          <w:b/>
          <w:bCs/>
          <w:spacing w:val="-2"/>
          <w:sz w:val="21"/>
          <w:szCs w:val="21"/>
          <w:highlight w:val="none"/>
          <w:lang w:eastAsia="zh-CN"/>
        </w:rPr>
      </w:pPr>
      <w:r>
        <w:rPr>
          <w:rFonts w:hint="eastAsia" w:ascii="宋体" w:hAnsi="宋体"/>
          <w:sz w:val="21"/>
          <w:szCs w:val="21"/>
          <w:highlight w:val="none"/>
          <w:lang w:eastAsia="zh-CN"/>
        </w:rPr>
        <w:t>乙方自现场查勘工作结束后，应当及时核定其保险责任和实际损失。如乙方在未按规定去现场查勘的，则自收到甲方的索赔材料后，应当及时核定其保险责任和实际损失。</w:t>
      </w:r>
    </w:p>
    <w:p w14:paraId="40AEFBCB">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.5预付赔款</w:t>
      </w:r>
    </w:p>
    <w:p w14:paraId="0A49C4B9">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发生重大保险事故（估计损失金额超过100万元人民币）后，经查勘属于保险责任，但未能完全确定赔偿金额时，根据甲方的书面申请，乙方应在7个工作日内根据已有证明和资料可以确定的最低数额预付赔偿金（但不得少于预估损失金额的50%）。乙方最终确定赔偿金额和赔付处理意见后，应当支付相应的差额。乙方逾期不予支付预付赔款的，每拖延一日，按应预付金额的千分之一向甲方支付滞纳金，如果乙方不及时支付滞纳金，甲方有权从履约保证金中扣除。若履约保证金全部扣除后，乙方还未及时支付预付赔款，甲方有权向赣州市人民法院提起诉讼且在中国银行保险监督管理委员会备案。</w:t>
      </w:r>
    </w:p>
    <w:p w14:paraId="009B04A0">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.6赔款支付</w:t>
      </w:r>
    </w:p>
    <w:p w14:paraId="7C2BA9A4">
      <w:pPr>
        <w:spacing w:after="0" w:line="360" w:lineRule="auto"/>
        <w:ind w:firstLine="420" w:firstLineChars="200"/>
        <w:rPr>
          <w:rFonts w:hint="eastAsia" w:ascii="宋体" w:hAnsi="宋体"/>
          <w:bCs/>
          <w:sz w:val="21"/>
          <w:szCs w:val="21"/>
          <w:highlight w:val="none"/>
          <w:lang w:eastAsia="zh-CN"/>
        </w:rPr>
      </w:pPr>
      <w:r>
        <w:rPr>
          <w:rFonts w:hint="eastAsia" w:ascii="宋体" w:hAnsi="宋体"/>
          <w:sz w:val="21"/>
          <w:szCs w:val="21"/>
          <w:highlight w:val="none"/>
          <w:lang w:eastAsia="zh-CN"/>
        </w:rPr>
        <w:t>乙方自与甲方就保险赔付达成一致意见并签署相关文件之日起，在以下时限内结案并向甲方支付全部赔款。</w:t>
      </w:r>
    </w:p>
    <w:p w14:paraId="2424CD63">
      <w:pPr>
        <w:spacing w:after="0" w:line="360" w:lineRule="auto"/>
        <w:ind w:firstLine="420" w:firstLineChars="200"/>
        <w:rPr>
          <w:rFonts w:hint="eastAsia" w:ascii="宋体" w:hAnsi="宋体"/>
          <w:bCs/>
          <w:sz w:val="21"/>
          <w:szCs w:val="21"/>
          <w:highlight w:val="none"/>
          <w:lang w:eastAsia="zh-CN"/>
        </w:rPr>
      </w:pPr>
      <w:r>
        <w:rPr>
          <w:rFonts w:hint="eastAsia" w:ascii="宋体" w:hAnsi="宋体"/>
          <w:bCs/>
          <w:sz w:val="21"/>
          <w:szCs w:val="21"/>
          <w:highlight w:val="none"/>
          <w:lang w:eastAsia="zh-CN"/>
        </w:rPr>
        <w:t>(1) 赔款金额在人民币100万元以下，</w:t>
      </w:r>
      <w:r>
        <w:rPr>
          <w:rFonts w:hint="eastAsia" w:ascii="宋体" w:hAnsi="宋体"/>
          <w:bCs/>
          <w:color w:val="0000FF"/>
          <w:sz w:val="21"/>
          <w:szCs w:val="21"/>
          <w:highlight w:val="none"/>
          <w:u w:val="single"/>
          <w:lang w:val="en-US" w:eastAsia="zh-CN"/>
        </w:rPr>
        <w:t xml:space="preserve"> </w:t>
      </w:r>
      <w:r>
        <w:rPr>
          <w:rFonts w:hint="eastAsia" w:ascii="宋体" w:hAnsi="宋体" w:cs="Times New Roman"/>
          <w:color w:val="0000FF"/>
          <w:sz w:val="21"/>
          <w:szCs w:val="21"/>
          <w:highlight w:val="none"/>
          <w:u w:val="single"/>
          <w:lang w:val="en-US" w:eastAsia="zh-CN"/>
        </w:rPr>
        <w:t xml:space="preserve">    </w:t>
      </w:r>
      <w:r>
        <w:rPr>
          <w:rFonts w:hint="eastAsia" w:ascii="宋体" w:hAnsi="宋体"/>
          <w:bCs/>
          <w:color w:val="0000FF"/>
          <w:sz w:val="21"/>
          <w:szCs w:val="21"/>
          <w:highlight w:val="none"/>
          <w:u w:val="single"/>
          <w:lang w:val="en-US" w:eastAsia="zh-CN"/>
        </w:rPr>
        <w:t xml:space="preserve"> </w:t>
      </w:r>
      <w:r>
        <w:rPr>
          <w:rFonts w:hint="eastAsia" w:ascii="宋体" w:hAnsi="宋体"/>
          <w:bCs/>
          <w:sz w:val="21"/>
          <w:szCs w:val="21"/>
          <w:highlight w:val="none"/>
          <w:u w:val="single"/>
          <w:lang w:val="en-US" w:eastAsia="zh-CN"/>
        </w:rPr>
        <w:t xml:space="preserve">   </w:t>
      </w:r>
      <w:r>
        <w:rPr>
          <w:rFonts w:hint="eastAsia" w:ascii="宋体" w:hAnsi="宋体"/>
          <w:bCs/>
          <w:sz w:val="21"/>
          <w:szCs w:val="21"/>
          <w:highlight w:val="none"/>
          <w:lang w:eastAsia="zh-CN"/>
        </w:rPr>
        <w:t>个工作日内支付赔款；</w:t>
      </w:r>
    </w:p>
    <w:p w14:paraId="2D8E8379">
      <w:pPr>
        <w:spacing w:after="0" w:line="360" w:lineRule="auto"/>
        <w:ind w:firstLine="420" w:firstLineChars="200"/>
        <w:rPr>
          <w:rFonts w:hint="eastAsia" w:ascii="宋体" w:hAnsi="宋体"/>
          <w:sz w:val="21"/>
          <w:szCs w:val="21"/>
          <w:highlight w:val="none"/>
          <w:lang w:eastAsia="zh-CN"/>
        </w:rPr>
      </w:pPr>
      <w:r>
        <w:rPr>
          <w:rFonts w:hint="eastAsia" w:ascii="宋体" w:hAnsi="宋体"/>
          <w:bCs/>
          <w:sz w:val="21"/>
          <w:szCs w:val="21"/>
          <w:highlight w:val="none"/>
          <w:lang w:eastAsia="zh-CN"/>
        </w:rPr>
        <w:t>(2) 赔款金额在人民币100万元（含）以上，300万元以下，</w:t>
      </w:r>
      <w:r>
        <w:rPr>
          <w:rFonts w:hint="eastAsia" w:ascii="宋体" w:hAnsi="宋体"/>
          <w:bCs/>
          <w:sz w:val="21"/>
          <w:szCs w:val="21"/>
          <w:highlight w:val="none"/>
          <w:u w:val="single"/>
          <w:lang w:val="en-US" w:eastAsia="zh-CN"/>
        </w:rPr>
        <w:t xml:space="preserve"> </w:t>
      </w:r>
      <w:r>
        <w:rPr>
          <w:rFonts w:hint="eastAsia" w:ascii="宋体" w:hAnsi="宋体" w:cs="Times New Roman"/>
          <w:sz w:val="21"/>
          <w:szCs w:val="21"/>
          <w:highlight w:val="none"/>
          <w:u w:val="single"/>
          <w:lang w:val="en-US" w:eastAsia="zh-CN"/>
        </w:rPr>
        <w:t xml:space="preserve">      </w:t>
      </w:r>
      <w:r>
        <w:rPr>
          <w:rFonts w:hint="eastAsia" w:ascii="宋体" w:hAnsi="宋体"/>
          <w:bCs/>
          <w:sz w:val="21"/>
          <w:szCs w:val="21"/>
          <w:highlight w:val="none"/>
          <w:u w:val="single"/>
          <w:lang w:val="en-US" w:eastAsia="zh-CN"/>
        </w:rPr>
        <w:t xml:space="preserve">    </w:t>
      </w:r>
      <w:r>
        <w:rPr>
          <w:rFonts w:hint="eastAsia" w:ascii="宋体" w:hAnsi="宋体"/>
          <w:bCs/>
          <w:sz w:val="21"/>
          <w:szCs w:val="21"/>
          <w:highlight w:val="none"/>
          <w:lang w:eastAsia="zh-CN"/>
        </w:rPr>
        <w:t>个工作日内支付赔款；</w:t>
      </w:r>
    </w:p>
    <w:p w14:paraId="7A558C63">
      <w:pPr>
        <w:spacing w:after="0" w:line="360" w:lineRule="auto"/>
        <w:ind w:firstLine="420" w:firstLineChars="200"/>
        <w:rPr>
          <w:rFonts w:hint="eastAsia" w:ascii="宋体" w:hAnsi="宋体"/>
          <w:bCs/>
          <w:sz w:val="21"/>
          <w:szCs w:val="21"/>
          <w:highlight w:val="none"/>
          <w:lang w:eastAsia="zh-CN"/>
        </w:rPr>
      </w:pPr>
      <w:r>
        <w:rPr>
          <w:rFonts w:hint="eastAsia" w:ascii="宋体" w:hAnsi="宋体"/>
          <w:sz w:val="21"/>
          <w:szCs w:val="21"/>
          <w:highlight w:val="none"/>
          <w:lang w:eastAsia="zh-CN"/>
        </w:rPr>
        <w:t>(3)</w:t>
      </w:r>
      <w:r>
        <w:rPr>
          <w:rFonts w:hint="eastAsia" w:ascii="宋体" w:hAnsi="宋体"/>
          <w:bCs/>
          <w:sz w:val="21"/>
          <w:szCs w:val="21"/>
          <w:highlight w:val="none"/>
          <w:lang w:eastAsia="zh-CN"/>
        </w:rPr>
        <w:t>赔款金额在人民币300万元（含）以上</w:t>
      </w:r>
      <w:r>
        <w:rPr>
          <w:rFonts w:hint="eastAsia" w:ascii="宋体" w:hAnsi="宋体"/>
          <w:bCs/>
          <w:sz w:val="21"/>
          <w:szCs w:val="21"/>
          <w:highlight w:val="none"/>
          <w:u w:val="single"/>
          <w:lang w:val="en-US" w:eastAsia="zh-CN"/>
        </w:rPr>
        <w:t xml:space="preserve"> </w:t>
      </w:r>
      <w:r>
        <w:rPr>
          <w:rFonts w:hint="eastAsia" w:ascii="宋体" w:hAnsi="宋体" w:cs="Times New Roman"/>
          <w:sz w:val="21"/>
          <w:szCs w:val="21"/>
          <w:highlight w:val="none"/>
          <w:u w:val="single"/>
          <w:lang w:val="en-US" w:eastAsia="zh-CN"/>
        </w:rPr>
        <w:t xml:space="preserve">         </w:t>
      </w:r>
      <w:r>
        <w:rPr>
          <w:rFonts w:hint="eastAsia" w:ascii="宋体" w:hAnsi="宋体"/>
          <w:bCs/>
          <w:sz w:val="21"/>
          <w:szCs w:val="21"/>
          <w:highlight w:val="none"/>
          <w:u w:val="single"/>
          <w:lang w:val="en-US" w:eastAsia="zh-CN"/>
        </w:rPr>
        <w:t xml:space="preserve">   </w:t>
      </w:r>
      <w:r>
        <w:rPr>
          <w:rFonts w:hint="eastAsia" w:ascii="宋体" w:hAnsi="宋体"/>
          <w:bCs/>
          <w:sz w:val="21"/>
          <w:szCs w:val="21"/>
          <w:highlight w:val="none"/>
          <w:lang w:eastAsia="zh-CN"/>
        </w:rPr>
        <w:t>个工作日内支付赔款；</w:t>
      </w:r>
    </w:p>
    <w:p w14:paraId="2F44DDDD">
      <w:pPr>
        <w:spacing w:after="0" w:line="360" w:lineRule="auto"/>
        <w:ind w:firstLine="420" w:firstLineChars="200"/>
        <w:rPr>
          <w:rFonts w:hint="eastAsia"/>
          <w:highlight w:val="none"/>
          <w:lang w:eastAsia="zh-CN"/>
        </w:rPr>
      </w:pPr>
      <w:r>
        <w:rPr>
          <w:rFonts w:hint="eastAsia" w:ascii="宋体" w:hAnsi="宋体"/>
          <w:sz w:val="21"/>
          <w:szCs w:val="21"/>
          <w:highlight w:val="none"/>
          <w:lang w:eastAsia="zh-CN"/>
        </w:rPr>
        <w:t>乙方逾期不予支付预付赔款的，每拖延一日，按应赔付金额的千分之一向甲方支付滞纳金，如果乙方不及时支付滞纳金，甲方有权从履约保证金中扣除。若履约保证金全部扣除后，乙方还未及时支付赔款，甲方有权向赣州市人民法院提起诉讼且在中国银行保险监督管理委员会备案。</w:t>
      </w:r>
    </w:p>
    <w:p w14:paraId="2AF05B57">
      <w:pPr>
        <w:spacing w:after="0" w:line="360" w:lineRule="auto"/>
        <w:ind w:firstLine="422" w:firstLineChars="200"/>
        <w:rPr>
          <w:rFonts w:hint="eastAsia" w:ascii="宋体" w:hAnsi="宋体"/>
          <w:b/>
          <w:sz w:val="21"/>
          <w:szCs w:val="21"/>
          <w:highlight w:val="none"/>
          <w:lang w:eastAsia="zh-CN"/>
        </w:rPr>
      </w:pPr>
      <w:r>
        <w:rPr>
          <w:rFonts w:hint="eastAsia" w:ascii="宋体" w:hAnsi="宋体"/>
          <w:b/>
          <w:sz w:val="21"/>
          <w:szCs w:val="21"/>
          <w:highlight w:val="none"/>
          <w:lang w:eastAsia="zh-CN"/>
        </w:rPr>
        <w:t>1.</w:t>
      </w:r>
      <w:r>
        <w:rPr>
          <w:rFonts w:hint="eastAsia" w:ascii="宋体" w:hAnsi="宋体"/>
          <w:b/>
          <w:sz w:val="21"/>
          <w:szCs w:val="21"/>
          <w:highlight w:val="none"/>
          <w:lang w:val="en-US" w:eastAsia="zh-CN"/>
        </w:rPr>
        <w:t>5</w:t>
      </w:r>
      <w:r>
        <w:rPr>
          <w:rFonts w:hint="eastAsia" w:ascii="宋体" w:hAnsi="宋体"/>
          <w:b/>
          <w:sz w:val="21"/>
          <w:szCs w:val="21"/>
          <w:highlight w:val="none"/>
          <w:lang w:eastAsia="zh-CN"/>
        </w:rPr>
        <w:t>.</w:t>
      </w:r>
      <w:r>
        <w:rPr>
          <w:rFonts w:hint="eastAsia" w:ascii="宋体" w:hAnsi="宋体"/>
          <w:b/>
          <w:sz w:val="21"/>
          <w:szCs w:val="21"/>
          <w:highlight w:val="none"/>
          <w:lang w:val="en-US" w:eastAsia="zh-CN"/>
        </w:rPr>
        <w:t>6</w:t>
      </w:r>
      <w:r>
        <w:rPr>
          <w:rFonts w:hint="eastAsia" w:ascii="宋体" w:hAnsi="宋体"/>
          <w:b/>
          <w:sz w:val="21"/>
          <w:szCs w:val="21"/>
          <w:highlight w:val="none"/>
          <w:lang w:eastAsia="zh-CN"/>
        </w:rPr>
        <w:t xml:space="preserve"> 保险联席会议</w:t>
      </w:r>
    </w:p>
    <w:p w14:paraId="1C3D6DC1">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应被保险人要求，乙方根据被保险人的需要，不定期召开保险联席会议，由被保险人有关部门及相关参建方参加，相互沟通，协商解决有关保险事宜。</w:t>
      </w:r>
    </w:p>
    <w:p w14:paraId="21BF1A83">
      <w:pPr>
        <w:spacing w:after="0" w:line="360" w:lineRule="auto"/>
        <w:ind w:firstLine="422" w:firstLineChars="200"/>
        <w:rPr>
          <w:rFonts w:hint="eastAsia" w:ascii="宋体" w:hAnsi="宋体"/>
          <w:b/>
          <w:sz w:val="21"/>
          <w:szCs w:val="21"/>
          <w:highlight w:val="none"/>
          <w:lang w:eastAsia="zh-CN"/>
        </w:rPr>
      </w:pPr>
      <w:r>
        <w:rPr>
          <w:rFonts w:hint="eastAsia" w:ascii="宋体" w:hAnsi="宋体"/>
          <w:b/>
          <w:sz w:val="21"/>
          <w:szCs w:val="21"/>
          <w:highlight w:val="none"/>
          <w:lang w:eastAsia="zh-CN"/>
        </w:rPr>
        <w:t>1.</w:t>
      </w:r>
      <w:r>
        <w:rPr>
          <w:rFonts w:hint="eastAsia" w:ascii="宋体" w:hAnsi="宋体"/>
          <w:b/>
          <w:sz w:val="21"/>
          <w:szCs w:val="21"/>
          <w:highlight w:val="none"/>
          <w:lang w:val="en-US" w:eastAsia="zh-CN"/>
        </w:rPr>
        <w:t>5</w:t>
      </w:r>
      <w:r>
        <w:rPr>
          <w:rFonts w:hint="eastAsia" w:ascii="宋体" w:hAnsi="宋体"/>
          <w:b/>
          <w:sz w:val="21"/>
          <w:szCs w:val="21"/>
          <w:highlight w:val="none"/>
          <w:lang w:eastAsia="zh-CN"/>
        </w:rPr>
        <w:t>.</w:t>
      </w:r>
      <w:r>
        <w:rPr>
          <w:rFonts w:hint="eastAsia" w:ascii="宋体" w:hAnsi="宋体"/>
          <w:b/>
          <w:sz w:val="21"/>
          <w:szCs w:val="21"/>
          <w:highlight w:val="none"/>
          <w:lang w:val="en-US" w:eastAsia="zh-CN"/>
        </w:rPr>
        <w:t>7</w:t>
      </w:r>
      <w:r>
        <w:rPr>
          <w:rFonts w:hint="eastAsia" w:ascii="宋体" w:hAnsi="宋体"/>
          <w:b/>
          <w:sz w:val="21"/>
          <w:szCs w:val="21"/>
          <w:highlight w:val="none"/>
          <w:lang w:eastAsia="zh-CN"/>
        </w:rPr>
        <w:t xml:space="preserve"> 法律援助</w:t>
      </w:r>
    </w:p>
    <w:p w14:paraId="6F702254">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当甲方或被保险人因第三者责任事故而被索赔或者诉讼，乙方应主动为被保险人提供法律服务支持，为甲方或被保险人提供法律咨询，代为聘请律师，必要时可以甲方或被保险人的名义代理诉讼行为，并按照本保险合同约定及时赔偿必要的法律费用。</w:t>
      </w:r>
    </w:p>
    <w:p w14:paraId="0A39204A">
      <w:pPr>
        <w:spacing w:after="0" w:line="360" w:lineRule="auto"/>
        <w:ind w:firstLine="422" w:firstLineChars="200"/>
        <w:rPr>
          <w:rFonts w:hint="eastAsia" w:ascii="宋体" w:hAnsi="宋体"/>
          <w:b/>
          <w:sz w:val="21"/>
          <w:szCs w:val="21"/>
          <w:highlight w:val="none"/>
          <w:lang w:eastAsia="zh-CN"/>
        </w:rPr>
      </w:pPr>
      <w:r>
        <w:rPr>
          <w:rFonts w:hint="eastAsia" w:ascii="宋体" w:hAnsi="宋体"/>
          <w:b/>
          <w:sz w:val="21"/>
          <w:szCs w:val="21"/>
          <w:highlight w:val="none"/>
          <w:lang w:eastAsia="zh-CN"/>
        </w:rPr>
        <w:t>1.</w:t>
      </w:r>
      <w:r>
        <w:rPr>
          <w:rFonts w:hint="eastAsia" w:ascii="宋体" w:hAnsi="宋体"/>
          <w:b/>
          <w:sz w:val="21"/>
          <w:szCs w:val="21"/>
          <w:highlight w:val="none"/>
          <w:lang w:val="en-US" w:eastAsia="zh-CN"/>
        </w:rPr>
        <w:t>5</w:t>
      </w:r>
      <w:r>
        <w:rPr>
          <w:rFonts w:hint="eastAsia" w:ascii="宋体" w:hAnsi="宋体"/>
          <w:b/>
          <w:sz w:val="21"/>
          <w:szCs w:val="21"/>
          <w:highlight w:val="none"/>
          <w:lang w:eastAsia="zh-CN"/>
        </w:rPr>
        <w:t>.</w:t>
      </w:r>
      <w:r>
        <w:rPr>
          <w:rFonts w:hint="eastAsia" w:ascii="宋体" w:hAnsi="宋体"/>
          <w:b/>
          <w:sz w:val="21"/>
          <w:szCs w:val="21"/>
          <w:highlight w:val="none"/>
          <w:lang w:val="en-US" w:eastAsia="zh-CN"/>
        </w:rPr>
        <w:t>8</w:t>
      </w:r>
      <w:r>
        <w:rPr>
          <w:rFonts w:hint="eastAsia" w:ascii="宋体" w:hAnsi="宋体"/>
          <w:b/>
          <w:sz w:val="21"/>
          <w:szCs w:val="21"/>
          <w:highlight w:val="none"/>
          <w:lang w:eastAsia="zh-CN"/>
        </w:rPr>
        <w:t xml:space="preserve"> 人员变动及时通知</w:t>
      </w:r>
    </w:p>
    <w:p w14:paraId="5070BD20">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专项服务小组成员将各司其职，互相配合，手机均保持24小时开通。如果小组成员由于工作原因调动离岗，乙方应在第一时间内通知各被保险人；同时，告知接替人员的工作经验、简历和联系方式；接替人员也应在最短时间内熟悉情况，进入工作状态。</w:t>
      </w:r>
    </w:p>
    <w:p w14:paraId="34FD562E">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6</w:t>
      </w:r>
      <w:r>
        <w:rPr>
          <w:rFonts w:hint="eastAsia" w:ascii="宋体" w:hAnsi="宋体"/>
          <w:b/>
          <w:bCs/>
          <w:spacing w:val="-2"/>
          <w:sz w:val="21"/>
          <w:szCs w:val="21"/>
          <w:highlight w:val="none"/>
          <w:lang w:eastAsia="zh-CN"/>
        </w:rPr>
        <w:t xml:space="preserve"> 赔案监督与协调</w:t>
      </w:r>
    </w:p>
    <w:p w14:paraId="36855D78">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乙方应设立投诉电话</w:t>
      </w:r>
      <w:r>
        <w:rPr>
          <w:rFonts w:hint="eastAsia" w:ascii="宋体" w:hAnsi="宋体"/>
          <w:sz w:val="21"/>
          <w:szCs w:val="21"/>
          <w:highlight w:val="none"/>
          <w:u w:val="single"/>
          <w:lang w:eastAsia="zh-CN"/>
        </w:rPr>
        <w:t xml:space="preserve">           </w:t>
      </w:r>
      <w:r>
        <w:rPr>
          <w:rFonts w:hint="eastAsia" w:ascii="宋体" w:hAnsi="宋体"/>
          <w:sz w:val="21"/>
          <w:szCs w:val="21"/>
          <w:highlight w:val="none"/>
          <w:lang w:eastAsia="zh-CN"/>
        </w:rPr>
        <w:t>，如乙方服务人员未有效履行服务约定，甲方可向乙方投诉，投诉应在3个工作日内提出反馈意见。</w:t>
      </w:r>
    </w:p>
    <w:p w14:paraId="5E0B1009">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7</w:t>
      </w:r>
      <w:r>
        <w:rPr>
          <w:rFonts w:hint="eastAsia" w:ascii="宋体" w:hAnsi="宋体"/>
          <w:b/>
          <w:bCs/>
          <w:spacing w:val="-2"/>
          <w:sz w:val="21"/>
          <w:szCs w:val="21"/>
          <w:highlight w:val="none"/>
          <w:lang w:eastAsia="zh-CN"/>
        </w:rPr>
        <w:t xml:space="preserve">  一般条款</w:t>
      </w:r>
    </w:p>
    <w:p w14:paraId="792C9DEA">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7</w:t>
      </w:r>
      <w:r>
        <w:rPr>
          <w:rFonts w:hint="eastAsia" w:ascii="宋体" w:hAnsi="宋体"/>
          <w:b/>
          <w:bCs/>
          <w:spacing w:val="-2"/>
          <w:sz w:val="21"/>
          <w:szCs w:val="21"/>
          <w:highlight w:val="none"/>
          <w:lang w:eastAsia="zh-CN"/>
        </w:rPr>
        <w:t>.1 协议的生效</w:t>
      </w:r>
    </w:p>
    <w:p w14:paraId="629DAA7B">
      <w:pPr>
        <w:tabs>
          <w:tab w:val="left" w:pos="0"/>
          <w:tab w:val="left" w:pos="180"/>
        </w:tabs>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本协议自20</w:t>
      </w:r>
      <w:r>
        <w:rPr>
          <w:rFonts w:hint="eastAsia" w:ascii="宋体" w:hAnsi="宋体"/>
          <w:sz w:val="21"/>
          <w:szCs w:val="21"/>
          <w:highlight w:val="none"/>
          <w:lang w:val="en-US" w:eastAsia="zh-CN"/>
        </w:rPr>
        <w:t>25</w:t>
      </w:r>
      <w:r>
        <w:rPr>
          <w:rFonts w:hint="eastAsia" w:ascii="宋体" w:hAnsi="宋体"/>
          <w:sz w:val="21"/>
          <w:szCs w:val="21"/>
          <w:highlight w:val="none"/>
          <w:lang w:eastAsia="zh-CN"/>
        </w:rPr>
        <w:t>年__月__日0:00时起生效，且在保单有效期间内持续有效。如果该保单的保险期限结束后存在遗留问题，则本协议将持续有效，至保单涉及各项遗留事宜最终处理完毕时为止。</w:t>
      </w:r>
    </w:p>
    <w:p w14:paraId="70741D11">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7</w:t>
      </w:r>
      <w:r>
        <w:rPr>
          <w:rFonts w:hint="eastAsia" w:ascii="宋体" w:hAnsi="宋体"/>
          <w:b/>
          <w:bCs/>
          <w:spacing w:val="-2"/>
          <w:sz w:val="21"/>
          <w:szCs w:val="21"/>
          <w:highlight w:val="none"/>
          <w:lang w:eastAsia="zh-CN"/>
        </w:rPr>
        <w:t>.2 协议的变更与解除</w:t>
      </w:r>
    </w:p>
    <w:p w14:paraId="66548BEE">
      <w:pPr>
        <w:tabs>
          <w:tab w:val="left" w:pos="0"/>
        </w:tabs>
        <w:spacing w:after="0" w:line="360" w:lineRule="auto"/>
        <w:ind w:firstLine="412" w:firstLineChars="200"/>
        <w:rPr>
          <w:rFonts w:hint="eastAsia" w:ascii="宋体" w:hAnsi="宋体"/>
          <w:b/>
          <w:bCs/>
          <w:spacing w:val="-2"/>
          <w:sz w:val="21"/>
          <w:szCs w:val="21"/>
          <w:highlight w:val="none"/>
          <w:lang w:eastAsia="zh-CN"/>
        </w:rPr>
      </w:pPr>
      <w:r>
        <w:rPr>
          <w:rFonts w:hint="eastAsia" w:ascii="宋体" w:hAnsi="宋体"/>
          <w:spacing w:val="-2"/>
          <w:sz w:val="21"/>
          <w:szCs w:val="21"/>
          <w:highlight w:val="none"/>
          <w:lang w:eastAsia="zh-CN"/>
        </w:rPr>
        <w:t>如需要修改、变更本协议的，应经甲、乙双方协商一致并达成书面协议，该修改、变更效力优于本协议相关内容。如因特殊情况确有需要解除本协议的，甲方可随时通知乙方终止本协议，并可提前30天通知乙方注销保单；乙方不可终止本协议。</w:t>
      </w:r>
    </w:p>
    <w:p w14:paraId="35C9B167">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7</w:t>
      </w:r>
      <w:r>
        <w:rPr>
          <w:rFonts w:hint="eastAsia" w:ascii="宋体" w:hAnsi="宋体"/>
          <w:b/>
          <w:bCs/>
          <w:spacing w:val="-2"/>
          <w:sz w:val="21"/>
          <w:szCs w:val="21"/>
          <w:highlight w:val="none"/>
          <w:lang w:eastAsia="zh-CN"/>
        </w:rPr>
        <w:t>.3 保密条款</w:t>
      </w:r>
    </w:p>
    <w:p w14:paraId="76CF1F3F">
      <w:pPr>
        <w:pStyle w:val="6"/>
        <w:adjustRightInd/>
        <w:spacing w:after="0" w:line="360" w:lineRule="auto"/>
        <w:ind w:firstLineChars="200"/>
        <w:rPr>
          <w:rFonts w:hint="eastAsia" w:ascii="宋体" w:hAnsi="宋体"/>
          <w:szCs w:val="21"/>
          <w:highlight w:val="none"/>
        </w:rPr>
      </w:pPr>
      <w:r>
        <w:rPr>
          <w:rFonts w:hint="eastAsia" w:ascii="宋体" w:hAnsi="宋体"/>
          <w:szCs w:val="21"/>
          <w:highlight w:val="none"/>
        </w:rPr>
        <w:t>除非下列情况，自本协议生效之日起，甲方和乙方不得将本协议涉及的所有有形、无形的信息及资料（包括但不限于双方的往来书面文字文件、电子邮件及信息、移动存储设备资料等）泄露给第三方：</w:t>
      </w:r>
    </w:p>
    <w:p w14:paraId="697692EC">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（1）提供给为执行本协议而提供相关服务的雇员或顾问；</w:t>
      </w:r>
    </w:p>
    <w:p w14:paraId="4B20AC75">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（2）应法院或仲裁机构要求而提供；</w:t>
      </w:r>
    </w:p>
    <w:p w14:paraId="45F0D17D">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（3）告诉给根据本协议确定的提供保险服务的保险人；</w:t>
      </w:r>
    </w:p>
    <w:p w14:paraId="583FC693">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（4）经甲方和乙方书面同意。</w:t>
      </w:r>
    </w:p>
    <w:p w14:paraId="2BEBA121">
      <w:pPr>
        <w:pStyle w:val="6"/>
        <w:adjustRightInd/>
        <w:spacing w:after="0" w:line="360" w:lineRule="auto"/>
        <w:ind w:firstLineChars="200"/>
        <w:rPr>
          <w:rFonts w:hint="eastAsia" w:ascii="宋体" w:hAnsi="宋体"/>
          <w:szCs w:val="21"/>
          <w:highlight w:val="none"/>
        </w:rPr>
      </w:pPr>
      <w:r>
        <w:rPr>
          <w:rFonts w:hint="eastAsia" w:ascii="宋体" w:hAnsi="宋体"/>
          <w:szCs w:val="21"/>
          <w:highlight w:val="none"/>
        </w:rPr>
        <w:t>本协议任何一方因过错造成泄密而给另一方造成损失的，由过错一方承担经济赔偿责任。</w:t>
      </w:r>
    </w:p>
    <w:p w14:paraId="61CD8106">
      <w:pPr>
        <w:pStyle w:val="6"/>
        <w:adjustRightInd/>
        <w:spacing w:after="0" w:line="360" w:lineRule="auto"/>
        <w:ind w:firstLineChars="200"/>
        <w:rPr>
          <w:rFonts w:hint="eastAsia" w:ascii="宋体" w:hAnsi="宋体"/>
          <w:szCs w:val="21"/>
          <w:highlight w:val="none"/>
        </w:rPr>
      </w:pPr>
      <w:r>
        <w:rPr>
          <w:rFonts w:hint="eastAsia" w:ascii="宋体" w:hAnsi="宋体"/>
          <w:szCs w:val="21"/>
          <w:highlight w:val="none"/>
        </w:rPr>
        <w:t>本协议终止时本保密条款继续有效五年。</w:t>
      </w:r>
    </w:p>
    <w:p w14:paraId="49ADCA19">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7</w:t>
      </w:r>
      <w:r>
        <w:rPr>
          <w:rFonts w:hint="eastAsia" w:ascii="宋体" w:hAnsi="宋体"/>
          <w:b/>
          <w:bCs/>
          <w:spacing w:val="-2"/>
          <w:sz w:val="21"/>
          <w:szCs w:val="21"/>
          <w:highlight w:val="none"/>
          <w:lang w:eastAsia="zh-CN"/>
        </w:rPr>
        <w:t>.4 争议的解决</w:t>
      </w:r>
    </w:p>
    <w:p w14:paraId="3EE47D51">
      <w:pPr>
        <w:tabs>
          <w:tab w:val="left" w:pos="0"/>
        </w:tabs>
        <w:spacing w:after="0" w:line="360" w:lineRule="auto"/>
        <w:ind w:firstLine="412" w:firstLineChars="200"/>
        <w:rPr>
          <w:rFonts w:hint="eastAsia" w:ascii="宋体" w:hAnsi="宋体"/>
          <w:spacing w:val="-2"/>
          <w:sz w:val="21"/>
          <w:szCs w:val="21"/>
          <w:highlight w:val="none"/>
          <w:lang w:eastAsia="zh-CN"/>
        </w:rPr>
      </w:pPr>
      <w:r>
        <w:rPr>
          <w:rFonts w:hint="eastAsia" w:ascii="宋体" w:hAnsi="宋体"/>
          <w:spacing w:val="-2"/>
          <w:sz w:val="21"/>
          <w:szCs w:val="21"/>
          <w:highlight w:val="none"/>
          <w:lang w:eastAsia="zh-CN"/>
        </w:rPr>
        <w:t>甲乙双方就履行本协议发生的争议，应首先通过友好协商解决。甲乙双方不能协商解决的，应向甲方所在地人民法院提起诉讼。</w:t>
      </w:r>
    </w:p>
    <w:p w14:paraId="5C04DEEF">
      <w:pPr>
        <w:spacing w:after="0" w:line="360" w:lineRule="auto"/>
        <w:ind w:firstLine="414" w:firstLineChars="200"/>
        <w:rPr>
          <w:rFonts w:hint="eastAsia"/>
          <w:b/>
          <w:bCs/>
          <w:spacing w:val="-2"/>
          <w:sz w:val="21"/>
          <w:highlight w:val="none"/>
          <w:lang w:eastAsia="zh-CN"/>
        </w:rPr>
      </w:pPr>
      <w:r>
        <w:rPr>
          <w:rFonts w:hint="eastAsia"/>
          <w:b/>
          <w:bCs/>
          <w:spacing w:val="-2"/>
          <w:sz w:val="21"/>
          <w:highlight w:val="none"/>
          <w:lang w:eastAsia="zh-CN"/>
        </w:rPr>
        <w:t>1.</w:t>
      </w:r>
      <w:r>
        <w:rPr>
          <w:rFonts w:hint="eastAsia"/>
          <w:b/>
          <w:bCs/>
          <w:spacing w:val="-2"/>
          <w:sz w:val="21"/>
          <w:highlight w:val="none"/>
          <w:lang w:val="en-US" w:eastAsia="zh-CN"/>
        </w:rPr>
        <w:t>7</w:t>
      </w:r>
      <w:r>
        <w:rPr>
          <w:rFonts w:hint="eastAsia"/>
          <w:b/>
          <w:bCs/>
          <w:spacing w:val="-2"/>
          <w:sz w:val="21"/>
          <w:highlight w:val="none"/>
          <w:lang w:eastAsia="zh-CN"/>
        </w:rPr>
        <w:t>.5 法律责任</w:t>
      </w:r>
    </w:p>
    <w:p w14:paraId="5DC5E34E">
      <w:pPr>
        <w:pStyle w:val="6"/>
        <w:adjustRightInd/>
        <w:spacing w:after="0" w:line="360" w:lineRule="auto"/>
        <w:ind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由于本协议任何一方当事人的过错，造成本协议不能履行或者不能完全履行的，由有过错的一方依法承担违约责任；如属双方当事人的过错，则根据甲乙双方当事人过错的实际情况，由甲乙双方当事人分别承担各自应负的违约责任。</w:t>
      </w:r>
    </w:p>
    <w:p w14:paraId="7A0B0F91">
      <w:pPr>
        <w:pStyle w:val="6"/>
        <w:adjustRightInd/>
        <w:spacing w:after="0" w:line="360" w:lineRule="auto"/>
        <w:ind w:firstLineChars="200"/>
        <w:rPr>
          <w:rFonts w:hint="eastAsia" w:ascii="宋体" w:hAnsi="宋体"/>
          <w:szCs w:val="21"/>
          <w:highlight w:val="none"/>
        </w:rPr>
      </w:pPr>
      <w:r>
        <w:rPr>
          <w:rFonts w:hint="eastAsia" w:ascii="宋体" w:hAnsi="宋体" w:eastAsia="宋体" w:cs="Times New Roman"/>
          <w:szCs w:val="21"/>
          <w:highlight w:val="none"/>
        </w:rPr>
        <w:t>若发生违约情形，违约方依法依约承担其相应</w:t>
      </w:r>
      <w:r>
        <w:rPr>
          <w:rFonts w:hint="eastAsia" w:ascii="宋体" w:hAnsi="宋体"/>
          <w:szCs w:val="21"/>
          <w:highlight w:val="none"/>
        </w:rPr>
        <w:t>法律责任后，除非守约方同意终止本协议的，本协议仍须继续履行。</w:t>
      </w:r>
    </w:p>
    <w:p w14:paraId="6B620923">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8</w:t>
      </w:r>
      <w:r>
        <w:rPr>
          <w:rFonts w:hint="eastAsia" w:ascii="宋体" w:hAnsi="宋体"/>
          <w:b/>
          <w:bCs/>
          <w:spacing w:val="-2"/>
          <w:sz w:val="21"/>
          <w:szCs w:val="21"/>
          <w:highlight w:val="none"/>
          <w:lang w:eastAsia="zh-CN"/>
        </w:rPr>
        <w:t xml:space="preserve"> 附则</w:t>
      </w:r>
    </w:p>
    <w:p w14:paraId="54D0CD5B">
      <w:pPr>
        <w:tabs>
          <w:tab w:val="left" w:pos="0"/>
        </w:tabs>
        <w:spacing w:after="0" w:line="360" w:lineRule="auto"/>
        <w:ind w:firstLine="412" w:firstLineChars="200"/>
        <w:rPr>
          <w:rFonts w:hint="eastAsia" w:ascii="宋体" w:hAnsi="宋体"/>
          <w:sz w:val="21"/>
          <w:szCs w:val="21"/>
          <w:highlight w:val="none"/>
          <w:lang w:eastAsia="zh-CN"/>
        </w:rPr>
      </w:pPr>
      <w:r>
        <w:rPr>
          <w:rFonts w:hint="eastAsia" w:ascii="宋体" w:hAnsi="宋体"/>
          <w:bCs/>
          <w:spacing w:val="-2"/>
          <w:sz w:val="21"/>
          <w:szCs w:val="21"/>
          <w:highlight w:val="none"/>
          <w:lang w:eastAsia="zh-CN"/>
        </w:rPr>
        <w:t>1.</w:t>
      </w:r>
      <w:r>
        <w:rPr>
          <w:rFonts w:hint="eastAsia" w:ascii="宋体" w:hAnsi="宋体"/>
          <w:bCs/>
          <w:spacing w:val="-2"/>
          <w:sz w:val="21"/>
          <w:szCs w:val="21"/>
          <w:highlight w:val="none"/>
          <w:lang w:val="en-US" w:eastAsia="zh-CN"/>
        </w:rPr>
        <w:t>8</w:t>
      </w:r>
      <w:r>
        <w:rPr>
          <w:rFonts w:hint="eastAsia" w:ascii="宋体" w:hAnsi="宋体"/>
          <w:bCs/>
          <w:spacing w:val="-2"/>
          <w:sz w:val="21"/>
          <w:szCs w:val="21"/>
          <w:highlight w:val="none"/>
          <w:lang w:eastAsia="zh-CN"/>
        </w:rPr>
        <w:t>.1</w:t>
      </w:r>
      <w:r>
        <w:rPr>
          <w:rFonts w:hint="eastAsia" w:ascii="宋体" w:hAnsi="宋体"/>
          <w:sz w:val="21"/>
          <w:szCs w:val="21"/>
          <w:highlight w:val="none"/>
          <w:lang w:eastAsia="zh-CN"/>
        </w:rPr>
        <w:t>乙方按本协议出具的各险种保单作为本协议的有效组成部分，保单与本协议矛盾、冲突或不一致之处，以本协议内容为准，本协议另有明确约定的情况除外。</w:t>
      </w:r>
    </w:p>
    <w:p w14:paraId="1B609606">
      <w:pPr>
        <w:tabs>
          <w:tab w:val="left" w:pos="0"/>
        </w:tabs>
        <w:spacing w:after="0" w:line="360" w:lineRule="auto"/>
        <w:ind w:firstLine="412" w:firstLineChars="200"/>
        <w:rPr>
          <w:rFonts w:hint="eastAsia"/>
          <w:highlight w:val="none"/>
          <w:lang w:eastAsia="zh-CN"/>
        </w:rPr>
      </w:pPr>
      <w:r>
        <w:rPr>
          <w:rFonts w:hint="eastAsia" w:ascii="宋体" w:hAnsi="宋体"/>
          <w:bCs/>
          <w:spacing w:val="-2"/>
          <w:sz w:val="21"/>
          <w:szCs w:val="21"/>
          <w:highlight w:val="none"/>
          <w:lang w:eastAsia="zh-CN"/>
        </w:rPr>
        <w:t>1.</w:t>
      </w:r>
      <w:r>
        <w:rPr>
          <w:rFonts w:hint="eastAsia" w:ascii="宋体" w:hAnsi="宋体"/>
          <w:spacing w:val="-2"/>
          <w:sz w:val="21"/>
          <w:szCs w:val="21"/>
          <w:highlight w:val="none"/>
          <w:lang w:val="en-US" w:eastAsia="zh-CN"/>
        </w:rPr>
        <w:t>8</w:t>
      </w:r>
      <w:r>
        <w:rPr>
          <w:rFonts w:hint="eastAsia" w:ascii="宋体" w:hAnsi="宋体"/>
          <w:spacing w:val="-2"/>
          <w:sz w:val="21"/>
          <w:szCs w:val="21"/>
          <w:highlight w:val="none"/>
          <w:lang w:eastAsia="zh-CN"/>
        </w:rPr>
        <w:t>.2 本协议适用中华人民共和国有关法律。</w:t>
      </w:r>
    </w:p>
    <w:p w14:paraId="00A9C4A1">
      <w:pPr>
        <w:pStyle w:val="6"/>
        <w:adjustRightInd/>
        <w:spacing w:after="0" w:line="360" w:lineRule="auto"/>
        <w:ind w:firstLine="412" w:firstLineChars="200"/>
        <w:rPr>
          <w:rFonts w:hint="eastAsia" w:ascii="宋体" w:hAnsi="宋体"/>
          <w:spacing w:val="-2"/>
          <w:szCs w:val="21"/>
          <w:highlight w:val="none"/>
        </w:rPr>
      </w:pPr>
      <w:r>
        <w:rPr>
          <w:rFonts w:hint="eastAsia" w:ascii="宋体" w:hAnsi="宋体"/>
          <w:bCs/>
          <w:spacing w:val="-2"/>
          <w:szCs w:val="21"/>
          <w:highlight w:val="none"/>
        </w:rPr>
        <w:t>1.</w:t>
      </w:r>
      <w:r>
        <w:rPr>
          <w:rFonts w:hint="eastAsia" w:ascii="宋体" w:hAnsi="宋体"/>
          <w:spacing w:val="-2"/>
          <w:szCs w:val="21"/>
          <w:highlight w:val="none"/>
          <w:lang w:val="en-US" w:eastAsia="zh-CN"/>
        </w:rPr>
        <w:t>8</w:t>
      </w:r>
      <w:r>
        <w:rPr>
          <w:rFonts w:hint="eastAsia" w:ascii="宋体" w:hAnsi="宋体"/>
          <w:spacing w:val="-2"/>
          <w:szCs w:val="21"/>
          <w:highlight w:val="none"/>
        </w:rPr>
        <w:t>.3 本协议壹式陆份，甲方、乙方各执贰份，具有同等法律效力。</w:t>
      </w:r>
    </w:p>
    <w:p w14:paraId="6B159E1E">
      <w:pPr>
        <w:pStyle w:val="6"/>
        <w:adjustRightInd/>
        <w:spacing w:after="0" w:line="360" w:lineRule="auto"/>
        <w:ind w:firstLine="412" w:firstLineChars="200"/>
        <w:rPr>
          <w:rFonts w:hint="eastAsia" w:ascii="宋体" w:hAnsi="宋体"/>
          <w:spacing w:val="-2"/>
          <w:szCs w:val="21"/>
          <w:highlight w:val="none"/>
          <w:lang w:bidi="en-US"/>
        </w:rPr>
      </w:pPr>
      <w:r>
        <w:rPr>
          <w:rFonts w:hint="eastAsia" w:ascii="宋体" w:hAnsi="宋体"/>
          <w:spacing w:val="-2"/>
          <w:szCs w:val="21"/>
          <w:highlight w:val="none"/>
        </w:rPr>
        <w:t>附件：</w:t>
      </w:r>
      <w:r>
        <w:rPr>
          <w:rFonts w:hint="eastAsia" w:ascii="宋体" w:hAnsi="宋体"/>
          <w:spacing w:val="-2"/>
          <w:szCs w:val="21"/>
          <w:highlight w:val="none"/>
          <w:lang w:bidi="en-US"/>
        </w:rPr>
        <w:t>工程险索赔资料清单</w:t>
      </w:r>
    </w:p>
    <w:p w14:paraId="37E3793C">
      <w:pPr>
        <w:pStyle w:val="6"/>
        <w:spacing w:before="50" w:line="360" w:lineRule="auto"/>
        <w:ind w:firstLine="412" w:firstLineChars="200"/>
        <w:rPr>
          <w:rFonts w:hint="eastAsia" w:ascii="宋体" w:hAnsi="宋体"/>
          <w:spacing w:val="-2"/>
          <w:szCs w:val="21"/>
          <w:highlight w:val="none"/>
        </w:rPr>
      </w:pPr>
      <w:r>
        <w:rPr>
          <w:rFonts w:hint="eastAsia" w:ascii="宋体" w:hAnsi="宋体"/>
          <w:spacing w:val="-2"/>
          <w:szCs w:val="21"/>
          <w:highlight w:val="none"/>
        </w:rPr>
        <w:t>（以下无正文）</w:t>
      </w:r>
    </w:p>
    <w:p w14:paraId="5F77E474">
      <w:pPr>
        <w:pStyle w:val="6"/>
        <w:spacing w:before="50" w:line="360" w:lineRule="auto"/>
        <w:ind w:firstLine="412" w:firstLineChars="200"/>
        <w:rPr>
          <w:rFonts w:hint="eastAsia" w:ascii="宋体" w:hAnsi="宋体"/>
          <w:spacing w:val="-2"/>
          <w:szCs w:val="21"/>
          <w:highlight w:val="none"/>
        </w:rPr>
      </w:pPr>
      <w:r>
        <w:rPr>
          <w:rFonts w:hint="eastAsia" w:ascii="宋体" w:hAnsi="宋体"/>
          <w:spacing w:val="-2"/>
          <w:szCs w:val="21"/>
          <w:highlight w:val="none"/>
        </w:rPr>
        <w:t xml:space="preserve">甲方签章：                          </w:t>
      </w:r>
      <w:r>
        <w:rPr>
          <w:rFonts w:hint="eastAsia" w:ascii="宋体" w:hAnsi="宋体"/>
          <w:kern w:val="2"/>
          <w:szCs w:val="21"/>
          <w:highlight w:val="none"/>
        </w:rPr>
        <w:t>乙方签章</w:t>
      </w:r>
      <w:r>
        <w:rPr>
          <w:rFonts w:hint="eastAsia" w:ascii="宋体" w:hAnsi="宋体"/>
          <w:spacing w:val="-2"/>
          <w:szCs w:val="21"/>
          <w:highlight w:val="none"/>
        </w:rPr>
        <w:t>：</w:t>
      </w:r>
    </w:p>
    <w:p w14:paraId="2D41A89F">
      <w:pPr>
        <w:pStyle w:val="6"/>
        <w:spacing w:before="50" w:line="360" w:lineRule="auto"/>
        <w:ind w:firstLine="0"/>
        <w:rPr>
          <w:rFonts w:hint="eastAsia" w:ascii="宋体" w:hAnsi="宋体"/>
          <w:kern w:val="2"/>
          <w:szCs w:val="21"/>
          <w:highlight w:val="none"/>
        </w:rPr>
      </w:pPr>
      <w:r>
        <w:rPr>
          <w:rFonts w:hint="eastAsia" w:ascii="宋体" w:hAnsi="宋体"/>
          <w:spacing w:val="-2"/>
          <w:szCs w:val="21"/>
          <w:highlight w:val="none"/>
        </w:rPr>
        <w:t xml:space="preserve">    年   月   日                        年   月   日</w:t>
      </w:r>
      <w:r>
        <w:rPr>
          <w:rFonts w:hint="eastAsia" w:ascii="宋体" w:hAnsi="宋体"/>
          <w:kern w:val="2"/>
          <w:szCs w:val="21"/>
          <w:highlight w:val="none"/>
        </w:rPr>
        <w:t>：</w:t>
      </w:r>
      <w:r>
        <w:rPr>
          <w:rFonts w:hint="eastAsia" w:ascii="宋体" w:hAnsi="宋体"/>
          <w:spacing w:val="-2"/>
          <w:szCs w:val="21"/>
          <w:highlight w:val="none"/>
          <w:lang w:bidi="en-US"/>
        </w:rPr>
        <w:t xml:space="preserve">   </w:t>
      </w:r>
      <w:r>
        <w:rPr>
          <w:rFonts w:hint="eastAsia" w:ascii="宋体" w:hAnsi="宋体"/>
          <w:kern w:val="2"/>
          <w:szCs w:val="21"/>
          <w:highlight w:val="none"/>
        </w:rPr>
        <w:t xml:space="preserve"> </w:t>
      </w:r>
    </w:p>
    <w:p w14:paraId="679ADFC0">
      <w:pPr>
        <w:tabs>
          <w:tab w:val="left" w:pos="1350"/>
          <w:tab w:val="center" w:pos="4819"/>
        </w:tabs>
        <w:rPr>
          <w:rFonts w:hint="eastAsia" w:ascii="宋体" w:hAnsi="宋体"/>
          <w:b/>
          <w:sz w:val="24"/>
          <w:szCs w:val="24"/>
          <w:highlight w:val="none"/>
          <w:lang w:eastAsia="zh-CN"/>
        </w:rPr>
      </w:pPr>
      <w:r>
        <w:rPr>
          <w:rFonts w:ascii="宋体" w:hAnsi="宋体"/>
          <w:b/>
          <w:sz w:val="24"/>
          <w:szCs w:val="24"/>
          <w:highlight w:val="none"/>
          <w:lang w:eastAsia="zh-CN"/>
        </w:rPr>
        <w:br w:type="page"/>
      </w:r>
      <w:r>
        <w:rPr>
          <w:rFonts w:hint="eastAsia" w:ascii="宋体" w:hAnsi="宋体"/>
          <w:b/>
          <w:sz w:val="24"/>
          <w:szCs w:val="24"/>
          <w:highlight w:val="none"/>
          <w:lang w:eastAsia="zh-CN"/>
        </w:rPr>
        <w:t>附件：</w:t>
      </w:r>
    </w:p>
    <w:p w14:paraId="6A57D3BC">
      <w:pPr>
        <w:tabs>
          <w:tab w:val="left" w:pos="1350"/>
          <w:tab w:val="center" w:pos="4819"/>
        </w:tabs>
        <w:jc w:val="center"/>
        <w:rPr>
          <w:rFonts w:hint="eastAsia" w:ascii="宋体" w:hAnsi="宋体"/>
          <w:b/>
          <w:sz w:val="24"/>
          <w:szCs w:val="24"/>
          <w:highlight w:val="none"/>
          <w:lang w:eastAsia="zh-CN"/>
        </w:rPr>
      </w:pPr>
      <w:r>
        <w:rPr>
          <w:rFonts w:hint="eastAsia" w:ascii="宋体" w:hAnsi="宋体"/>
          <w:b/>
          <w:sz w:val="24"/>
          <w:szCs w:val="24"/>
          <w:highlight w:val="none"/>
          <w:lang w:eastAsia="zh-CN"/>
        </w:rPr>
        <w:t>工程保险索赔资料清单</w:t>
      </w:r>
    </w:p>
    <w:p w14:paraId="19CBBFE6">
      <w:pPr>
        <w:tabs>
          <w:tab w:val="left" w:pos="1350"/>
          <w:tab w:val="center" w:pos="4819"/>
        </w:tabs>
        <w:jc w:val="center"/>
        <w:rPr>
          <w:rFonts w:hint="eastAsia" w:ascii="宋体" w:hAnsi="宋体"/>
          <w:b/>
          <w:sz w:val="24"/>
          <w:szCs w:val="24"/>
          <w:highlight w:val="none"/>
          <w:lang w:eastAsia="zh-CN"/>
        </w:rPr>
      </w:pPr>
    </w:p>
    <w:p w14:paraId="3D0E29CB">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1、发生物质损失时，按实际需要提供的单证包括：</w:t>
      </w:r>
    </w:p>
    <w:p w14:paraId="3153A392">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（1）保单正本复印件、出险</w:t>
      </w:r>
      <w:r>
        <w:rPr>
          <w:rFonts w:hint="eastAsia" w:ascii="宋体" w:hAnsi="宋体"/>
          <w:sz w:val="24"/>
          <w:szCs w:val="24"/>
          <w:highlight w:val="none"/>
          <w:lang w:val="en-US" w:eastAsia="zh-CN"/>
        </w:rPr>
        <w:t>项目</w:t>
      </w:r>
      <w:r>
        <w:rPr>
          <w:rFonts w:hint="eastAsia" w:ascii="宋体" w:hAnsi="宋体"/>
          <w:sz w:val="24"/>
          <w:szCs w:val="24"/>
          <w:highlight w:val="none"/>
          <w:lang w:eastAsia="zh-CN"/>
        </w:rPr>
        <w:t>投保工程量清单；</w:t>
      </w:r>
    </w:p>
    <w:p w14:paraId="5D8B6B33">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（2）出险通知书及索赔申请书；</w:t>
      </w:r>
    </w:p>
    <w:p w14:paraId="33CB723B">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（3）经监理认可的财产损失清单、施救清单、修复工程量清单；</w:t>
      </w:r>
    </w:p>
    <w:p w14:paraId="761F477C">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（4）对业主施工合同、可证明施工过程的资料（可以是经监理确认的施工日志、或监理日志、或验收资料、或现场照片）；</w:t>
      </w:r>
    </w:p>
    <w:p w14:paraId="3D2A9E8D">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（5）保险公估公司出具的损失理算报告（聘请公估公司时提供）；</w:t>
      </w:r>
    </w:p>
    <w:p w14:paraId="7B1141F0">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（6）事故出险证明材料，可以是新闻媒体报道的报纸或电脑截图、或其它满足事故鉴定要求的直接或间接资料（含施工单位经监理确认后的自测的资料,但必须有当时的图片或视频资料备查）；</w:t>
      </w:r>
    </w:p>
    <w:p w14:paraId="0E2951F3">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（7）财产修复或重新购置发票（或加盖公章的复印件）或修复费用预算表；</w:t>
      </w:r>
    </w:p>
    <w:p w14:paraId="5DC6BE0A">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（8）诉讼材料,包括法院判决书、调解书（发生诉讼时提供）；</w:t>
      </w:r>
    </w:p>
    <w:p w14:paraId="79FA699C">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（9）现场照片（保险人未进行现场查勘时提供）；</w:t>
      </w:r>
    </w:p>
    <w:p w14:paraId="730E6E7D">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（10）权益转让书（涉及第三方赔偿时提供）；</w:t>
      </w:r>
    </w:p>
    <w:p w14:paraId="25F5BC06">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（11）预付赔款申请书、赔款收据（发生预付赔款时提供）；</w:t>
      </w:r>
    </w:p>
    <w:p w14:paraId="25F2D480">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（12）对于被保险人所拥有的权属不清的财产损失，须提供固定资产卡片或被保险人出具的书面证明。</w:t>
      </w:r>
    </w:p>
    <w:p w14:paraId="76CB99FF">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2、发生第三者责任事故时，需提供的单证包括：</w:t>
      </w:r>
    </w:p>
    <w:p w14:paraId="496756A1">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（1）出险通知书（含传真件）；</w:t>
      </w:r>
    </w:p>
    <w:p w14:paraId="63A51B8A">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（2）索赔申请书；</w:t>
      </w:r>
    </w:p>
    <w:p w14:paraId="1DD30486">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（3）伤者医疗费收据或发票、门诊病历本复印件、出院证明；</w:t>
      </w:r>
    </w:p>
    <w:p w14:paraId="4114ED38">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（4）伤残鉴定书（造成第三者伤残时）；</w:t>
      </w:r>
    </w:p>
    <w:p w14:paraId="19B85B03">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（5）公安部门或相关医疗机构出具的死亡证明（造成第三者死亡时）；</w:t>
      </w:r>
    </w:p>
    <w:p w14:paraId="147A14FF">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（6）伤者所在单位出具的收入证明（涉及误工费时）；</w:t>
      </w:r>
    </w:p>
    <w:p w14:paraId="15207C6B">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（7）伤者护理费证明（涉及护理费时）；</w:t>
      </w:r>
    </w:p>
    <w:p w14:paraId="6960FC8D">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（8）被抚养人供养证明；</w:t>
      </w:r>
    </w:p>
    <w:p w14:paraId="2AB115FA">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（9）交通报销凭证、住宿费报销凭证；</w:t>
      </w:r>
    </w:p>
    <w:p w14:paraId="0623A063">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（10）公估公司出具的损失理算报告（聘请公估公司时提供）；</w:t>
      </w:r>
    </w:p>
    <w:p w14:paraId="7D4B70DD">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（11）权益转让书（涉及其他责任方时）；</w:t>
      </w:r>
    </w:p>
    <w:p w14:paraId="6D7AFDBD">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（12）法院民事赔偿判决书（调解书）或其他诉讼材料（发生诉讼时）；</w:t>
      </w:r>
    </w:p>
    <w:p w14:paraId="0C259298">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（13）照片（仅发生财产损失且在保险公司未进行现场查勘时提供）；</w:t>
      </w:r>
    </w:p>
    <w:p w14:paraId="797534FB">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（14）财产损失清单及相关费用原始单据（如果有，如果没有则按出险时市场购置价或费用价格）</w:t>
      </w:r>
    </w:p>
    <w:p w14:paraId="7C992EA0">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bookmarkStart w:id="112" w:name="_Toc498844807"/>
      <w:r>
        <w:rPr>
          <w:color w:val="auto"/>
          <w:highlight w:val="none"/>
          <w:lang w:eastAsia="zh-CN"/>
        </w:rPr>
        <w:br w:type="page"/>
      </w:r>
      <w:bookmarkStart w:id="113" w:name="_Toc21075"/>
      <w:bookmarkStart w:id="114" w:name="_Toc9453"/>
      <w:r>
        <w:rPr>
          <w:rFonts w:hint="eastAsia" w:ascii="宋体" w:hAnsi="宋体" w:eastAsia="宋体" w:cs="宋体"/>
          <w:sz w:val="28"/>
          <w:szCs w:val="28"/>
          <w:lang w:val="en-US" w:eastAsia="zh-CN"/>
        </w:rPr>
        <w:t>二、保险</w:t>
      </w:r>
      <w:bookmarkStart w:id="115" w:name="_Toc393898447"/>
      <w:r>
        <w:rPr>
          <w:rFonts w:hint="eastAsia" w:ascii="宋体" w:hAnsi="宋体" w:eastAsia="宋体" w:cs="宋体"/>
          <w:sz w:val="28"/>
          <w:szCs w:val="28"/>
          <w:lang w:val="en-US" w:eastAsia="zh-CN"/>
        </w:rPr>
        <w:t>方案</w:t>
      </w:r>
      <w:bookmarkEnd w:id="112"/>
      <w:bookmarkEnd w:id="113"/>
      <w:bookmarkEnd w:id="114"/>
    </w:p>
    <w:bookmarkEnd w:id="115"/>
    <w:p w14:paraId="338385B7">
      <w:pPr>
        <w:spacing w:line="360" w:lineRule="auto"/>
        <w:jc w:val="center"/>
        <w:rPr>
          <w:rFonts w:hint="eastAsia" w:ascii="宋体" w:hAnsi="宋体"/>
          <w:b/>
          <w:bCs/>
          <w:sz w:val="28"/>
          <w:szCs w:val="28"/>
          <w:highlight w:val="none"/>
          <w:lang w:eastAsia="zh-CN"/>
        </w:rPr>
      </w:pPr>
      <w:bookmarkStart w:id="116" w:name="_Toc243639256"/>
      <w:bookmarkStart w:id="117" w:name="_Toc209598969"/>
      <w:bookmarkStart w:id="118" w:name="_Toc395623564"/>
      <w:bookmarkStart w:id="119" w:name="_Toc32253"/>
      <w:bookmarkStart w:id="120" w:name="_Toc211851506"/>
      <w:r>
        <w:rPr>
          <w:rFonts w:hint="eastAsia" w:ascii="宋体" w:hAnsi="宋体"/>
          <w:b/>
          <w:bCs/>
          <w:sz w:val="28"/>
          <w:szCs w:val="28"/>
          <w:highlight w:val="none"/>
          <w:lang w:eastAsia="zh-CN"/>
        </w:rPr>
        <w:t>（一）明细表</w:t>
      </w:r>
    </w:p>
    <w:tbl>
      <w:tblPr>
        <w:tblStyle w:val="22"/>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014"/>
      </w:tblGrid>
      <w:tr w14:paraId="1661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7" w:type="dxa"/>
            <w:gridSpan w:val="2"/>
            <w:noWrap w:val="0"/>
            <w:vAlign w:val="center"/>
          </w:tcPr>
          <w:p w14:paraId="6691863A">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一、投保人名称地址：</w:t>
            </w:r>
          </w:p>
        </w:tc>
      </w:tr>
      <w:tr w14:paraId="713F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48E32126">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投保人名称：</w:t>
            </w:r>
          </w:p>
        </w:tc>
        <w:tc>
          <w:tcPr>
            <w:tcW w:w="7014" w:type="dxa"/>
            <w:noWrap w:val="0"/>
            <w:vAlign w:val="center"/>
          </w:tcPr>
          <w:p w14:paraId="6664C426">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lang w:eastAsia="zh-CN"/>
              </w:rPr>
            </w:pPr>
          </w:p>
        </w:tc>
      </w:tr>
      <w:tr w14:paraId="1B16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1D89C40C">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color w:val="auto"/>
                <w:kern w:val="0"/>
                <w:sz w:val="24"/>
                <w:highlight w:val="none"/>
              </w:rPr>
              <w:t>投保人地址：</w:t>
            </w:r>
          </w:p>
        </w:tc>
        <w:tc>
          <w:tcPr>
            <w:tcW w:w="7014" w:type="dxa"/>
            <w:noWrap w:val="0"/>
            <w:vAlign w:val="center"/>
          </w:tcPr>
          <w:p w14:paraId="3F35E034">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p>
        </w:tc>
      </w:tr>
      <w:tr w14:paraId="1243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27956750">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二、被保险人：</w:t>
            </w:r>
          </w:p>
        </w:tc>
        <w:tc>
          <w:tcPr>
            <w:tcW w:w="7014" w:type="dxa"/>
            <w:noWrap w:val="0"/>
            <w:vAlign w:val="center"/>
          </w:tcPr>
          <w:p w14:paraId="7B02A3E8">
            <w:pPr>
              <w:spacing w:after="0" w:line="360" w:lineRule="auto"/>
              <w:rPr>
                <w:rFonts w:ascii="宋体" w:hAnsi="宋体" w:eastAsia="宋体"/>
                <w:b/>
                <w:szCs w:val="21"/>
                <w:highlight w:val="none"/>
                <w:lang w:eastAsia="zh-CN"/>
              </w:rPr>
            </w:pPr>
            <w:r>
              <w:rPr>
                <w:rFonts w:hint="eastAsia" w:ascii="宋体" w:hAnsi="宋体" w:eastAsia="宋体"/>
                <w:b/>
                <w:sz w:val="24"/>
                <w:szCs w:val="24"/>
                <w:highlight w:val="none"/>
                <w:lang w:eastAsia="zh-CN"/>
              </w:rPr>
              <w:t>①工程所有人：</w:t>
            </w:r>
          </w:p>
          <w:p w14:paraId="2A0559BA">
            <w:pPr>
              <w:spacing w:after="0" w:line="360" w:lineRule="auto"/>
              <w:rPr>
                <w:rFonts w:ascii="宋体" w:hAnsi="宋体" w:eastAsia="宋体"/>
                <w:bCs/>
                <w:szCs w:val="21"/>
                <w:highlight w:val="none"/>
                <w:lang w:eastAsia="zh-CN"/>
              </w:rPr>
            </w:pPr>
            <w:r>
              <w:rPr>
                <w:rFonts w:hint="eastAsia" w:ascii="宋体" w:hAnsi="宋体" w:eastAsia="宋体"/>
                <w:b/>
                <w:sz w:val="24"/>
                <w:szCs w:val="24"/>
                <w:highlight w:val="none"/>
                <w:lang w:eastAsia="zh-CN"/>
              </w:rPr>
              <w:t>②工程承包人</w:t>
            </w:r>
            <w:r>
              <w:rPr>
                <w:rFonts w:hint="eastAsia" w:ascii="宋体" w:hAnsi="宋体" w:eastAsia="宋体" w:cs="宋体"/>
                <w:b/>
                <w:sz w:val="24"/>
                <w:szCs w:val="24"/>
                <w:highlight w:val="none"/>
                <w:lang w:eastAsia="zh-CN"/>
              </w:rPr>
              <w:t>：</w:t>
            </w:r>
          </w:p>
          <w:p w14:paraId="428A4E5E">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lang w:eastAsia="zh-CN"/>
              </w:rPr>
            </w:pPr>
            <w:r>
              <w:rPr>
                <w:rFonts w:hint="eastAsia" w:ascii="宋体" w:hAnsi="宋体" w:eastAsia="宋体"/>
                <w:b/>
                <w:sz w:val="24"/>
                <w:szCs w:val="24"/>
                <w:highlight w:val="none"/>
                <w:lang w:eastAsia="zh-CN"/>
              </w:rPr>
              <w:t>③其他关系方:</w:t>
            </w:r>
            <w:r>
              <w:rPr>
                <w:rFonts w:hint="eastAsia" w:ascii="宋体" w:hAnsi="宋体" w:eastAsia="宋体" w:cs="宋体"/>
                <w:sz w:val="24"/>
                <w:highlight w:val="none"/>
                <w:lang w:eastAsia="zh-CN"/>
              </w:rPr>
              <w:t>工程承包商、分包商，设备和材料制造商、供应商等；工程设计、监理、其他工程建设合同关系方。</w:t>
            </w:r>
          </w:p>
        </w:tc>
      </w:tr>
      <w:tr w14:paraId="59D9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1092EB7C">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三、保险工程名称：</w:t>
            </w:r>
          </w:p>
        </w:tc>
        <w:tc>
          <w:tcPr>
            <w:tcW w:w="7014" w:type="dxa"/>
            <w:noWrap w:val="0"/>
            <w:vAlign w:val="center"/>
          </w:tcPr>
          <w:p w14:paraId="1CCE03DB">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2025年赣定、龙河、龙杨、兴赣高速公路路面病害处治专项工程（以下简称“本项目”）</w:t>
            </w:r>
          </w:p>
        </w:tc>
      </w:tr>
      <w:tr w14:paraId="3343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0639F59D">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四、保险工程地址范围：</w:t>
            </w:r>
          </w:p>
        </w:tc>
        <w:tc>
          <w:tcPr>
            <w:tcW w:w="7014" w:type="dxa"/>
            <w:noWrap w:val="0"/>
            <w:vAlign w:val="center"/>
          </w:tcPr>
          <w:p w14:paraId="311239AE">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lang w:eastAsia="zh-CN"/>
              </w:rPr>
              <w:t>本项目</w:t>
            </w:r>
            <w:r>
              <w:rPr>
                <w:rFonts w:hint="eastAsia" w:ascii="宋体" w:hAnsi="宋体" w:eastAsia="宋体" w:cs="宋体"/>
                <w:snapToGrid/>
                <w:kern w:val="0"/>
                <w:sz w:val="24"/>
                <w:highlight w:val="none"/>
              </w:rPr>
              <w:t>工程所在地，</w:t>
            </w:r>
            <w:r>
              <w:rPr>
                <w:rFonts w:hint="eastAsia" w:ascii="宋体" w:hAnsi="宋体" w:eastAsia="宋体" w:cs="宋体"/>
                <w:snapToGrid w:val="0"/>
                <w:kern w:val="0"/>
                <w:sz w:val="24"/>
                <w:highlight w:val="none"/>
              </w:rPr>
              <w:t>地址范围包括但不限于保险工程项目永久工程所在地及为实施施工专用施工区域（水域）、材料预制构件基地、工程设备和材料运达、存放的场所、取土/石场、弃渣场、搅拌站、工棚/库房等，和其它临时工程、临时建筑、临时设施所在地，上述各地域之间的运输途中以及国内工程物资供货地点至上述地域的内陆运输途中。</w:t>
            </w:r>
          </w:p>
        </w:tc>
      </w:tr>
      <w:tr w14:paraId="2239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7" w:type="dxa"/>
            <w:gridSpan w:val="2"/>
            <w:noWrap w:val="0"/>
            <w:vAlign w:val="center"/>
          </w:tcPr>
          <w:p w14:paraId="33232050">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五、保险项目及保险金额/赔偿限额：</w:t>
            </w:r>
          </w:p>
        </w:tc>
      </w:tr>
      <w:tr w14:paraId="39F5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7" w:type="dxa"/>
            <w:gridSpan w:val="2"/>
            <w:noWrap w:val="0"/>
            <w:vAlign w:val="center"/>
          </w:tcPr>
          <w:p w14:paraId="5855C912">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b/>
                <w:snapToGrid/>
                <w:kern w:val="0"/>
                <w:sz w:val="24"/>
                <w:highlight w:val="none"/>
              </w:rPr>
            </w:pPr>
            <w:r>
              <w:rPr>
                <w:rFonts w:hint="eastAsia" w:ascii="宋体" w:hAnsi="宋体" w:eastAsia="宋体" w:cs="宋体"/>
                <w:b/>
                <w:snapToGrid/>
                <w:kern w:val="0"/>
                <w:sz w:val="24"/>
                <w:highlight w:val="none"/>
              </w:rPr>
              <w:t>第一部分：物质损失部分</w:t>
            </w:r>
          </w:p>
        </w:tc>
      </w:tr>
      <w:tr w14:paraId="2212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12EBB0B6">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snapToGrid/>
                <w:kern w:val="0"/>
                <w:sz w:val="24"/>
                <w:highlight w:val="none"/>
              </w:rPr>
            </w:pPr>
            <w:r>
              <w:rPr>
                <w:rFonts w:hint="eastAsia" w:ascii="宋体" w:hAnsi="宋体" w:eastAsia="宋体" w:cs="宋体"/>
                <w:bCs/>
                <w:snapToGrid/>
                <w:kern w:val="0"/>
                <w:sz w:val="24"/>
                <w:highlight w:val="none"/>
              </w:rPr>
              <w:t>保险金额</w:t>
            </w:r>
          </w:p>
        </w:tc>
        <w:tc>
          <w:tcPr>
            <w:tcW w:w="7014" w:type="dxa"/>
            <w:noWrap w:val="0"/>
            <w:vAlign w:val="center"/>
          </w:tcPr>
          <w:p w14:paraId="7A30259C">
            <w:pPr>
              <w:spacing w:line="240" w:lineRule="auto"/>
              <w:jc w:val="left"/>
              <w:rPr>
                <w:rFonts w:hint="eastAsia" w:ascii="宋体" w:hAnsi="宋体" w:eastAsia="宋体" w:cs="宋体"/>
                <w:b/>
                <w:snapToGrid/>
                <w:kern w:val="0"/>
                <w:sz w:val="24"/>
                <w:highlight w:val="none"/>
              </w:rPr>
            </w:pPr>
            <w:r>
              <w:rPr>
                <w:rFonts w:hint="eastAsia" w:ascii="宋体" w:hAnsi="宋体" w:eastAsia="宋体" w:cs="宋体"/>
                <w:snapToGrid/>
                <w:kern w:val="0"/>
                <w:sz w:val="24"/>
                <w:highlight w:val="none"/>
              </w:rPr>
              <w:t>物质损失部分保险金额为</w:t>
            </w:r>
            <w:r>
              <w:rPr>
                <w:rFonts w:hint="eastAsia" w:ascii="宋体" w:hAnsi="宋体" w:eastAsia="宋体" w:cs="宋体"/>
                <w:snapToGrid/>
                <w:kern w:val="0"/>
                <w:sz w:val="24"/>
                <w:szCs w:val="22"/>
                <w:highlight w:val="none"/>
                <w:lang w:eastAsia="zh-CN"/>
              </w:rPr>
              <w:t>签约</w:t>
            </w:r>
            <w:r>
              <w:rPr>
                <w:rFonts w:hint="eastAsia" w:ascii="宋体" w:hAnsi="宋体" w:eastAsia="宋体" w:cs="宋体"/>
                <w:snapToGrid/>
                <w:kern w:val="0"/>
                <w:sz w:val="24"/>
                <w:highlight w:val="none"/>
              </w:rPr>
              <w:t>合同</w:t>
            </w:r>
            <w:r>
              <w:rPr>
                <w:rFonts w:hint="eastAsia" w:ascii="宋体" w:hAnsi="宋体" w:eastAsia="宋体" w:cs="宋体"/>
                <w:sz w:val="24"/>
                <w:szCs w:val="22"/>
                <w:highlight w:val="none"/>
                <w:lang w:val="en-US" w:eastAsia="zh-CN"/>
              </w:rPr>
              <w:t>RMB</w:t>
            </w:r>
            <w:r>
              <w:rPr>
                <w:rFonts w:hint="eastAsia" w:ascii="仿宋" w:hAnsi="仿宋" w:eastAsia="仿宋" w:cs="仿宋"/>
                <w:bCs/>
                <w:sz w:val="24"/>
                <w:szCs w:val="24"/>
                <w:highlight w:val="none"/>
                <w:lang w:val="en-US" w:eastAsia="zh-CN"/>
              </w:rPr>
              <w:t>31844367</w:t>
            </w:r>
            <w:r>
              <w:rPr>
                <w:rFonts w:hint="eastAsia" w:ascii="宋体" w:hAnsi="宋体" w:eastAsia="宋体" w:cs="宋体"/>
                <w:sz w:val="24"/>
                <w:szCs w:val="22"/>
                <w:highlight w:val="none"/>
                <w:lang w:val="en-US" w:eastAsia="zh-CN"/>
              </w:rPr>
              <w:t>元。</w:t>
            </w:r>
          </w:p>
        </w:tc>
      </w:tr>
      <w:tr w14:paraId="5FA8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977" w:type="dxa"/>
            <w:gridSpan w:val="2"/>
            <w:noWrap w:val="0"/>
            <w:vAlign w:val="center"/>
          </w:tcPr>
          <w:p w14:paraId="12150B79">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b/>
                <w:snapToGrid/>
                <w:kern w:val="0"/>
                <w:sz w:val="24"/>
                <w:highlight w:val="none"/>
              </w:rPr>
            </w:pPr>
            <w:r>
              <w:rPr>
                <w:rFonts w:hint="eastAsia" w:ascii="宋体" w:hAnsi="宋体" w:eastAsia="宋体" w:cs="宋体"/>
                <w:b/>
                <w:snapToGrid/>
                <w:kern w:val="0"/>
                <w:sz w:val="24"/>
                <w:highlight w:val="none"/>
              </w:rPr>
              <w:t>第二部分：第三者责任部分</w:t>
            </w:r>
          </w:p>
        </w:tc>
      </w:tr>
      <w:tr w14:paraId="11C2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02813B31">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赔偿限额：</w:t>
            </w:r>
          </w:p>
        </w:tc>
        <w:tc>
          <w:tcPr>
            <w:tcW w:w="7014" w:type="dxa"/>
            <w:noWrap w:val="0"/>
            <w:vAlign w:val="center"/>
          </w:tcPr>
          <w:p w14:paraId="5A48406F">
            <w:pPr>
              <w:spacing w:line="240" w:lineRule="auto"/>
              <w:ind w:firstLine="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每次事故及累计赔偿限额：</w:t>
            </w:r>
            <w:r>
              <w:rPr>
                <w:rFonts w:hint="eastAsia" w:ascii="宋体" w:hAnsi="宋体" w:cs="宋体"/>
                <w:kern w:val="0"/>
                <w:sz w:val="24"/>
                <w:highlight w:val="none"/>
                <w:lang w:val="en-US" w:eastAsia="zh-CN"/>
              </w:rPr>
              <w:t xml:space="preserve"> </w:t>
            </w:r>
            <w:r>
              <w:rPr>
                <w:rFonts w:hint="eastAsia" w:ascii="宋体" w:hAnsi="宋体" w:cs="Times New Roman"/>
                <w:sz w:val="21"/>
                <w:szCs w:val="21"/>
                <w:highlight w:val="none"/>
                <w:u w:val="single"/>
                <w:lang w:val="en-US" w:eastAsia="zh-CN"/>
              </w:rPr>
              <w:t xml:space="preserve">            </w:t>
            </w:r>
            <w:r>
              <w:rPr>
                <w:rFonts w:hint="eastAsia" w:ascii="宋体" w:hAnsi="宋体"/>
                <w:bCs/>
                <w:sz w:val="21"/>
                <w:szCs w:val="21"/>
                <w:highlight w:val="none"/>
                <w:u w:val="single"/>
                <w:lang w:val="en-US" w:eastAsia="zh-CN"/>
              </w:rPr>
              <w:t xml:space="preserve">  </w:t>
            </w:r>
            <w:r>
              <w:rPr>
                <w:rFonts w:hint="eastAsia" w:ascii="宋体" w:hAnsi="宋体" w:eastAsia="宋体" w:cs="宋体"/>
                <w:kern w:val="0"/>
                <w:sz w:val="24"/>
                <w:highlight w:val="none"/>
              </w:rPr>
              <w:t>万元</w:t>
            </w:r>
            <w:r>
              <w:rPr>
                <w:rFonts w:hint="eastAsia" w:ascii="宋体" w:hAnsi="宋体" w:cs="宋体"/>
                <w:kern w:val="0"/>
                <w:sz w:val="24"/>
                <w:highlight w:val="none"/>
                <w:lang w:val="en-US" w:eastAsia="zh-CN"/>
              </w:rPr>
              <w:t xml:space="preserve">  </w:t>
            </w:r>
          </w:p>
          <w:p w14:paraId="6C8A0C88">
            <w:pPr>
              <w:spacing w:line="240" w:lineRule="auto"/>
              <w:jc w:val="left"/>
              <w:rPr>
                <w:rFonts w:hint="eastAsia" w:ascii="宋体" w:hAnsi="宋体" w:eastAsia="宋体" w:cs="宋体"/>
                <w:highlight w:val="none"/>
              </w:rPr>
            </w:pPr>
            <w:r>
              <w:rPr>
                <w:rFonts w:hint="eastAsia" w:ascii="宋体" w:hAnsi="宋体" w:eastAsia="宋体" w:cs="宋体"/>
                <w:kern w:val="0"/>
                <w:sz w:val="24"/>
                <w:highlight w:val="none"/>
              </w:rPr>
              <w:t>每人每次事故责任限额：</w:t>
            </w:r>
            <w:r>
              <w:rPr>
                <w:rFonts w:hint="eastAsia" w:ascii="宋体" w:hAnsi="宋体" w:cs="Times New Roman"/>
                <w:sz w:val="21"/>
                <w:szCs w:val="21"/>
                <w:highlight w:val="none"/>
                <w:u w:val="single"/>
                <w:lang w:val="en-US" w:eastAsia="zh-CN"/>
              </w:rPr>
              <w:t xml:space="preserve">                  </w:t>
            </w:r>
            <w:r>
              <w:rPr>
                <w:rFonts w:hint="eastAsia" w:ascii="宋体" w:hAnsi="宋体"/>
                <w:bCs/>
                <w:sz w:val="21"/>
                <w:szCs w:val="21"/>
                <w:highlight w:val="none"/>
                <w:u w:val="single"/>
                <w:lang w:val="en-US" w:eastAsia="zh-CN"/>
              </w:rPr>
              <w:t xml:space="preserve">  </w:t>
            </w:r>
            <w:r>
              <w:rPr>
                <w:rFonts w:hint="eastAsia" w:ascii="宋体" w:hAnsi="宋体" w:eastAsia="宋体" w:cs="宋体"/>
                <w:kern w:val="0"/>
                <w:sz w:val="24"/>
                <w:highlight w:val="none"/>
              </w:rPr>
              <w:t>万元</w:t>
            </w:r>
          </w:p>
          <w:p w14:paraId="1AC18E16">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注：以上“事故”是指每一次事故或由同一原因/同一事件引起的一系列事故。</w:t>
            </w:r>
          </w:p>
        </w:tc>
      </w:tr>
      <w:tr w14:paraId="358C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977" w:type="dxa"/>
            <w:gridSpan w:val="2"/>
            <w:noWrap w:val="0"/>
            <w:vAlign w:val="center"/>
          </w:tcPr>
          <w:p w14:paraId="2E19331A">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snapToGrid/>
                <w:kern w:val="0"/>
                <w:sz w:val="24"/>
                <w:highlight w:val="none"/>
              </w:rPr>
            </w:pPr>
            <w:r>
              <w:rPr>
                <w:rFonts w:hint="eastAsia" w:ascii="宋体" w:hAnsi="宋体" w:eastAsia="宋体" w:cs="宋体"/>
                <w:b/>
                <w:snapToGrid/>
                <w:kern w:val="0"/>
                <w:sz w:val="24"/>
                <w:highlight w:val="none"/>
              </w:rPr>
              <w:t>六、保险期间：</w:t>
            </w:r>
          </w:p>
        </w:tc>
      </w:tr>
      <w:tr w14:paraId="1E66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44E870AB">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snapToGrid/>
                <w:kern w:val="0"/>
                <w:sz w:val="24"/>
                <w:highlight w:val="none"/>
              </w:rPr>
            </w:pPr>
            <w:r>
              <w:rPr>
                <w:rFonts w:hint="eastAsia" w:ascii="宋体" w:hAnsi="宋体" w:eastAsia="宋体" w:cs="宋体"/>
                <w:snapToGrid/>
                <w:kern w:val="0"/>
                <w:sz w:val="24"/>
                <w:highlight w:val="none"/>
              </w:rPr>
              <w:t>建</w:t>
            </w:r>
            <w:r>
              <w:rPr>
                <w:rFonts w:hint="eastAsia" w:ascii="宋体" w:hAnsi="宋体" w:eastAsia="宋体" w:cs="宋体"/>
                <w:snapToGrid/>
                <w:kern w:val="0"/>
                <w:sz w:val="24"/>
                <w:highlight w:val="none"/>
                <w:lang w:eastAsia="zh-CN"/>
              </w:rPr>
              <w:t>设</w:t>
            </w:r>
            <w:r>
              <w:rPr>
                <w:rFonts w:hint="eastAsia" w:ascii="宋体" w:hAnsi="宋体" w:eastAsia="宋体" w:cs="宋体"/>
                <w:snapToGrid/>
                <w:kern w:val="0"/>
                <w:sz w:val="24"/>
                <w:highlight w:val="none"/>
              </w:rPr>
              <w:t>期：</w:t>
            </w:r>
          </w:p>
        </w:tc>
        <w:tc>
          <w:tcPr>
            <w:tcW w:w="7014" w:type="dxa"/>
            <w:noWrap w:val="0"/>
            <w:vAlign w:val="center"/>
          </w:tcPr>
          <w:p w14:paraId="57523314">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left"/>
              <w:textAlignment w:val="auto"/>
              <w:outlineLvl w:val="9"/>
              <w:rPr>
                <w:rFonts w:hint="eastAsia"/>
                <w:highlight w:val="none"/>
              </w:rPr>
            </w:pPr>
            <w:r>
              <w:rPr>
                <w:rFonts w:hint="eastAsia"/>
                <w:highlight w:val="none"/>
              </w:rPr>
              <w:t>从</w:t>
            </w:r>
            <w:r>
              <w:rPr>
                <w:rFonts w:hint="eastAsia"/>
                <w:highlight w:val="none"/>
                <w:lang w:eastAsia="zh-CN"/>
              </w:rPr>
              <w:t>签订合同之日起</w:t>
            </w:r>
            <w:r>
              <w:rPr>
                <w:rFonts w:hint="eastAsia"/>
                <w:highlight w:val="none"/>
              </w:rPr>
              <w:t>至</w:t>
            </w:r>
            <w:r>
              <w:rPr>
                <w:rFonts w:hint="eastAsia"/>
                <w:highlight w:val="none"/>
                <w:lang w:val="en-US" w:eastAsia="zh-CN"/>
              </w:rPr>
              <w:t>工程完工之日24时止</w:t>
            </w:r>
            <w:r>
              <w:rPr>
                <w:rFonts w:hint="eastAsia"/>
                <w:highlight w:val="none"/>
              </w:rPr>
              <w:t>。</w:t>
            </w:r>
          </w:p>
          <w:p w14:paraId="734B55F8">
            <w:pPr>
              <w:spacing w:line="240" w:lineRule="auto"/>
              <w:jc w:val="left"/>
              <w:rPr>
                <w:rFonts w:hint="eastAsia"/>
                <w:highlight w:val="none"/>
              </w:rPr>
            </w:pPr>
            <w:r>
              <w:rPr>
                <w:rFonts w:hint="eastAsia" w:ascii="宋体" w:hAnsi="宋体" w:eastAsia="宋体" w:cs="宋体"/>
                <w:kern w:val="0"/>
                <w:sz w:val="24"/>
                <w:highlight w:val="none"/>
              </w:rPr>
              <w:t>若本工程在上述期限中未按时整体竣工，本保险期限将自动延长180天，并不</w:t>
            </w:r>
            <w:r>
              <w:rPr>
                <w:rFonts w:hint="eastAsia" w:ascii="宋体" w:hAnsi="宋体" w:eastAsia="宋体" w:cs="宋体"/>
                <w:kern w:val="0"/>
                <w:sz w:val="24"/>
                <w:highlight w:val="none"/>
                <w:lang w:eastAsia="zh-CN"/>
              </w:rPr>
              <w:t>因</w:t>
            </w:r>
            <w:r>
              <w:rPr>
                <w:rFonts w:hint="eastAsia" w:ascii="宋体" w:hAnsi="宋体" w:eastAsia="宋体" w:cs="宋体"/>
                <w:kern w:val="0"/>
                <w:sz w:val="24"/>
                <w:highlight w:val="none"/>
              </w:rPr>
              <w:t>此加收任何附加保险费。若工程延期 180 天后，工程仍未整体竣工，保险人同意按照被保险人提前</w:t>
            </w:r>
            <w:r>
              <w:rPr>
                <w:rFonts w:hint="eastAsia" w:ascii="宋体" w:hAnsi="宋体" w:eastAsia="宋体" w:cs="宋体"/>
                <w:kern w:val="0"/>
                <w:sz w:val="24"/>
                <w:highlight w:val="none"/>
                <w:lang w:eastAsia="zh-CN"/>
              </w:rPr>
              <w:t>申</w:t>
            </w:r>
            <w:r>
              <w:rPr>
                <w:rFonts w:hint="eastAsia" w:ascii="宋体" w:hAnsi="宋体" w:eastAsia="宋体" w:cs="宋体"/>
                <w:kern w:val="0"/>
                <w:sz w:val="24"/>
                <w:highlight w:val="none"/>
              </w:rPr>
              <w:t>报而延长保险期限，但被保险人需按照日比例补缴相应的附加保费，附加保费=原保费</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超过180天后的延期天数÷(原保险期限天数+180天)</w:t>
            </w:r>
            <w:r>
              <w:rPr>
                <w:rFonts w:hint="eastAsia" w:ascii="宋体" w:hAnsi="宋体" w:eastAsia="宋体" w:cs="宋体"/>
                <w:kern w:val="0"/>
                <w:sz w:val="24"/>
                <w:highlight w:val="none"/>
                <w:lang w:val="en-US" w:eastAsia="zh-CN"/>
              </w:rPr>
              <w:t>×0.8</w:t>
            </w:r>
            <w:r>
              <w:rPr>
                <w:rFonts w:hint="eastAsia" w:ascii="宋体" w:hAnsi="宋体" w:eastAsia="宋体" w:cs="宋体"/>
                <w:kern w:val="0"/>
                <w:sz w:val="24"/>
                <w:highlight w:val="none"/>
              </w:rPr>
              <w:t>。</w:t>
            </w:r>
          </w:p>
        </w:tc>
      </w:tr>
      <w:tr w14:paraId="2E29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7" w:type="dxa"/>
            <w:gridSpan w:val="2"/>
            <w:noWrap w:val="0"/>
            <w:vAlign w:val="center"/>
          </w:tcPr>
          <w:p w14:paraId="1BA21186">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七、每次事故绝对免赔额：</w:t>
            </w:r>
          </w:p>
        </w:tc>
      </w:tr>
      <w:tr w14:paraId="4528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151B77B4">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color w:val="FF0000"/>
                <w:kern w:val="0"/>
                <w:sz w:val="24"/>
                <w:highlight w:val="none"/>
              </w:rPr>
            </w:pPr>
            <w:r>
              <w:rPr>
                <w:rFonts w:hint="eastAsia" w:ascii="宋体" w:hAnsi="宋体" w:eastAsia="宋体" w:cs="宋体"/>
                <w:color w:val="000000"/>
                <w:kern w:val="21"/>
                <w:sz w:val="24"/>
                <w:szCs w:val="24"/>
                <w:highlight w:val="none"/>
              </w:rPr>
              <w:t>物质损失部分：</w:t>
            </w:r>
          </w:p>
        </w:tc>
        <w:tc>
          <w:tcPr>
            <w:tcW w:w="7014" w:type="dxa"/>
            <w:noWrap w:val="0"/>
            <w:vAlign w:val="center"/>
          </w:tcPr>
          <w:p w14:paraId="635E68BB">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default" w:ascii="宋体" w:hAnsi="宋体" w:eastAsia="宋体" w:cs="宋体"/>
                <w:b/>
                <w:snapToGrid/>
                <w:color w:val="FF0000"/>
                <w:kern w:val="0"/>
                <w:sz w:val="24"/>
                <w:highlight w:val="none"/>
                <w:lang w:val="en-US"/>
              </w:rPr>
            </w:pPr>
            <w:r>
              <w:rPr>
                <w:rFonts w:hint="eastAsia" w:ascii="宋体" w:hAnsi="宋体" w:cs="Times New Roman"/>
                <w:sz w:val="21"/>
                <w:szCs w:val="21"/>
                <w:highlight w:val="none"/>
                <w:u w:val="single"/>
                <w:lang w:val="en-US" w:eastAsia="zh-CN"/>
              </w:rPr>
              <w:t xml:space="preserve">            。 </w:t>
            </w:r>
          </w:p>
        </w:tc>
      </w:tr>
      <w:tr w14:paraId="715F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0B4B4763">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第三者责任部分：</w:t>
            </w:r>
          </w:p>
        </w:tc>
        <w:tc>
          <w:tcPr>
            <w:tcW w:w="7014" w:type="dxa"/>
            <w:noWrap w:val="0"/>
            <w:vAlign w:val="center"/>
          </w:tcPr>
          <w:p w14:paraId="2DFE74A2">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default" w:ascii="宋体" w:hAnsi="宋体" w:eastAsia="宋体" w:cs="宋体"/>
                <w:snapToGrid/>
                <w:kern w:val="0"/>
                <w:sz w:val="24"/>
                <w:highlight w:val="none"/>
                <w:lang w:val="en-US"/>
              </w:rPr>
            </w:pPr>
            <w:r>
              <w:rPr>
                <w:rFonts w:hint="eastAsia" w:ascii="宋体" w:hAnsi="宋体" w:cs="Times New Roman"/>
                <w:sz w:val="21"/>
                <w:szCs w:val="21"/>
                <w:highlight w:val="none"/>
                <w:u w:val="single"/>
                <w:lang w:val="en-US" w:eastAsia="zh-CN"/>
              </w:rPr>
              <w:t xml:space="preserve">             。 </w:t>
            </w:r>
          </w:p>
        </w:tc>
      </w:tr>
      <w:tr w14:paraId="1158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7" w:type="dxa"/>
            <w:gridSpan w:val="2"/>
            <w:noWrap w:val="0"/>
            <w:vAlign w:val="center"/>
          </w:tcPr>
          <w:p w14:paraId="4FA90C77">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注：</w:t>
            </w:r>
            <w:r>
              <w:rPr>
                <w:rFonts w:hint="eastAsia" w:ascii="宋体" w:hAnsi="宋体" w:eastAsia="宋体" w:cs="宋体"/>
                <w:snapToGrid/>
                <w:kern w:val="0"/>
                <w:sz w:val="24"/>
                <w:highlight w:val="none"/>
              </w:rPr>
              <w:t>以上“事故”是指每一次事故或由同一事件引起的一系列事故。</w:t>
            </w:r>
          </w:p>
        </w:tc>
      </w:tr>
      <w:tr w14:paraId="00DB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56448262">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lang w:eastAsia="zh-CN"/>
              </w:rPr>
              <w:t>八</w:t>
            </w:r>
            <w:r>
              <w:rPr>
                <w:rFonts w:hint="eastAsia" w:ascii="宋体" w:hAnsi="宋体" w:eastAsia="宋体" w:cs="宋体"/>
                <w:b/>
                <w:snapToGrid/>
                <w:kern w:val="0"/>
                <w:sz w:val="24"/>
                <w:highlight w:val="none"/>
              </w:rPr>
              <w:t>、保险费：</w:t>
            </w:r>
          </w:p>
        </w:tc>
        <w:tc>
          <w:tcPr>
            <w:tcW w:w="7014" w:type="dxa"/>
            <w:noWrap w:val="0"/>
            <w:vAlign w:val="center"/>
          </w:tcPr>
          <w:p w14:paraId="6B895A8E">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default" w:ascii="宋体" w:hAnsi="宋体" w:eastAsia="宋体" w:cs="宋体"/>
                <w:snapToGrid/>
                <w:kern w:val="0"/>
                <w:sz w:val="24"/>
                <w:highlight w:val="none"/>
                <w:lang w:val="en-US" w:eastAsia="zh-CN"/>
              </w:rPr>
            </w:pPr>
            <w:r>
              <w:rPr>
                <w:rFonts w:hint="eastAsia" w:ascii="宋体" w:hAnsi="宋体" w:eastAsia="宋体" w:cs="宋体"/>
                <w:snapToGrid/>
                <w:kern w:val="0"/>
                <w:sz w:val="24"/>
                <w:highlight w:val="none"/>
              </w:rPr>
              <w:t>物质损失部分及第三者责任部分：</w:t>
            </w:r>
            <w:r>
              <w:rPr>
                <w:rFonts w:hint="eastAsia" w:ascii="宋体" w:hAnsi="宋体" w:eastAsia="宋体" w:cs="宋体"/>
                <w:snapToGrid/>
                <w:kern w:val="0"/>
                <w:sz w:val="24"/>
                <w:szCs w:val="24"/>
                <w:highlight w:val="none"/>
                <w:lang w:val="en-US" w:eastAsia="zh-CN" w:bidi="ar-SA"/>
              </w:rPr>
              <w:t xml:space="preserve">RMB </w:t>
            </w:r>
            <w:r>
              <w:rPr>
                <w:rFonts w:hint="eastAsia" w:ascii="宋体" w:hAnsi="宋体" w:cs="宋体"/>
                <w:kern w:val="0"/>
                <w:sz w:val="24"/>
                <w:highlight w:val="none"/>
                <w:lang w:val="en-US" w:eastAsia="zh-CN"/>
              </w:rPr>
              <w:t xml:space="preserve">     </w:t>
            </w:r>
            <w:r>
              <w:rPr>
                <w:rFonts w:hint="eastAsia" w:ascii="宋体" w:hAnsi="宋体" w:eastAsia="宋体" w:cs="宋体"/>
                <w:snapToGrid/>
                <w:kern w:val="0"/>
                <w:sz w:val="24"/>
                <w:szCs w:val="24"/>
                <w:highlight w:val="none"/>
                <w:lang w:val="en-US" w:eastAsia="zh-CN" w:bidi="ar-SA"/>
              </w:rPr>
              <w:t>元</w:t>
            </w:r>
          </w:p>
        </w:tc>
      </w:tr>
      <w:tr w14:paraId="7666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963" w:type="dxa"/>
            <w:noWrap w:val="0"/>
            <w:vAlign w:val="center"/>
          </w:tcPr>
          <w:p w14:paraId="077E6F53">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cs="宋体"/>
                <w:b/>
                <w:snapToGrid/>
                <w:kern w:val="0"/>
                <w:sz w:val="24"/>
                <w:highlight w:val="none"/>
                <w:lang w:val="en-US" w:eastAsia="zh-CN"/>
              </w:rPr>
            </w:pPr>
            <w:r>
              <w:rPr>
                <w:rFonts w:hint="eastAsia" w:ascii="宋体" w:hAnsi="宋体" w:eastAsia="宋体" w:cs="宋体"/>
                <w:b/>
                <w:snapToGrid/>
                <w:kern w:val="0"/>
                <w:sz w:val="24"/>
                <w:highlight w:val="none"/>
                <w:lang w:eastAsia="zh-CN"/>
              </w:rPr>
              <w:t>九</w:t>
            </w:r>
            <w:r>
              <w:rPr>
                <w:rFonts w:hint="eastAsia" w:ascii="宋体" w:hAnsi="宋体" w:eastAsia="宋体" w:cs="宋体"/>
                <w:b/>
                <w:snapToGrid/>
                <w:kern w:val="0"/>
                <w:sz w:val="24"/>
                <w:highlight w:val="none"/>
              </w:rPr>
              <w:t>、基本条款：</w:t>
            </w:r>
          </w:p>
        </w:tc>
        <w:tc>
          <w:tcPr>
            <w:tcW w:w="7014" w:type="dxa"/>
            <w:noWrap w:val="0"/>
            <w:vAlign w:val="center"/>
          </w:tcPr>
          <w:p w14:paraId="4B7931F2">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cs="宋体"/>
                <w:kern w:val="21"/>
                <w:sz w:val="24"/>
                <w:szCs w:val="24"/>
                <w:highlight w:val="none"/>
                <w:lang w:val="en-US" w:eastAsia="zh-CN"/>
              </w:rPr>
            </w:pPr>
            <w:r>
              <w:rPr>
                <w:rFonts w:hint="eastAsia" w:ascii="宋体" w:hAnsi="宋体" w:eastAsia="宋体" w:cs="宋体"/>
                <w:b w:val="0"/>
                <w:bCs w:val="0"/>
                <w:snapToGrid/>
                <w:color w:val="000000"/>
                <w:kern w:val="0"/>
                <w:sz w:val="24"/>
                <w:highlight w:val="none"/>
              </w:rPr>
              <w:t>建筑工程一切险条款</w:t>
            </w:r>
            <w:r>
              <w:rPr>
                <w:rFonts w:hint="eastAsia" w:ascii="宋体" w:hAnsi="宋体" w:eastAsia="宋体" w:cs="宋体"/>
                <w:b w:val="0"/>
                <w:bCs w:val="0"/>
                <w:snapToGrid/>
                <w:color w:val="000000"/>
                <w:kern w:val="0"/>
                <w:sz w:val="24"/>
                <w:highlight w:val="none"/>
                <w:lang w:eastAsia="zh-CN"/>
              </w:rPr>
              <w:t>（详见附件）</w:t>
            </w:r>
          </w:p>
        </w:tc>
      </w:tr>
      <w:tr w14:paraId="2D86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jc w:val="center"/>
        </w:trPr>
        <w:tc>
          <w:tcPr>
            <w:tcW w:w="1963" w:type="dxa"/>
            <w:noWrap w:val="0"/>
            <w:vAlign w:val="center"/>
          </w:tcPr>
          <w:p w14:paraId="33A5A1B9">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cs="宋体"/>
                <w:b/>
                <w:snapToGrid/>
                <w:kern w:val="0"/>
                <w:sz w:val="24"/>
                <w:highlight w:val="none"/>
                <w:lang w:val="en-US" w:eastAsia="zh-CN"/>
              </w:rPr>
              <w:t>十</w:t>
            </w:r>
            <w:r>
              <w:rPr>
                <w:rFonts w:hint="eastAsia" w:ascii="宋体" w:hAnsi="宋体" w:eastAsia="宋体" w:cs="宋体"/>
                <w:b/>
                <w:snapToGrid/>
                <w:kern w:val="0"/>
                <w:sz w:val="24"/>
                <w:highlight w:val="none"/>
              </w:rPr>
              <w:t>、特别约定：</w:t>
            </w:r>
          </w:p>
        </w:tc>
        <w:tc>
          <w:tcPr>
            <w:tcW w:w="7014" w:type="dxa"/>
            <w:noWrap w:val="0"/>
            <w:vAlign w:val="center"/>
          </w:tcPr>
          <w:p w14:paraId="7ACACBB5">
            <w:pPr>
              <w:pStyle w:val="48"/>
              <w:numPr>
                <w:ilvl w:val="0"/>
                <w:numId w:val="0"/>
              </w:numPr>
              <w:tabs>
                <w:tab w:val="left" w:pos="420"/>
              </w:tabs>
              <w:spacing w:line="240" w:lineRule="auto"/>
              <w:ind w:left="0" w:firstLine="0" w:firstLineChars="0"/>
              <w:jc w:val="left"/>
              <w:rPr>
                <w:rFonts w:hint="default" w:ascii="宋体" w:hAnsi="宋体" w:eastAsia="宋体" w:cs="宋体"/>
                <w:kern w:val="21"/>
                <w:sz w:val="24"/>
                <w:szCs w:val="24"/>
                <w:highlight w:val="none"/>
                <w:lang w:val="en-US" w:eastAsia="zh-CN"/>
              </w:rPr>
            </w:pPr>
            <w:r>
              <w:rPr>
                <w:rFonts w:hint="eastAsia" w:ascii="宋体" w:hAnsi="宋体" w:eastAsia="宋体" w:cs="宋体"/>
                <w:kern w:val="21"/>
                <w:sz w:val="24"/>
                <w:szCs w:val="24"/>
                <w:highlight w:val="none"/>
                <w:lang w:val="en-US" w:eastAsia="zh-CN"/>
              </w:rPr>
              <w:t>1.</w:t>
            </w:r>
            <w:r>
              <w:rPr>
                <w:rFonts w:hint="eastAsia" w:ascii="宋体" w:hAnsi="宋体" w:eastAsia="宋体" w:cs="宋体"/>
                <w:kern w:val="21"/>
                <w:sz w:val="24"/>
                <w:szCs w:val="24"/>
                <w:highlight w:val="none"/>
              </w:rPr>
              <w:t>条款效力优先约定</w:t>
            </w:r>
          </w:p>
          <w:p w14:paraId="37129E4E">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2.</w:t>
            </w:r>
            <w:r>
              <w:rPr>
                <w:rFonts w:hint="eastAsia" w:ascii="宋体" w:hAnsi="宋体" w:eastAsia="宋体" w:cs="宋体"/>
                <w:kern w:val="21"/>
                <w:sz w:val="24"/>
                <w:szCs w:val="24"/>
                <w:highlight w:val="none"/>
              </w:rPr>
              <w:t>第三方造成事故赔偿约定</w:t>
            </w:r>
          </w:p>
          <w:p w14:paraId="7AB10EA2">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3.</w:t>
            </w:r>
            <w:r>
              <w:rPr>
                <w:rFonts w:hint="eastAsia" w:ascii="宋体" w:hAnsi="宋体" w:eastAsia="宋体" w:cs="宋体"/>
                <w:kern w:val="21"/>
                <w:sz w:val="24"/>
                <w:szCs w:val="24"/>
                <w:highlight w:val="none"/>
              </w:rPr>
              <w:t>第三者责任之赔偿处理约定</w:t>
            </w:r>
          </w:p>
          <w:p w14:paraId="5AE1D244">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4.</w:t>
            </w:r>
            <w:r>
              <w:rPr>
                <w:rFonts w:hint="eastAsia" w:ascii="宋体" w:hAnsi="宋体" w:eastAsia="宋体" w:cs="宋体"/>
                <w:kern w:val="21"/>
                <w:sz w:val="24"/>
                <w:szCs w:val="24"/>
                <w:highlight w:val="none"/>
              </w:rPr>
              <w:t>事故发生的通知义务</w:t>
            </w:r>
          </w:p>
          <w:p w14:paraId="5F66EF16">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5.</w:t>
            </w:r>
            <w:r>
              <w:rPr>
                <w:rFonts w:hint="eastAsia" w:ascii="宋体" w:hAnsi="宋体" w:eastAsia="宋体" w:cs="宋体"/>
                <w:kern w:val="21"/>
                <w:sz w:val="24"/>
                <w:szCs w:val="24"/>
                <w:highlight w:val="none"/>
              </w:rPr>
              <w:t>保单终止约定</w:t>
            </w:r>
          </w:p>
          <w:p w14:paraId="32196C2D">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6.</w:t>
            </w:r>
            <w:r>
              <w:rPr>
                <w:rFonts w:hint="eastAsia" w:ascii="宋体" w:hAnsi="宋体" w:eastAsia="宋体" w:cs="宋体"/>
                <w:kern w:val="21"/>
                <w:sz w:val="24"/>
                <w:szCs w:val="24"/>
                <w:highlight w:val="none"/>
              </w:rPr>
              <w:t>赔偿约定</w:t>
            </w:r>
          </w:p>
          <w:p w14:paraId="3A92B492">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7.</w:t>
            </w:r>
            <w:r>
              <w:rPr>
                <w:rFonts w:hint="eastAsia" w:ascii="宋体" w:hAnsi="宋体" w:eastAsia="宋体" w:cs="宋体"/>
                <w:kern w:val="21"/>
                <w:sz w:val="24"/>
                <w:szCs w:val="24"/>
                <w:highlight w:val="none"/>
              </w:rPr>
              <w:t>周转性材料及临时设施赔偿特别约定</w:t>
            </w:r>
          </w:p>
          <w:p w14:paraId="28E95805">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8.</w:t>
            </w:r>
            <w:r>
              <w:rPr>
                <w:rFonts w:hint="eastAsia" w:ascii="宋体" w:hAnsi="宋体" w:eastAsia="宋体" w:cs="宋体"/>
                <w:kern w:val="21"/>
                <w:sz w:val="24"/>
                <w:szCs w:val="24"/>
                <w:highlight w:val="none"/>
              </w:rPr>
              <w:t>调整变更约定</w:t>
            </w:r>
          </w:p>
          <w:p w14:paraId="2C76CC3D">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9.</w:t>
            </w:r>
            <w:r>
              <w:rPr>
                <w:rFonts w:hint="eastAsia" w:ascii="宋体" w:hAnsi="宋体" w:eastAsia="宋体" w:cs="宋体"/>
                <w:kern w:val="21"/>
                <w:sz w:val="24"/>
                <w:szCs w:val="24"/>
                <w:highlight w:val="none"/>
              </w:rPr>
              <w:t>建（构）筑物裂缝责任特别约定</w:t>
            </w:r>
          </w:p>
          <w:p w14:paraId="22666FC2">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10.</w:t>
            </w:r>
            <w:r>
              <w:rPr>
                <w:rFonts w:hint="eastAsia" w:ascii="宋体" w:hAnsi="宋体" w:eastAsia="宋体" w:cs="宋体"/>
                <w:kern w:val="21"/>
                <w:sz w:val="24"/>
                <w:szCs w:val="24"/>
                <w:highlight w:val="none"/>
              </w:rPr>
              <w:t>损失理算约定</w:t>
            </w:r>
          </w:p>
          <w:p w14:paraId="4F5A8459">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11.</w:t>
            </w:r>
            <w:r>
              <w:rPr>
                <w:rFonts w:hint="eastAsia" w:ascii="宋体" w:hAnsi="宋体" w:eastAsia="宋体" w:cs="宋体"/>
                <w:kern w:val="21"/>
                <w:sz w:val="24"/>
                <w:szCs w:val="24"/>
                <w:highlight w:val="none"/>
              </w:rPr>
              <w:t>工程宣传环境标志、标识标牌、安全标志约定</w:t>
            </w:r>
          </w:p>
          <w:p w14:paraId="46E67B10">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1</w:t>
            </w:r>
            <w:r>
              <w:rPr>
                <w:rFonts w:hint="eastAsia" w:ascii="宋体" w:hAnsi="宋体" w:cs="宋体"/>
                <w:kern w:val="21"/>
                <w:sz w:val="24"/>
                <w:szCs w:val="24"/>
                <w:highlight w:val="none"/>
                <w:lang w:val="en-US" w:eastAsia="zh-CN"/>
              </w:rPr>
              <w:t>2</w:t>
            </w:r>
            <w:r>
              <w:rPr>
                <w:rFonts w:hint="eastAsia" w:ascii="宋体" w:hAnsi="宋体" w:eastAsia="宋体" w:cs="宋体"/>
                <w:kern w:val="21"/>
                <w:sz w:val="24"/>
                <w:szCs w:val="24"/>
                <w:highlight w:val="none"/>
                <w:lang w:val="en-US" w:eastAsia="zh-CN"/>
              </w:rPr>
              <w:t>.</w:t>
            </w:r>
            <w:r>
              <w:rPr>
                <w:rFonts w:hint="eastAsia" w:ascii="宋体" w:hAnsi="宋体" w:eastAsia="宋体" w:cs="宋体"/>
                <w:kern w:val="21"/>
                <w:sz w:val="24"/>
                <w:szCs w:val="24"/>
                <w:highlight w:val="none"/>
              </w:rPr>
              <w:t>保险期间延期约定</w:t>
            </w:r>
          </w:p>
          <w:p w14:paraId="348441F2">
            <w:pPr>
              <w:pStyle w:val="48"/>
              <w:numPr>
                <w:ilvl w:val="0"/>
                <w:numId w:val="0"/>
              </w:numPr>
              <w:tabs>
                <w:tab w:val="left" w:pos="420"/>
              </w:tabs>
              <w:spacing w:line="240" w:lineRule="auto"/>
              <w:ind w:left="0" w:firstLine="0" w:firstLineChars="0"/>
              <w:jc w:val="left"/>
              <w:rPr>
                <w:rFonts w:hint="eastAsia" w:ascii="宋体" w:hAnsi="宋体" w:eastAsia="宋体" w:cs="宋体"/>
                <w:snapToGrid/>
                <w:kern w:val="0"/>
                <w:highlight w:val="none"/>
              </w:rPr>
            </w:pPr>
            <w:r>
              <w:rPr>
                <w:rFonts w:hint="eastAsia" w:ascii="宋体" w:hAnsi="宋体" w:cs="宋体"/>
                <w:kern w:val="21"/>
                <w:sz w:val="24"/>
                <w:szCs w:val="24"/>
                <w:highlight w:val="none"/>
                <w:lang w:val="en-US" w:eastAsia="zh-CN"/>
              </w:rPr>
              <w:t>13.</w:t>
            </w:r>
            <w:r>
              <w:rPr>
                <w:rFonts w:hint="eastAsia" w:ascii="宋体" w:hAnsi="宋体" w:eastAsia="宋体" w:cs="宋体"/>
                <w:kern w:val="21"/>
                <w:sz w:val="24"/>
                <w:szCs w:val="24"/>
                <w:highlight w:val="none"/>
              </w:rPr>
              <w:t>草木约定</w:t>
            </w:r>
          </w:p>
        </w:tc>
      </w:tr>
      <w:tr w14:paraId="2523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7042098D">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snapToGrid/>
                <w:kern w:val="0"/>
                <w:sz w:val="24"/>
                <w:highlight w:val="none"/>
              </w:rPr>
            </w:pPr>
            <w:r>
              <w:rPr>
                <w:rFonts w:hint="eastAsia" w:ascii="宋体" w:hAnsi="宋体" w:eastAsia="宋体" w:cs="宋体"/>
                <w:b/>
                <w:snapToGrid/>
                <w:kern w:val="0"/>
                <w:sz w:val="24"/>
                <w:highlight w:val="none"/>
              </w:rPr>
              <w:t>十</w:t>
            </w:r>
            <w:r>
              <w:rPr>
                <w:rFonts w:hint="eastAsia" w:ascii="宋体" w:hAnsi="宋体" w:cs="宋体"/>
                <w:b/>
                <w:snapToGrid/>
                <w:kern w:val="0"/>
                <w:sz w:val="24"/>
                <w:highlight w:val="none"/>
                <w:lang w:val="en-US" w:eastAsia="zh-CN"/>
              </w:rPr>
              <w:t>一</w:t>
            </w:r>
            <w:r>
              <w:rPr>
                <w:rFonts w:hint="eastAsia" w:ascii="宋体" w:hAnsi="宋体" w:eastAsia="宋体" w:cs="宋体"/>
                <w:b/>
                <w:snapToGrid/>
                <w:kern w:val="0"/>
                <w:sz w:val="24"/>
                <w:highlight w:val="none"/>
              </w:rPr>
              <w:t>、司法管辖：</w:t>
            </w:r>
          </w:p>
        </w:tc>
        <w:tc>
          <w:tcPr>
            <w:tcW w:w="7014" w:type="dxa"/>
            <w:noWrap w:val="0"/>
            <w:vAlign w:val="center"/>
          </w:tcPr>
          <w:p w14:paraId="114AD721">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中华人民共和国（不含港澳台）司法管辖</w:t>
            </w:r>
          </w:p>
        </w:tc>
      </w:tr>
      <w:tr w14:paraId="16A7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0575A723">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snapToGrid/>
                <w:color w:val="auto"/>
                <w:kern w:val="0"/>
                <w:sz w:val="24"/>
                <w:highlight w:val="none"/>
              </w:rPr>
            </w:pPr>
            <w:r>
              <w:rPr>
                <w:rFonts w:hint="eastAsia" w:ascii="宋体" w:hAnsi="宋体" w:eastAsia="宋体" w:cs="宋体"/>
                <w:b/>
                <w:snapToGrid/>
                <w:color w:val="auto"/>
                <w:kern w:val="0"/>
                <w:sz w:val="24"/>
                <w:highlight w:val="none"/>
              </w:rPr>
              <w:t>十</w:t>
            </w:r>
            <w:r>
              <w:rPr>
                <w:rFonts w:hint="eastAsia" w:ascii="宋体" w:hAnsi="宋体" w:cs="宋体"/>
                <w:b/>
                <w:snapToGrid/>
                <w:color w:val="auto"/>
                <w:kern w:val="0"/>
                <w:sz w:val="24"/>
                <w:highlight w:val="none"/>
                <w:lang w:val="en-US" w:eastAsia="zh-CN"/>
              </w:rPr>
              <w:t>二</w:t>
            </w:r>
            <w:r>
              <w:rPr>
                <w:rFonts w:hint="eastAsia" w:ascii="宋体" w:hAnsi="宋体" w:eastAsia="宋体" w:cs="宋体"/>
                <w:b/>
                <w:snapToGrid/>
                <w:color w:val="auto"/>
                <w:kern w:val="0"/>
                <w:sz w:val="24"/>
                <w:highlight w:val="none"/>
              </w:rPr>
              <w:t>、争议处理：</w:t>
            </w:r>
          </w:p>
        </w:tc>
        <w:tc>
          <w:tcPr>
            <w:tcW w:w="7014" w:type="dxa"/>
            <w:noWrap w:val="0"/>
            <w:vAlign w:val="center"/>
          </w:tcPr>
          <w:p w14:paraId="2D377B43">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color w:val="auto"/>
                <w:kern w:val="0"/>
                <w:sz w:val="24"/>
                <w:highlight w:val="none"/>
              </w:rPr>
            </w:pPr>
            <w:r>
              <w:rPr>
                <w:rFonts w:hint="eastAsia" w:ascii="宋体" w:hAnsi="宋体" w:eastAsia="宋体" w:cs="宋体"/>
                <w:snapToGrid/>
                <w:color w:val="auto"/>
                <w:kern w:val="0"/>
                <w:sz w:val="24"/>
                <w:highlight w:val="none"/>
              </w:rPr>
              <w:t>通过友好协商，共同解决争端。如果协商不成，可选择向本保险合同签署地</w:t>
            </w:r>
            <w:r>
              <w:rPr>
                <w:rFonts w:hint="eastAsia" w:ascii="宋体" w:hAnsi="宋体" w:eastAsia="宋体" w:cs="宋体"/>
                <w:snapToGrid/>
                <w:color w:val="auto"/>
                <w:kern w:val="0"/>
                <w:sz w:val="24"/>
                <w:highlight w:val="none"/>
                <w:u w:val="single"/>
                <w:lang w:val="en-US" w:eastAsia="zh-CN"/>
              </w:rPr>
              <w:t>赣州市</w:t>
            </w:r>
            <w:r>
              <w:rPr>
                <w:rFonts w:hint="eastAsia" w:ascii="宋体" w:hAnsi="宋体" w:eastAsia="宋体" w:cs="宋体"/>
                <w:snapToGrid/>
                <w:color w:val="auto"/>
                <w:kern w:val="0"/>
                <w:sz w:val="24"/>
                <w:highlight w:val="none"/>
              </w:rPr>
              <w:t>人民法院提起诉讼。</w:t>
            </w:r>
          </w:p>
        </w:tc>
      </w:tr>
    </w:tbl>
    <w:p w14:paraId="7B43FD7B">
      <w:pPr>
        <w:pStyle w:val="4"/>
        <w:rPr>
          <w:rFonts w:hint="eastAsia"/>
          <w:highlight w:val="none"/>
          <w:lang w:eastAsia="zh-CN"/>
        </w:rPr>
      </w:pPr>
    </w:p>
    <w:p w14:paraId="1D9E348B">
      <w:pPr>
        <w:spacing w:line="360" w:lineRule="auto"/>
        <w:rPr>
          <w:rFonts w:ascii="宋体" w:hAnsi="宋体"/>
          <w:b/>
          <w:bCs/>
          <w:sz w:val="32"/>
          <w:szCs w:val="32"/>
          <w:highlight w:val="none"/>
          <w:lang w:eastAsia="zh-CN"/>
        </w:rPr>
      </w:pPr>
    </w:p>
    <w:p w14:paraId="231FF74E">
      <w:pPr>
        <w:spacing w:line="360" w:lineRule="auto"/>
        <w:jc w:val="center"/>
        <w:rPr>
          <w:rFonts w:hint="eastAsia" w:ascii="宋体" w:hAnsi="宋体"/>
          <w:b/>
          <w:bCs/>
          <w:sz w:val="24"/>
          <w:highlight w:val="none"/>
          <w:lang w:eastAsia="zh-CN"/>
        </w:rPr>
        <w:sectPr>
          <w:footerReference r:id="rId6" w:type="default"/>
          <w:pgSz w:w="11907" w:h="16840"/>
          <w:pgMar w:top="1247" w:right="2268" w:bottom="1247" w:left="1418" w:header="851" w:footer="992" w:gutter="227"/>
          <w:pgNumType w:fmt="decimal" w:start="19"/>
          <w:cols w:space="720" w:num="1"/>
          <w:docGrid w:linePitch="312" w:charSpace="0"/>
        </w:sectPr>
      </w:pPr>
    </w:p>
    <w:p w14:paraId="7BD48BA1">
      <w:pPr>
        <w:spacing w:line="360" w:lineRule="auto"/>
        <w:jc w:val="center"/>
        <w:rPr>
          <w:rFonts w:hint="eastAsia" w:ascii="宋体" w:hAnsi="宋体"/>
          <w:b/>
          <w:bCs/>
          <w:sz w:val="24"/>
          <w:highlight w:val="none"/>
          <w:lang w:eastAsia="zh-CN"/>
        </w:rPr>
      </w:pPr>
      <w:r>
        <w:rPr>
          <w:rFonts w:hint="eastAsia" w:ascii="宋体" w:hAnsi="宋体"/>
          <w:b/>
          <w:bCs/>
          <w:sz w:val="24"/>
          <w:highlight w:val="none"/>
          <w:lang w:eastAsia="zh-CN"/>
        </w:rPr>
        <w:t>（二）条款措辞</w:t>
      </w:r>
    </w:p>
    <w:p w14:paraId="3A642E6A">
      <w:pPr>
        <w:spacing w:line="360" w:lineRule="auto"/>
        <w:jc w:val="center"/>
        <w:rPr>
          <w:rFonts w:hint="eastAsia" w:ascii="宋体" w:hAnsi="宋体"/>
          <w:b/>
          <w:bCs/>
          <w:szCs w:val="21"/>
          <w:highlight w:val="none"/>
          <w:lang w:eastAsia="zh-CN"/>
        </w:rPr>
      </w:pPr>
      <w:r>
        <w:rPr>
          <w:rFonts w:hint="eastAsia" w:ascii="宋体" w:hAnsi="宋体"/>
          <w:b/>
          <w:bCs/>
          <w:szCs w:val="21"/>
          <w:highlight w:val="none"/>
          <w:u w:val="single"/>
          <w:lang w:eastAsia="zh-CN"/>
        </w:rPr>
        <w:t>下列措辞以特别约定、特别条款、基本条款为序，排序在前者效力优先。</w:t>
      </w:r>
    </w:p>
    <w:p w14:paraId="3861A740">
      <w:pPr>
        <w:spacing w:line="360" w:lineRule="auto"/>
        <w:jc w:val="center"/>
        <w:rPr>
          <w:rFonts w:hint="eastAsia" w:ascii="宋体" w:hAnsi="宋体"/>
          <w:b/>
          <w:sz w:val="24"/>
          <w:highlight w:val="none"/>
          <w:lang w:eastAsia="zh-CN"/>
        </w:rPr>
      </w:pPr>
      <w:r>
        <w:rPr>
          <w:rFonts w:hint="eastAsia" w:ascii="宋体" w:hAnsi="宋体"/>
          <w:b/>
          <w:sz w:val="24"/>
          <w:highlight w:val="none"/>
          <w:lang w:eastAsia="zh-CN"/>
        </w:rPr>
        <w:t>第一部分：特别约定</w:t>
      </w:r>
    </w:p>
    <w:p w14:paraId="699B4736">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1、条款效力优先约定：</w:t>
      </w:r>
    </w:p>
    <w:p w14:paraId="3023AE13">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本保单条款措辞由特别约定、特别条款、基本条款构成，并以排序在前者效力优先。</w:t>
      </w:r>
    </w:p>
    <w:p w14:paraId="2ECBF0E1">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2、第三方造成事故赔偿约定：</w:t>
      </w:r>
    </w:p>
    <w:p w14:paraId="3F2ACC2B">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如第三方原因造成本保险项下保险事故（含恶意破坏），保险人同意，被保险人在告知合理修复方案的前提下可先行修复，并按照本保单之规定给予赔付，但被保险人应将对第三方追偿之权利转让给保险人，并积极协助保险人进行追偿。</w:t>
      </w:r>
    </w:p>
    <w:p w14:paraId="48F4FF10">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3、第三者责任之赔偿处理约定：</w:t>
      </w:r>
    </w:p>
    <w:p w14:paraId="2ED8B833">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如发生第三者责任事故，保险公司应积极参与事故调解。若被保险人要求保险公司参与事故调解，保险公司应派员工参与事故调解，如保险公司不派员工参与，则视同保险公司完全认可被保险人与第三者达成的赔偿协议及调解结果。如在处理过程中聘请相关权威鉴定部门进行技术鉴定，由保险公司承担其鉴定费用。</w:t>
      </w:r>
    </w:p>
    <w:p w14:paraId="72254C0F">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4、事故发生的通知义务：</w:t>
      </w:r>
    </w:p>
    <w:p w14:paraId="6B989FD4">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被保险人应在事故发生后及时通知保险人，并积极配合保险人的查勘定损工作，双方进一步约定：1）保险人仅在投保人、被保险人或者受益人故意或者因重大过失未及时通知的情况下有权免责，而且免责的范围限于因上述人员未及时通知导致保险事故的性质、原因、损失程度等难以确定的部分；2）对于保险人可以通过其他途径已经及时知道或者应当及时知道保险事故发生的（如新闻媒体报道的重大事故等），不得以投保人、被保险人或者受益人未及时通知为由拒绝承担赔偿责任。</w:t>
      </w:r>
    </w:p>
    <w:p w14:paraId="2DD4565D">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5、保单终止约定：</w:t>
      </w:r>
    </w:p>
    <w:p w14:paraId="7EB5A90E">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投保人可提前30天书面申请通知保险人终止保单，保险人应按日比例计算退还保费。未经双方协商同意，除非投保人未按约定缴纳保费，保险人不得单方终止本保单。</w:t>
      </w:r>
    </w:p>
    <w:p w14:paraId="56C863B1">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6、赔偿约定：</w:t>
      </w:r>
    </w:p>
    <w:p w14:paraId="58CF32DC">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保险期间内，投保人应按保险单约定时间支付各期保险费，保险人自保险责任生效之日起承担保险责任。</w:t>
      </w:r>
    </w:p>
    <w:p w14:paraId="4FC0D2B5">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若保险责任生效后，投保人因合理原因要求终止本保单合同的，投保人应按日费率向保险人缴纳投保人提出终止保险合同前保险期间内的保险费，保险人认可投保人在此期间为足额投保。对于投保人提出终止保险合同前发生的保险事故，保险人按照保险合同约定足额赔偿。</w:t>
      </w:r>
    </w:p>
    <w:p w14:paraId="031E13F8">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7、周转性材料及临时设施赔偿特别约定：</w:t>
      </w:r>
    </w:p>
    <w:p w14:paraId="45E31581">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本保单对保险责任造成周转性材料和临时设施的损失负责赔偿，其中：</w:t>
      </w:r>
    </w:p>
    <w:p w14:paraId="7AE23BF0">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定义：临时设施是指业主或施工企业为本工程施工所必需的生活和生产用的临时建筑物、构筑物和其他设施，如：临时工棚、脚手架、电线、管道（包括吹泥管线等）、电话和其他通讯设施、照明和其他临时装置；场地办公室、工人帐篷、仓库和其他临时建筑物及其内部设备；木材、模板、临时桥梁、临时停靠码头、盖板、围堰、钢盖板、大栏杆及吊架杆、便道、临时铁轨、临时护墙、水路改道、取土坑和矸子山等。</w:t>
      </w:r>
    </w:p>
    <w:p w14:paraId="56E97A5B">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赔偿约定：无论其在本工程的工程合同明细清单中是否列明，保险人应按照如下方式进行赔偿：A.可在本工程中一次性摊销完毕的周转性材料和临时设施，如未使用前或使用过程中发生损失，则按照其重置价值赔偿；B.可重复使用或非在本工程中一次性摊销完毕的周转性材料和临时设施，则计算其在本工程中的摊销价值的方式和次数，扣除已经摊销部分后进行赔偿，但对于该部分标的赔偿最高不超过重置价值的50%。</w:t>
      </w:r>
    </w:p>
    <w:p w14:paraId="0A78335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机械设备损失</w:t>
      </w:r>
      <w:r>
        <w:rPr>
          <w:rFonts w:hint="eastAsia" w:ascii="宋体" w:hAnsi="宋体" w:eastAsia="宋体" w:cs="宋体"/>
          <w:sz w:val="22"/>
          <w:szCs w:val="22"/>
          <w:highlight w:val="none"/>
          <w:lang w:eastAsia="zh-CN"/>
        </w:rPr>
        <w:t>只赔付因自然灾害造成设备的维修费用，不负责赔偿机器自身质量及操作等因素造成的标的的灭失及损失。</w:t>
      </w:r>
    </w:p>
    <w:p w14:paraId="4EA404F4">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8、调整变更约定：</w:t>
      </w:r>
    </w:p>
    <w:p w14:paraId="73323712">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被保险工程在施工过程中将根据实际情况变更或调整设计规范、施工工艺方法等（简称“设计变更”），保险人同意只要上述变更或调整符合本项目的管理程序，被保险人不需要向保险人申报，设计变更部分（含新增部分）自动纳入保险金额，在此情况下如发生保险事故，保险人不得以设计变更为由拒赔，或以保险金额变化为由要求比例赔付，但保险人有权随时查阅上述变更或调整的相关文件、资料。</w:t>
      </w:r>
    </w:p>
    <w:p w14:paraId="1649F72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9、建（构）筑物裂缝责任特别约定：</w:t>
      </w:r>
    </w:p>
    <w:p w14:paraId="088F484F">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兹经双方同意，因爆破施工作业造成“特别条款 建（构）筑物裂缝责任扩展条款”规定的保险责任事故，保险人同意按如下约定处理：</w:t>
      </w:r>
    </w:p>
    <w:p w14:paraId="4CFDB1E7">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在一个施工标段及其邻近区域（作业面半径500米范围内），自第一次爆破开始至该施工标段最后一次爆破完成为止，在此期间所有因爆破施工导致的建（构）筑物裂缝责任事故，视为同一次事故；</w:t>
      </w:r>
    </w:p>
    <w:p w14:paraId="307C699D">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双方进一步约定，被保险人一旦获悉建（构）筑物裂缝责任事故发生，应及时向保险人报案，保险人应待该施工标段爆破施工全部完成后，统一合并处理。</w:t>
      </w:r>
    </w:p>
    <w:p w14:paraId="4135A288">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每次事故免赔为：RMB1万元或损失金额的15%，以高者为准。</w:t>
      </w:r>
    </w:p>
    <w:p w14:paraId="13964DAE">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宋体"/>
          <w:kern w:val="2"/>
          <w:sz w:val="22"/>
          <w:szCs w:val="22"/>
          <w:highlight w:val="none"/>
        </w:rPr>
        <w:t>关于裂缝责任损失的认定，保险人有权聘请有资质的专业机构进行评估后确定，聘</w:t>
      </w:r>
      <w:r>
        <w:rPr>
          <w:rFonts w:hint="eastAsia" w:ascii="宋体" w:hAnsi="宋体" w:eastAsia="宋体" w:cs="宋体"/>
          <w:kern w:val="2"/>
          <w:sz w:val="22"/>
          <w:szCs w:val="22"/>
          <w:highlight w:val="none"/>
          <w:lang w:eastAsia="zh-CN"/>
        </w:rPr>
        <w:t>请专业机构的费用完全由保险人承担。</w:t>
      </w:r>
    </w:p>
    <w:p w14:paraId="69BBED43">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10、损失理算约定：</w:t>
      </w:r>
    </w:p>
    <w:p w14:paraId="63CA7FD9">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发生保险事故后，如果预计物质损失部分的索赔金额超过RMB100万或对损失原因发生争议时，保险人可聘请投保人或被保险人、经纪公司认可的公估公司协助认定责任和/或金额，聘请公估人的费用由保险人支付。</w:t>
      </w:r>
    </w:p>
    <w:p w14:paraId="54C9A2DC">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11、工程宣传环境标志、标识标牌、安全标志约定</w:t>
      </w:r>
    </w:p>
    <w:p w14:paraId="1206D4B1">
      <w:pPr>
        <w:pStyle w:val="49"/>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本保险单保险标的包括但不限于宣传栏（牌）、宣传标语、彩门、文化活动室、工程标识牌图、安全操作规程牌、安全标志等，具体以甲方标准化建设管理手册为准。</w:t>
      </w:r>
    </w:p>
    <w:p w14:paraId="1FA54380">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12、船舶碰撞事故约定（适用于含涉水工程项目）：</w:t>
      </w:r>
    </w:p>
    <w:p w14:paraId="07D4D67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兹经双方同意，本项目因船舶（包括外来船舶和本项目自用船舶）的碰撞或船舶缆绳影响，而造成保险财产的损失，不论碰撞标的物的部位，也不论此时水下地形有无冲刷或淤积变化均属保险责任范围。</w:t>
      </w:r>
    </w:p>
    <w:p w14:paraId="3622A25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双方进一步明确，因外来船舶碰撞造成保险财产的损失后，被保险人须严格履行我国有关航道或水路运输管理规定中的相关职责，同时立即采取一切必要措施，保全证据，并保留向责任方索赔的一切权利。在保险人支付赔款后，被保险人应将向该责任方追偿的权利转让给保险人，移交一切必要的单证，并协助保险人向责任方追偿。</w:t>
      </w:r>
    </w:p>
    <w:p w14:paraId="7B85A03A">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13、水面运输约定（适用于含涉水工程项目）：</w:t>
      </w:r>
    </w:p>
    <w:p w14:paraId="79F5C81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兹经双方同意，保险人负责赔偿被保险财产在中华人民共和国境内从供货地点到本保险单中列明的工地的水运途中因自然灾害或意外事故引起的损失。</w:t>
      </w:r>
    </w:p>
    <w:p w14:paraId="3195F134">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每次事故赔偿限额：见明细表</w:t>
      </w:r>
    </w:p>
    <w:p w14:paraId="48E45630">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14、保险期间延期约定</w:t>
      </w:r>
    </w:p>
    <w:p w14:paraId="2EE8F6F8">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保险期间内，如投保人需要对保险期间进行延期的，保险人同意：</w:t>
      </w:r>
    </w:p>
    <w:p w14:paraId="7B70F514">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（1）为保证变更及时性，本《延期申请》由投保人或投保人项目经理部签章后，</w:t>
      </w:r>
      <w:r>
        <w:rPr>
          <w:rFonts w:hint="eastAsia" w:ascii="宋体" w:hAnsi="宋体" w:cs="宋体"/>
          <w:kern w:val="2"/>
          <w:sz w:val="22"/>
          <w:szCs w:val="22"/>
          <w:highlight w:val="none"/>
          <w:lang w:eastAsia="zh-CN"/>
        </w:rPr>
        <w:t>赣州高速公路有限责任公司</w:t>
      </w:r>
      <w:r>
        <w:rPr>
          <w:rFonts w:hint="eastAsia" w:ascii="宋体" w:hAnsi="宋体" w:eastAsia="宋体" w:cs="宋体"/>
          <w:kern w:val="2"/>
          <w:sz w:val="22"/>
          <w:szCs w:val="22"/>
          <w:highlight w:val="none"/>
        </w:rPr>
        <w:t>将《延期申请》扫描件以邮件形式发送至承保公司指定联络邮箱，即视为申请送达。</w:t>
      </w:r>
    </w:p>
    <w:p w14:paraId="2D081609">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（2）本项目延长期限在建筑安装期免费顺延期限及以内的，保险人承诺在收到《延期申请》扫描件后1个工作日内，完成保险期间批改并出具批单。</w:t>
      </w:r>
    </w:p>
    <w:p w14:paraId="6579CDA9">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3）本项目延长期限超过建筑安装期免费顺延期限的，保险人承诺在收到《延期申请》扫描件及按照保险协议约定方式计算的延长期限超过建筑安装期免费顺延期限部分的保险费后1个工作日内，完成保险期间批改并出具批单。</w:t>
      </w:r>
    </w:p>
    <w:p w14:paraId="7238697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15、草木约定</w:t>
      </w:r>
    </w:p>
    <w:p w14:paraId="4C9C3488">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兹经双方同意，本公司同意赔偿由于自然灾害、意外事故造成本工程储存或种植的一切各类型植物（包括但不限于种子、花草树木、草皮）损失，赔偿范围包括但不限于苗木费、苗木包装费、运输到施工现场费用、清理及栽种等相关费用。</w:t>
      </w:r>
    </w:p>
    <w:p w14:paraId="69A8AD3C">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双方进一步明确：保险人不负责赔偿季节性枯萎、虫灾、鼠咬、人为践踏、渐变原因、偷盗、被保险人养护不当等造成的植物损失；</w:t>
      </w:r>
    </w:p>
    <w:p w14:paraId="529C24BF">
      <w:pPr>
        <w:pStyle w:val="48"/>
        <w:keepNext w:val="0"/>
        <w:keepLines w:val="0"/>
        <w:pageBreakBefore w:val="0"/>
        <w:widowControl/>
        <w:kinsoku/>
        <w:wordWrap/>
        <w:overflowPunct/>
        <w:topLinePunct w:val="0"/>
        <w:autoSpaceDN/>
        <w:bidi w:val="0"/>
        <w:adjustRightInd/>
        <w:snapToGrid/>
        <w:spacing w:after="0" w:line="360" w:lineRule="auto"/>
        <w:ind w:right="0" w:firstLine="482" w:firstLineChars="200"/>
        <w:jc w:val="center"/>
        <w:rPr>
          <w:rFonts w:hint="eastAsia" w:ascii="宋体" w:hAnsi="宋体" w:eastAsia="宋体" w:cs="Times New Roman"/>
          <w:b/>
          <w:kern w:val="0"/>
          <w:sz w:val="24"/>
          <w:szCs w:val="22"/>
          <w:highlight w:val="none"/>
          <w:lang w:val="en-US" w:eastAsia="zh-CN" w:bidi="en-US"/>
        </w:rPr>
        <w:sectPr>
          <w:pgSz w:w="11907" w:h="16840"/>
          <w:pgMar w:top="1247" w:right="2268" w:bottom="1247" w:left="1418" w:header="851" w:footer="992" w:gutter="227"/>
          <w:pgNumType w:fmt="decimal"/>
          <w:cols w:space="720" w:num="1"/>
          <w:docGrid w:linePitch="312" w:charSpace="0"/>
        </w:sectPr>
      </w:pPr>
    </w:p>
    <w:p w14:paraId="291B176E">
      <w:pPr>
        <w:pStyle w:val="48"/>
        <w:keepNext w:val="0"/>
        <w:keepLines w:val="0"/>
        <w:pageBreakBefore w:val="0"/>
        <w:widowControl/>
        <w:kinsoku/>
        <w:wordWrap/>
        <w:overflowPunct/>
        <w:topLinePunct w:val="0"/>
        <w:autoSpaceDN/>
        <w:bidi w:val="0"/>
        <w:adjustRightInd/>
        <w:snapToGrid/>
        <w:spacing w:after="0" w:line="360" w:lineRule="auto"/>
        <w:ind w:right="0" w:firstLine="482" w:firstLineChars="200"/>
        <w:jc w:val="center"/>
        <w:rPr>
          <w:rFonts w:hint="eastAsia" w:ascii="宋体" w:hAnsi="宋体" w:eastAsia="宋体" w:cs="宋体"/>
          <w:kern w:val="2"/>
          <w:sz w:val="22"/>
          <w:szCs w:val="22"/>
          <w:highlight w:val="none"/>
        </w:rPr>
      </w:pPr>
      <w:r>
        <w:rPr>
          <w:rFonts w:hint="eastAsia" w:ascii="宋体" w:hAnsi="宋体" w:eastAsia="宋体" w:cs="Times New Roman"/>
          <w:b/>
          <w:kern w:val="0"/>
          <w:sz w:val="24"/>
          <w:szCs w:val="22"/>
          <w:highlight w:val="none"/>
          <w:lang w:val="en-US" w:eastAsia="zh-CN" w:bidi="en-US"/>
        </w:rPr>
        <w:t>第二部分：特别条款措辞</w:t>
      </w:r>
    </w:p>
    <w:p w14:paraId="5EBF4B88">
      <w:pPr>
        <w:keepNext w:val="0"/>
        <w:keepLines w:val="0"/>
        <w:pageBreakBefore w:val="0"/>
        <w:widowControl/>
        <w:kinsoku/>
        <w:wordWrap/>
        <w:overflowPunct/>
        <w:topLinePunct w:val="0"/>
        <w:autoSpaceDN/>
        <w:bidi w:val="0"/>
        <w:adjustRightInd/>
        <w:snapToGrid/>
        <w:spacing w:after="0" w:line="360" w:lineRule="auto"/>
        <w:ind w:right="0" w:firstLine="442" w:firstLineChars="200"/>
        <w:jc w:val="center"/>
        <w:rPr>
          <w:rFonts w:hint="eastAsia" w:ascii="宋体" w:hAnsi="宋体" w:eastAsia="宋体" w:cs="宋体"/>
          <w:sz w:val="22"/>
          <w:szCs w:val="22"/>
          <w:highlight w:val="none"/>
        </w:rPr>
      </w:pPr>
      <w:r>
        <w:rPr>
          <w:rFonts w:hint="eastAsia" w:ascii="宋体" w:hAnsi="宋体" w:eastAsia="宋体" w:cs="宋体"/>
          <w:b/>
          <w:bCs/>
          <w:sz w:val="22"/>
          <w:szCs w:val="22"/>
          <w:highlight w:val="none"/>
        </w:rPr>
        <w:t>适用于第一部分物质损失部分</w:t>
      </w:r>
    </w:p>
    <w:p w14:paraId="7497BA95">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w:t>
      </w:r>
      <w:r>
        <w:rPr>
          <w:rFonts w:hint="eastAsia" w:ascii="宋体" w:hAnsi="宋体" w:eastAsia="宋体" w:cs="Times New Roman"/>
          <w:b/>
          <w:bCs/>
          <w:szCs w:val="21"/>
          <w:highlight w:val="none"/>
          <w:lang w:eastAsia="zh-CN"/>
        </w:rPr>
        <w:t>罢工、暴乱及民众骚动扩展条款</w:t>
      </w:r>
    </w:p>
    <w:p w14:paraId="70C8494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本保险扩展承保由于罢工、暴乱及民众骚动引起的损失。但本扩展条款仅负责由下列原因直接引起的保险财产的损失：</w:t>
      </w:r>
    </w:p>
    <w:p w14:paraId="28EA717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 xml:space="preserve"> 任何个人参与他人进行社会骚乱的活动(无论是否与罢工有关)；</w:t>
      </w:r>
    </w:p>
    <w:p w14:paraId="0914CDA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任何合法当局对该骚乱进行平息或试图平息，或为减轻该骚乱造成的后果所采取的行动；</w:t>
      </w:r>
    </w:p>
    <w:p w14:paraId="59BDFBE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 xml:space="preserve"> 任何罢工者为扩大罢工规模，或抵制厂方关闭工厂而采取的故意行为；</w:t>
      </w:r>
    </w:p>
    <w:p w14:paraId="65AE434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任何合法当局为预防，或试图预防该故意行为，或为减轻该故意行为造成的后果所采取的行动。</w:t>
      </w:r>
    </w:p>
    <w:p w14:paraId="6839C94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双方进一步同意：</w:t>
      </w:r>
    </w:p>
    <w:p w14:paraId="32251B0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除下述特别条件另有规定外，本保险单所有条款、除外责任及条件等均适用于本扩展条款。本保险单的责任范围亦将包括本扩展条款承保的损失。</w:t>
      </w:r>
    </w:p>
    <w:p w14:paraId="1BC93C0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下述特别条件仅适用于本扩展条款。</w:t>
      </w:r>
    </w:p>
    <w:p w14:paraId="606F14D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①</w:t>
      </w:r>
      <w:r>
        <w:rPr>
          <w:rFonts w:hint="eastAsia" w:ascii="宋体" w:hAnsi="宋体" w:eastAsia="宋体" w:cs="宋体"/>
          <w:sz w:val="22"/>
          <w:szCs w:val="22"/>
          <w:highlight w:val="none"/>
        </w:rPr>
        <w:t xml:space="preserve">.本保险单对以下原因造成的损失不予负责： </w:t>
      </w:r>
    </w:p>
    <w:p w14:paraId="64D8C79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A.</w:t>
      </w:r>
      <w:r>
        <w:rPr>
          <w:rFonts w:hint="eastAsia" w:ascii="宋体" w:hAnsi="宋体" w:eastAsia="宋体" w:cs="宋体"/>
          <w:sz w:val="22"/>
          <w:szCs w:val="22"/>
          <w:highlight w:val="none"/>
        </w:rPr>
        <w:t>全部停工或部分停工，或工程实施过程中的延迟、中断、停止；</w:t>
      </w:r>
    </w:p>
    <w:p w14:paraId="0DCE7FCF">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B.</w:t>
      </w:r>
      <w:r>
        <w:rPr>
          <w:rFonts w:hint="eastAsia" w:ascii="宋体" w:hAnsi="宋体" w:eastAsia="宋体" w:cs="宋体"/>
          <w:sz w:val="22"/>
          <w:szCs w:val="22"/>
          <w:highlight w:val="none"/>
        </w:rPr>
        <w:t xml:space="preserve"> 任何合法当局没收、征用保险财产造成被保险人永久或临时的权益丧失；</w:t>
      </w:r>
    </w:p>
    <w:p w14:paraId="694756F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C.</w:t>
      </w:r>
      <w:r>
        <w:rPr>
          <w:rFonts w:hint="eastAsia" w:ascii="宋体" w:hAnsi="宋体" w:eastAsia="宋体" w:cs="宋体"/>
          <w:sz w:val="22"/>
          <w:szCs w:val="22"/>
          <w:highlight w:val="none"/>
        </w:rPr>
        <w:t xml:space="preserve"> 任何人非法占有建筑物造成被保险人对该建筑物永久或临时的权益丧失；</w:t>
      </w:r>
    </w:p>
    <w:p w14:paraId="1C81EE4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但保险公司对上述</w:t>
      </w:r>
      <w:r>
        <w:rPr>
          <w:rFonts w:hint="eastAsia" w:ascii="宋体" w:hAnsi="宋体" w:eastAsia="宋体" w:cs="宋体"/>
          <w:sz w:val="22"/>
          <w:szCs w:val="22"/>
          <w:highlight w:val="none"/>
          <w:lang w:val="en-US" w:eastAsia="zh-CN"/>
        </w:rPr>
        <w:t>A</w:t>
      </w:r>
      <w:r>
        <w:rPr>
          <w:rFonts w:hint="eastAsia" w:ascii="宋体" w:hAnsi="宋体" w:eastAsia="宋体" w:cs="宋体"/>
          <w:sz w:val="22"/>
          <w:szCs w:val="22"/>
          <w:highlight w:val="none"/>
        </w:rPr>
        <w:t>及</w:t>
      </w:r>
      <w:r>
        <w:rPr>
          <w:rFonts w:hint="eastAsia" w:ascii="宋体" w:hAnsi="宋体" w:eastAsia="宋体" w:cs="宋体"/>
          <w:sz w:val="22"/>
          <w:szCs w:val="22"/>
          <w:highlight w:val="none"/>
          <w:lang w:val="en-US" w:eastAsia="zh-CN"/>
        </w:rPr>
        <w:t>B</w:t>
      </w:r>
      <w:r>
        <w:rPr>
          <w:rFonts w:hint="eastAsia" w:ascii="宋体" w:hAnsi="宋体" w:eastAsia="宋体" w:cs="宋体"/>
          <w:sz w:val="22"/>
          <w:szCs w:val="22"/>
          <w:highlight w:val="none"/>
        </w:rPr>
        <w:t>项下被保险人的权益丧失之前，或临时丧失期间的保险财产的物质损失负责赔偿。</w:t>
      </w:r>
    </w:p>
    <w:p w14:paraId="0538B15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②</w:t>
      </w:r>
      <w:r>
        <w:rPr>
          <w:rFonts w:hint="eastAsia" w:ascii="宋体" w:hAnsi="宋体" w:eastAsia="宋体" w:cs="宋体"/>
          <w:sz w:val="22"/>
          <w:szCs w:val="22"/>
          <w:highlight w:val="none"/>
        </w:rPr>
        <w:t>. 本保险对下列原因引起的直接或间接损失不予负责：</w:t>
      </w:r>
    </w:p>
    <w:p w14:paraId="46124AF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A.</w:t>
      </w:r>
      <w:r>
        <w:rPr>
          <w:rFonts w:hint="eastAsia" w:ascii="宋体" w:hAnsi="宋体" w:eastAsia="宋体" w:cs="宋体"/>
          <w:sz w:val="22"/>
          <w:szCs w:val="22"/>
          <w:highlight w:val="none"/>
        </w:rPr>
        <w:t>战争、入侵、外敌行为、敌对行为、类似战争行为(无论宣战与否)、内乱；</w:t>
      </w:r>
    </w:p>
    <w:p w14:paraId="68BC824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B.</w:t>
      </w:r>
      <w:r>
        <w:rPr>
          <w:rFonts w:hint="eastAsia" w:ascii="宋体" w:hAnsi="宋体" w:eastAsia="宋体" w:cs="宋体"/>
          <w:sz w:val="22"/>
          <w:szCs w:val="22"/>
          <w:highlight w:val="none"/>
        </w:rPr>
        <w:t>兵变、民众骚动导致的全民起义、军队起义、暴动、叛乱、革命、军事行动或篡权行动；</w:t>
      </w:r>
    </w:p>
    <w:p w14:paraId="4757C7E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C.</w:t>
      </w:r>
      <w:r>
        <w:rPr>
          <w:rFonts w:hint="eastAsia" w:ascii="宋体" w:hAnsi="宋体" w:eastAsia="宋体" w:cs="宋体"/>
          <w:sz w:val="22"/>
          <w:szCs w:val="22"/>
          <w:highlight w:val="none"/>
        </w:rPr>
        <w:t>代表任何组织，或与之有关联的任何个人采取的旨在动用武力推翻或用恐怖及暴力行为影响政府的行动 (合法的或事实上的)。</w:t>
      </w:r>
    </w:p>
    <w:p w14:paraId="53E4150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一旦发生诉讼，且保险公司根据本特别条件申明损失不属本保险责任范围时，被保险人如有异议，则举证之责应由保险公司承担。</w:t>
      </w:r>
    </w:p>
    <w:p w14:paraId="12BF696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4AE5FDFE">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w:t>
      </w:r>
      <w:r>
        <w:rPr>
          <w:rFonts w:hint="eastAsia" w:ascii="宋体" w:hAnsi="宋体" w:eastAsia="宋体" w:cs="Times New Roman"/>
          <w:b/>
          <w:bCs/>
          <w:szCs w:val="21"/>
          <w:highlight w:val="none"/>
          <w:lang w:eastAsia="zh-CN"/>
        </w:rPr>
        <w:t>设计师责任扩展条款</w:t>
      </w:r>
    </w:p>
    <w:p w14:paraId="0D49414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兹经双方同意，本保险扩展承保被保险财产因设计错误或原材料缺陷或工艺不善原因引起意外事故并导致其它被保险财产的损失而发生的重置、修理及矫正费用，但由于上述原因导致的保险财产自身的损失除外。</w:t>
      </w:r>
    </w:p>
    <w:p w14:paraId="010024E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157D752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17422C54">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w:t>
      </w:r>
      <w:r>
        <w:rPr>
          <w:rFonts w:hint="eastAsia" w:ascii="宋体" w:hAnsi="宋体" w:eastAsia="宋体" w:cs="Times New Roman"/>
          <w:b/>
          <w:bCs/>
          <w:szCs w:val="21"/>
          <w:highlight w:val="none"/>
          <w:lang w:eastAsia="zh-CN"/>
        </w:rPr>
        <w:t>清理费用扩展条款</w:t>
      </w:r>
    </w:p>
    <w:p w14:paraId="222E825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保险人负责赔偿被保险人因本保险单项下的保险财产损失而发生的：</w:t>
      </w:r>
    </w:p>
    <w:p w14:paraId="1A1FA84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清除、拆除、打捞、转移受毁损财产的费用；</w:t>
      </w:r>
    </w:p>
    <w:p w14:paraId="2438FCF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支撑受损财产的费用；</w:t>
      </w:r>
    </w:p>
    <w:p w14:paraId="61CB7B2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恢复在保险事故发生前已经客观存在的施工条件而产生的清理费用，即使该保险事故未造成被保险财产损失，如清理外来物、清理土石方等；</w:t>
      </w:r>
    </w:p>
    <w:p w14:paraId="44409DF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本条款每次事故赔偿限额：见明细表；</w:t>
      </w:r>
    </w:p>
    <w:p w14:paraId="5A4607B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14:paraId="61584385">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w:t>
      </w:r>
      <w:r>
        <w:rPr>
          <w:rFonts w:hint="eastAsia" w:ascii="宋体" w:hAnsi="宋体" w:eastAsia="宋体" w:cs="Times New Roman"/>
          <w:b/>
          <w:bCs/>
          <w:szCs w:val="21"/>
          <w:highlight w:val="none"/>
          <w:lang w:eastAsia="zh-CN"/>
        </w:rPr>
        <w:t>专业费用条款</w:t>
      </w:r>
    </w:p>
    <w:p w14:paraId="39E6FCF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公司负责赔偿被保险人因本保险单项下承保风险造成被保险财产损失后，在重置过程中发生的必要的设计师、检验师及工程咨询人费用，但被保险人为了准备索赔，或估损所发生的任何费用除外。上述赔偿费用应以损失当时适用的有关行业管理部门制订的收费标准为准。若保险财产的保额不足，本条款项下特别费用的赔偿金额按比例减少。</w:t>
      </w:r>
    </w:p>
    <w:p w14:paraId="339ED51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466A945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34D466F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lang w:eastAsia="zh-CN"/>
        </w:rPr>
        <w:t>特别费用扩展条款</w:t>
      </w:r>
    </w:p>
    <w:p w14:paraId="3069240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合同扩展承保下列特别费用，即：加班费、夜班费、节假日加班费以及快运费(不包括空运费)。但该特别费用须与本保险合同项下予以赔偿的保险财产的损失有关。且本条款项下特别费用的最高赔偿金额在保险期间内不超过以下列明限额。</w:t>
      </w:r>
    </w:p>
    <w:p w14:paraId="4DF76AC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本条款项下每次事故赔偿限额：见明细表；</w:t>
      </w:r>
    </w:p>
    <w:p w14:paraId="15417D3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本保单所载其他条件不变。</w:t>
      </w:r>
    </w:p>
    <w:p w14:paraId="43001655">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6.</w:t>
      </w:r>
      <w:r>
        <w:rPr>
          <w:rFonts w:hint="eastAsia" w:ascii="宋体" w:hAnsi="宋体" w:eastAsia="宋体" w:cs="Times New Roman"/>
          <w:b/>
          <w:bCs/>
          <w:szCs w:val="21"/>
          <w:highlight w:val="none"/>
          <w:lang w:eastAsia="zh-CN"/>
        </w:rPr>
        <w:t>空运费扩展条款</w:t>
      </w:r>
    </w:p>
    <w:p w14:paraId="3CA7D77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兹经双方同意，鉴于被保险人已按约定缴付了附加的保险费，本保险扩展承保空运费，但该空运费须与本保险单项下予以赔偿的保险财产的损失有关。</w:t>
      </w:r>
    </w:p>
    <w:p w14:paraId="0EE03DE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1FC1543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0B289B6A">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7.</w:t>
      </w:r>
      <w:r>
        <w:rPr>
          <w:rFonts w:hint="eastAsia" w:ascii="宋体" w:hAnsi="宋体" w:eastAsia="宋体" w:cs="Times New Roman"/>
          <w:b/>
          <w:bCs/>
          <w:szCs w:val="21"/>
          <w:highlight w:val="none"/>
          <w:lang w:eastAsia="zh-CN"/>
        </w:rPr>
        <w:t>灭火费用扩展条款</w:t>
      </w:r>
    </w:p>
    <w:p w14:paraId="476745F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兹经双方同意，本保险扩展承保下列损失：</w:t>
      </w:r>
    </w:p>
    <w:p w14:paraId="14E3334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灭火过程中的费用；</w:t>
      </w:r>
    </w:p>
    <w:p w14:paraId="5B0E5FB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清理费用；</w:t>
      </w:r>
    </w:p>
    <w:p w14:paraId="306B0AF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暂时性防护设施建造费用；</w:t>
      </w:r>
    </w:p>
    <w:p w14:paraId="734B42D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清理水和其他物质的费用。</w:t>
      </w:r>
    </w:p>
    <w:p w14:paraId="7716AE6F">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灭火费用不应计入本保单项下财产的重置价值内。</w:t>
      </w:r>
    </w:p>
    <w:p w14:paraId="4033CC2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本附加险条款与主险条款内容相悖之处，以本附加险条款为准；未尽之处，以主险条款为准。</w:t>
      </w:r>
    </w:p>
    <w:p w14:paraId="246A65D0">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8.</w:t>
      </w:r>
      <w:r>
        <w:rPr>
          <w:rFonts w:hint="eastAsia" w:ascii="宋体" w:hAnsi="宋体" w:eastAsia="宋体" w:cs="Times New Roman"/>
          <w:b/>
          <w:bCs/>
          <w:szCs w:val="21"/>
          <w:highlight w:val="none"/>
          <w:lang w:eastAsia="zh-CN"/>
        </w:rPr>
        <w:t>工程图纸、文件特别条款</w:t>
      </w:r>
    </w:p>
    <w:p w14:paraId="43F3F3C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兹经双方同意，保险人负责赔偿被保险人因本保险单项下承保风险造成工程图纸及文件的损失而产生的重新绘制、重新制作的费用。</w:t>
      </w:r>
    </w:p>
    <w:p w14:paraId="2E3FB08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34EDFD3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7A9EB12E">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9.</w:t>
      </w:r>
      <w:r>
        <w:rPr>
          <w:rFonts w:hint="eastAsia" w:ascii="宋体" w:hAnsi="宋体" w:eastAsia="宋体" w:cs="Times New Roman"/>
          <w:b/>
          <w:bCs/>
          <w:szCs w:val="21"/>
          <w:highlight w:val="none"/>
          <w:lang w:eastAsia="zh-CN"/>
        </w:rPr>
        <w:t>自动恢复保额条款</w:t>
      </w:r>
    </w:p>
    <w:p w14:paraId="3709175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兹经双方同意，在保险人对保险财产的损失予以赔偿后，原保险金额自动恢复。且被保险人无须支付恢复保险金额部分的保险费。</w:t>
      </w:r>
    </w:p>
    <w:p w14:paraId="57915E3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67C0188E">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10.</w:t>
      </w:r>
      <w:r>
        <w:rPr>
          <w:rFonts w:hint="eastAsia" w:ascii="宋体" w:hAnsi="宋体" w:eastAsia="宋体" w:cs="Times New Roman"/>
          <w:b/>
          <w:bCs/>
          <w:szCs w:val="21"/>
          <w:highlight w:val="none"/>
          <w:lang w:eastAsia="zh-CN"/>
        </w:rPr>
        <w:t>扩展责任保证期扩展条款（保证期限：见明细表）</w:t>
      </w:r>
    </w:p>
    <w:p w14:paraId="221ABFE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鉴于投保人已缴付了附加的保险费，本保险合同扩展承保以下列明的保证期内因被保险的承包人为履行工程合同在进行维修保养的过程中所造成的保险工程的损失，以及在完工证书签出前的建筑或安装期内由于施工原因导致保证期内发生的保险工程的损失。</w:t>
      </w:r>
    </w:p>
    <w:p w14:paraId="3BDE85D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01CADF2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保证期限：见明细表</w:t>
      </w:r>
    </w:p>
    <w:p w14:paraId="75D3C81F">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11.</w:t>
      </w:r>
      <w:r>
        <w:rPr>
          <w:rFonts w:hint="eastAsia" w:ascii="宋体" w:hAnsi="宋体" w:eastAsia="宋体" w:cs="Times New Roman"/>
          <w:b/>
          <w:bCs/>
          <w:szCs w:val="21"/>
          <w:highlight w:val="none"/>
          <w:lang w:eastAsia="zh-CN"/>
        </w:rPr>
        <w:t>工地外储存物特别条款</w:t>
      </w:r>
    </w:p>
    <w:p w14:paraId="6741A21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兹经双方同意，本保险合同扩展承保本保险合同明细表中列明的工地以外的储存物，但该储存物的金额应包括在保险金额中。被保险人应根据保险人要求提供：</w:t>
      </w:r>
    </w:p>
    <w:p w14:paraId="6661F7A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工地外储存的地址：</w:t>
      </w:r>
    </w:p>
    <w:p w14:paraId="1D1BE7E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储存物的最高金额：</w:t>
      </w:r>
    </w:p>
    <w:p w14:paraId="1FF5655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储存期限：</w:t>
      </w:r>
    </w:p>
    <w:p w14:paraId="7F9104E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被保险人应保证：</w:t>
      </w:r>
    </w:p>
    <w:p w14:paraId="3D54993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上述工地外储存地点必须有安全警卫人员24小时值班；</w:t>
      </w:r>
    </w:p>
    <w:p w14:paraId="708AFC2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上述工地外储存地点必须符合储存物的存放要求。</w:t>
      </w:r>
    </w:p>
    <w:p w14:paraId="60F0D23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447B4B9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每一储存地点每次事故最高赔偿限额：见明细表</w:t>
      </w:r>
    </w:p>
    <w:p w14:paraId="771AF6CA">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12.</w:t>
      </w:r>
      <w:r>
        <w:rPr>
          <w:rFonts w:hint="eastAsia" w:ascii="宋体" w:hAnsi="宋体" w:eastAsia="宋体" w:cs="Times New Roman"/>
          <w:b/>
          <w:bCs/>
          <w:szCs w:val="21"/>
          <w:highlight w:val="none"/>
          <w:lang w:eastAsia="zh-CN"/>
        </w:rPr>
        <w:t>内陆运输条款</w:t>
      </w:r>
    </w:p>
    <w:p w14:paraId="4998F5C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负责赔偿被保险人的保险财产在中华人民共和国境内供货地点到本保险合同中列明的工地除水运和空运以外的内陆运输途中因自然灾害或意外事故引起的损失。但被保险财产在运输时必须有合格的包装及装载。</w:t>
      </w:r>
    </w:p>
    <w:p w14:paraId="344B5BC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本保险合同所载其他条件不变。</w:t>
      </w:r>
    </w:p>
    <w:p w14:paraId="58766A88">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13.</w:t>
      </w:r>
      <w:r>
        <w:rPr>
          <w:rFonts w:hint="eastAsia" w:ascii="宋体" w:hAnsi="宋体" w:eastAsia="宋体" w:cs="Times New Roman"/>
          <w:b/>
          <w:bCs/>
          <w:szCs w:val="21"/>
          <w:highlight w:val="none"/>
          <w:lang w:eastAsia="zh-CN"/>
        </w:rPr>
        <w:t>运输险、工程险责任分摊条款</w:t>
      </w:r>
      <w:r>
        <w:rPr>
          <w:rFonts w:hint="eastAsia" w:ascii="宋体" w:hAnsi="宋体" w:eastAsia="宋体" w:cs="Times New Roman"/>
          <w:b/>
          <w:bCs/>
          <w:szCs w:val="21"/>
          <w:highlight w:val="none"/>
          <w:lang w:eastAsia="zh-CN"/>
        </w:rPr>
        <w:tab/>
      </w:r>
    </w:p>
    <w:p w14:paraId="7BC7833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兹经双方同意，本公司要求：</w:t>
      </w:r>
    </w:p>
    <w:p w14:paraId="6DCB52F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一旦原材料及设备运抵工地，被保险人应立即检验其运输途中可能发生的损失，若裸装货物损失明显，被保险人应在运输险保险单下提出索赔。</w:t>
      </w:r>
    </w:p>
    <w:p w14:paraId="25E4053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若包装的货物未立即开箱，需放置一段时间，则被保险人应观察检验外包装是否有货损迹象。若货损迹象明显,被保险人应在运输险保险单下提出索赔。</w:t>
      </w:r>
    </w:p>
    <w:p w14:paraId="22551E4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若货物外包装无货损迹象，并且货物仍处于包装状态，直至货物开箱时才发现损失，该损失将视作发生在运输期间,除非从损失的性质上有明显的证据表明损失确系发生在运输保险终止后。</w:t>
      </w:r>
    </w:p>
    <w:p w14:paraId="0EE6ADD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若无明显证据确定损失的发生时间，则该损失将由运输保险及本保险各分摊50%。</w:t>
      </w:r>
    </w:p>
    <w:p w14:paraId="656094A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160D1F84">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14.</w:t>
      </w:r>
      <w:r>
        <w:rPr>
          <w:rFonts w:hint="eastAsia" w:ascii="宋体" w:hAnsi="宋体" w:eastAsia="宋体" w:cs="Times New Roman"/>
          <w:b/>
          <w:bCs/>
          <w:szCs w:val="21"/>
          <w:highlight w:val="none"/>
          <w:lang w:eastAsia="zh-CN"/>
        </w:rPr>
        <w:t>地下文物责任扩展特别条款</w:t>
      </w:r>
    </w:p>
    <w:p w14:paraId="4A58A58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兹经双方同意，本保险单扩展承保因为施工遭遇地下文物，文物管理部门要求的维护、照管等行为所发生的额外费用，并相应顺延保险期间。</w:t>
      </w:r>
    </w:p>
    <w:p w14:paraId="66463FB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0648370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56F70E3B">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15.</w:t>
      </w:r>
      <w:r>
        <w:rPr>
          <w:rFonts w:hint="eastAsia" w:ascii="宋体" w:hAnsi="宋体" w:eastAsia="宋体" w:cs="Times New Roman"/>
          <w:b/>
          <w:bCs/>
          <w:szCs w:val="21"/>
          <w:highlight w:val="none"/>
          <w:lang w:eastAsia="zh-CN"/>
        </w:rPr>
        <w:t>转移至安全地点特别条款</w:t>
      </w:r>
    </w:p>
    <w:p w14:paraId="5E5F37E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兹经双方同意，被保险人为避免可能发生保险事故造成损失而将保险财产临时性转移至邻近的安全地点时的保险财产遭受的损失，保险人负责赔偿。</w:t>
      </w:r>
    </w:p>
    <w:p w14:paraId="0D4F25E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3195DCFC">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16.</w:t>
      </w:r>
      <w:r>
        <w:rPr>
          <w:rFonts w:hint="eastAsia" w:ascii="宋体" w:hAnsi="宋体" w:eastAsia="宋体" w:cs="Times New Roman"/>
          <w:b/>
          <w:bCs/>
          <w:szCs w:val="21"/>
          <w:highlight w:val="none"/>
          <w:lang w:eastAsia="zh-CN"/>
        </w:rPr>
        <w:t>场外装配扩展条款</w:t>
      </w:r>
      <w:r>
        <w:rPr>
          <w:rFonts w:hint="eastAsia" w:ascii="宋体" w:hAnsi="宋体" w:eastAsia="宋体" w:cs="Times New Roman"/>
          <w:b/>
          <w:bCs/>
          <w:szCs w:val="21"/>
          <w:highlight w:val="none"/>
          <w:lang w:eastAsia="zh-CN"/>
        </w:rPr>
        <w:tab/>
      </w:r>
    </w:p>
    <w:p w14:paraId="366317D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兹经双方同意，本保单扩展承保保险财产在场外、临近现场区域装配、修理期间因本保险单承保风险发生导致的物质损失和损坏。</w:t>
      </w:r>
    </w:p>
    <w:p w14:paraId="2E5F5AD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20130C1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17.</w:t>
      </w:r>
      <w:r>
        <w:rPr>
          <w:rFonts w:hint="eastAsia" w:ascii="宋体" w:hAnsi="宋体" w:eastAsia="宋体" w:cs="Times New Roman"/>
          <w:b/>
          <w:bCs/>
          <w:szCs w:val="21"/>
          <w:highlight w:val="none"/>
          <w:lang w:eastAsia="zh-CN"/>
        </w:rPr>
        <w:t>公共当局扩展条款</w:t>
      </w:r>
    </w:p>
    <w:p w14:paraId="7CB432B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经双方同意，因保险事故造成保险标的损失，在重建或修复时，由于必须执行公共当局的有关法律、法令、法规产生的额外费用，保险人按照本保险合同的约定负责赔偿。但以下列约定为条件：</w:t>
      </w:r>
    </w:p>
    <w:p w14:paraId="0CF40A3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下列情况下执行上述法律、法令、法规产生的额外费用，保险人不负责赔偿：</w:t>
      </w:r>
    </w:p>
    <w:p w14:paraId="0B20E32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A.</w:t>
      </w:r>
      <w:r>
        <w:rPr>
          <w:rFonts w:hint="eastAsia" w:ascii="宋体" w:hAnsi="宋体" w:eastAsia="宋体" w:cs="宋体"/>
          <w:sz w:val="22"/>
          <w:szCs w:val="22"/>
          <w:highlight w:val="none"/>
        </w:rPr>
        <w:t>本条款生效之前发生的损失；</w:t>
      </w:r>
    </w:p>
    <w:p w14:paraId="0F6C7C5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B.</w:t>
      </w:r>
      <w:r>
        <w:rPr>
          <w:rFonts w:hint="eastAsia" w:ascii="宋体" w:hAnsi="宋体" w:eastAsia="宋体" w:cs="宋体"/>
          <w:sz w:val="22"/>
          <w:szCs w:val="22"/>
          <w:highlight w:val="none"/>
        </w:rPr>
        <w:t>本保险合同责任范围以外的损失；</w:t>
      </w:r>
    </w:p>
    <w:p w14:paraId="33564B7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C.</w:t>
      </w:r>
      <w:r>
        <w:rPr>
          <w:rFonts w:hint="eastAsia" w:ascii="宋体" w:hAnsi="宋体" w:eastAsia="宋体" w:cs="宋体"/>
          <w:sz w:val="22"/>
          <w:szCs w:val="22"/>
          <w:highlight w:val="none"/>
        </w:rPr>
        <w:t>发生损失前被保险人已接到有关当局关于拆除、重建的通知；</w:t>
      </w:r>
    </w:p>
    <w:p w14:paraId="3F143EB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D.</w:t>
      </w:r>
      <w:r>
        <w:rPr>
          <w:rFonts w:hint="eastAsia" w:ascii="宋体" w:hAnsi="宋体" w:eastAsia="宋体" w:cs="宋体"/>
          <w:sz w:val="22"/>
          <w:szCs w:val="22"/>
          <w:highlight w:val="none"/>
        </w:rPr>
        <w:t>未受损保险标的（但不包括被保险的地基）的修复、拆除、重建。</w:t>
      </w:r>
    </w:p>
    <w:p w14:paraId="1D65ABD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被保险人的重建、修复工作必须立即实施，并在损失发生之日起十二个月或经保险人书面同意延长的期限内完工；若根据有关法律、法令、法规及其附则，该受损保险标的必须在其他地点重建、修复时，保险人亦可赔偿，但保险人的赔偿责任不得因此增加。</w:t>
      </w:r>
    </w:p>
    <w:p w14:paraId="7FA87C6F">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若在本保险合同项下保险标的受损，但按本保险合同约定，保险人的赔偿责任减少时，则本附加条款项下的赔偿责任也相应减少。</w:t>
      </w:r>
    </w:p>
    <w:p w14:paraId="30B4F90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保险人对任何一项受损保险标的的赔偿金额不得超过该项目在本保险合同中列明的保险金额。</w:t>
      </w:r>
    </w:p>
    <w:p w14:paraId="1F1554F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本附加条款与主条款内容相悖之处，以本附加条款为准；未尽之处，以主条款为准。</w:t>
      </w:r>
    </w:p>
    <w:p w14:paraId="24EB7984">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18.</w:t>
      </w:r>
      <w:r>
        <w:rPr>
          <w:rFonts w:hint="eastAsia" w:ascii="宋体" w:hAnsi="宋体" w:eastAsia="宋体" w:cs="Times New Roman"/>
          <w:b/>
          <w:bCs/>
          <w:szCs w:val="21"/>
          <w:highlight w:val="none"/>
          <w:lang w:eastAsia="zh-CN"/>
        </w:rPr>
        <w:t>安装试车条款</w:t>
      </w:r>
    </w:p>
    <w:p w14:paraId="61D8240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兹经双方同意，本保险合同扩展承保本工程项目中安装工程部分在安装试车过程中因超负荷、超电压、碰线、电弧、漏电、短路、大气放电等电气或机械故障原因而造成保险标的本身及其它被保险财产的损失。</w:t>
      </w:r>
    </w:p>
    <w:p w14:paraId="3EA3190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1C37D734">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19.</w:t>
      </w:r>
      <w:r>
        <w:rPr>
          <w:rFonts w:hint="eastAsia" w:ascii="宋体" w:hAnsi="宋体" w:eastAsia="宋体" w:cs="Times New Roman"/>
          <w:b/>
          <w:bCs/>
          <w:szCs w:val="21"/>
          <w:highlight w:val="none"/>
          <w:lang w:eastAsia="zh-CN"/>
        </w:rPr>
        <w:t>被保险人控制财产扩展条款</w:t>
      </w:r>
    </w:p>
    <w:p w14:paraId="17DBF116">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单物质损失部分项下扩展承保工地内现有财产或被保险人所有、照看、照管或控制的工地内财产由于本保险单项下承保的工程施工所造成的损失或损坏。本保险单仅对在施工之前完好的并采取了必要保护措施的财产的损失或损坏负责赔偿。如因震动、移动或减弱支撑造成保险财产的损失或损坏，保险人仅负责赔偿保险财产由于全部或部分倒塌造成的损失，而对既不会影响建筑稳固也不会对其使用者造成危险的保险财产的表面损失，保险人不负责赔偿。</w:t>
      </w:r>
    </w:p>
    <w:p w14:paraId="6F8E6489">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保险人不负责赔偿下列损失：</w:t>
      </w:r>
    </w:p>
    <w:p w14:paraId="5D476352">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根据工程性质和挖掘方法，本可以预见到的损失；</w:t>
      </w:r>
    </w:p>
    <w:p w14:paraId="53EF329D">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在保险期限内采取必要的防损措施所支付的费用。</w:t>
      </w:r>
    </w:p>
    <w:p w14:paraId="0250615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0647E1AA">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20.</w:t>
      </w:r>
      <w:r>
        <w:rPr>
          <w:rFonts w:hint="eastAsia" w:ascii="宋体" w:hAnsi="宋体" w:eastAsia="宋体" w:cs="Times New Roman"/>
          <w:b/>
          <w:bCs/>
          <w:szCs w:val="21"/>
          <w:highlight w:val="none"/>
          <w:lang w:eastAsia="zh-CN"/>
        </w:rPr>
        <w:t>管理费用条款</w:t>
      </w:r>
    </w:p>
    <w:p w14:paraId="2953EFF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兹经双方同意,保险人负责赔偿保险标的发生保险损失时,被保险人为修复工作所发生的额外的合理的管理费用，但施工合同金额内的管理费不在本保险赔偿范围。</w:t>
      </w:r>
    </w:p>
    <w:p w14:paraId="2D90617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本保单所载其它条件不变。</w:t>
      </w:r>
    </w:p>
    <w:p w14:paraId="1399BBC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36133510">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21.</w:t>
      </w:r>
      <w:r>
        <w:rPr>
          <w:rFonts w:hint="eastAsia" w:ascii="宋体" w:hAnsi="宋体" w:eastAsia="宋体" w:cs="Times New Roman"/>
          <w:b/>
          <w:bCs/>
          <w:szCs w:val="21"/>
          <w:highlight w:val="none"/>
          <w:lang w:eastAsia="zh-CN"/>
        </w:rPr>
        <w:t>赔偿基础条款（150%）</w:t>
      </w:r>
    </w:p>
    <w:p w14:paraId="70C1F6D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将依据出险后以恢复受损标的之设计功能为基本赔偿原则，以恢复、修理、重置、替换和修复受损毁标的的全部费用为赔偿标准，但以不超过物质损失部分保险金额的150%为限（清理费用、施救费用等其他有关的赔偿费用另行计算），即使此费用不同于最初建筑费用或损失前价值。</w:t>
      </w:r>
    </w:p>
    <w:p w14:paraId="00084BDE">
      <w:pPr>
        <w:keepNext w:val="0"/>
        <w:keepLines w:val="0"/>
        <w:pageBreakBefore w:val="0"/>
        <w:widowControl/>
        <w:numPr>
          <w:ilvl w:val="0"/>
          <w:numId w:val="0"/>
        </w:numPr>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本附加险条款与主险条款内容相悖之处，以本附加险条款为准；未尽之处，以主险条款为准。</w:t>
      </w:r>
    </w:p>
    <w:p w14:paraId="04A08F18">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22.</w:t>
      </w:r>
      <w:r>
        <w:rPr>
          <w:rFonts w:hint="eastAsia" w:ascii="宋体" w:hAnsi="宋体" w:eastAsia="宋体" w:cs="Times New Roman"/>
          <w:b/>
          <w:bCs/>
          <w:szCs w:val="21"/>
          <w:highlight w:val="none"/>
          <w:lang w:eastAsia="zh-CN"/>
        </w:rPr>
        <w:t>预防措施条款</w:t>
      </w:r>
    </w:p>
    <w:p w14:paraId="7654889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如果保险财产发生了实际损失（或即将发生损失，但需事先通知保险人并取得其认可），保险人将负责支付为了防止、降低或减少本可在本保险合同项下获得赔偿的此类损失而产生的必要的合理的费用。</w:t>
      </w:r>
    </w:p>
    <w:p w14:paraId="6712C27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30786C1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6337DCF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p>
    <w:p w14:paraId="786124CB">
      <w:pPr>
        <w:keepNext w:val="0"/>
        <w:keepLines w:val="0"/>
        <w:pageBreakBefore w:val="0"/>
        <w:widowControl/>
        <w:kinsoku/>
        <w:wordWrap/>
        <w:overflowPunct/>
        <w:topLinePunct w:val="0"/>
        <w:autoSpaceDN/>
        <w:bidi w:val="0"/>
        <w:adjustRightInd/>
        <w:snapToGrid/>
        <w:spacing w:after="0" w:line="360" w:lineRule="auto"/>
        <w:ind w:right="0" w:firstLine="442" w:firstLineChars="20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适用于第二部分第三者责任部分</w:t>
      </w:r>
    </w:p>
    <w:p w14:paraId="4BCF9DB7">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23.</w:t>
      </w:r>
      <w:r>
        <w:rPr>
          <w:rFonts w:hint="eastAsia" w:ascii="宋体" w:hAnsi="宋体" w:eastAsia="宋体" w:cs="Times New Roman"/>
          <w:b/>
          <w:bCs/>
          <w:szCs w:val="21"/>
          <w:highlight w:val="none"/>
          <w:lang w:eastAsia="zh-CN"/>
        </w:rPr>
        <w:t>交叉责任条款</w:t>
      </w:r>
    </w:p>
    <w:p w14:paraId="4B48139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 本保险单第三者责任项下的保障范围将适用于本保险单明细表列明的所有被保险人,就如同每一被保险人均持有一份独立的保险单, 但保险公司对被保险人不承担以下赔偿责任:</w:t>
      </w:r>
    </w:p>
    <w:p w14:paraId="598556C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已在或可在本保险合同物质损失部分投保的财产损失，包括因免赔额，或赔偿限额规定不予赔偿的损失；</w:t>
      </w:r>
    </w:p>
    <w:p w14:paraId="5082830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已在或应在劳工保险或雇主责任保险项下投保的被保险人的雇员的疾病或人身伤亡。</w:t>
      </w:r>
    </w:p>
    <w:p w14:paraId="506B29B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保险公司对所有被保险人由一次事故或同一事由引起的数次事故承担的全部责任不得超过保险单明细表中列明的每次事故赔偿限额。</w:t>
      </w:r>
    </w:p>
    <w:p w14:paraId="2B7F315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35EEE7BE">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24.</w:t>
      </w:r>
      <w:r>
        <w:rPr>
          <w:rFonts w:hint="eastAsia" w:ascii="宋体" w:hAnsi="宋体" w:eastAsia="宋体" w:cs="Times New Roman"/>
          <w:b/>
          <w:bCs/>
          <w:szCs w:val="21"/>
          <w:highlight w:val="none"/>
          <w:lang w:eastAsia="zh-CN"/>
        </w:rPr>
        <w:t>震动、移动或减弱支撑扩展条款</w:t>
      </w:r>
    </w:p>
    <w:p w14:paraId="4405333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兹经双方同意，鉴于投保人已缴付了附加的保险费，本保险合同第三者责任项下扩展承保由于震动、移动或减弱支撑而造成的第三者财产损失和人身伤亡责任，但以下列条件为限：</w:t>
      </w:r>
    </w:p>
    <w:p w14:paraId="48C8158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第三者的财产、土地或建筑全部或部分倒塌；</w:t>
      </w:r>
    </w:p>
    <w:p w14:paraId="0EE34DF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被保险人在施工开始之前，第三者的财产、土地或建筑物处于完好状态并采取了必要的防护措施；</w:t>
      </w:r>
    </w:p>
    <w:p w14:paraId="60EC964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如经保险人要求，被保险人在施工开始之前应自负费用向保险人提供书面报告说明任何受到危及的第三者财产、土地或建筑物的情况。</w:t>
      </w:r>
    </w:p>
    <w:p w14:paraId="614C22A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保险人不负责赔偿被保险人</w:t>
      </w:r>
    </w:p>
    <w:p w14:paraId="2840963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因工程性质和施工方式而导致的可预知的第三者财产损失和人身伤亡责任；</w:t>
      </w:r>
    </w:p>
    <w:p w14:paraId="69D8A8B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既不影响第三者财产、土地或建筑物的稳定性，又不危及其拥有人的表面损坏；</w:t>
      </w:r>
    </w:p>
    <w:p w14:paraId="59563C2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在保险期内，被保险人为防止损失发生而采取预防或减少损失的费用。</w:t>
      </w:r>
    </w:p>
    <w:p w14:paraId="1BAF9F6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6585B5EF">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本保险合同所载其他条件不变。</w:t>
      </w:r>
    </w:p>
    <w:p w14:paraId="5446EC1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25.</w:t>
      </w:r>
      <w:r>
        <w:rPr>
          <w:rFonts w:hint="eastAsia" w:ascii="宋体" w:hAnsi="宋体" w:eastAsia="宋体" w:cs="Times New Roman"/>
          <w:b/>
          <w:bCs/>
          <w:szCs w:val="21"/>
          <w:highlight w:val="none"/>
          <w:lang w:eastAsia="zh-CN"/>
        </w:rPr>
        <w:t>工地访问条款</w:t>
      </w:r>
      <w:r>
        <w:rPr>
          <w:rFonts w:hint="eastAsia" w:ascii="宋体" w:hAnsi="宋体" w:eastAsia="宋体" w:cs="Times New Roman"/>
          <w:b/>
          <w:bCs/>
          <w:szCs w:val="21"/>
          <w:highlight w:val="none"/>
          <w:lang w:eastAsia="zh-CN"/>
        </w:rPr>
        <w:tab/>
      </w:r>
    </w:p>
    <w:p w14:paraId="200B09B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工程访问者、参观者、检查者，或参加奠基、揭礼或类似典礼的，或任何其它没有直接参与工程建造的（含技术顾问、探亲人员等），但经工程所有人以及工程承包商同意在保险合同列明工地范围内活动的人员，皆属于本保险合同“第三者责任险”所指的第三者范畴。</w:t>
      </w:r>
    </w:p>
    <w:p w14:paraId="481C7E7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7B8023E4">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26.</w:t>
      </w:r>
      <w:r>
        <w:rPr>
          <w:rFonts w:hint="eastAsia" w:ascii="宋体" w:hAnsi="宋体" w:eastAsia="宋体" w:cs="Times New Roman"/>
          <w:b/>
          <w:bCs/>
          <w:szCs w:val="21"/>
          <w:highlight w:val="none"/>
          <w:lang w:eastAsia="zh-CN"/>
        </w:rPr>
        <w:t>妨碍、扰乱行为扩展条款</w:t>
      </w:r>
    </w:p>
    <w:p w14:paraId="44D16CA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的保障将扩展赔偿被保险人由于妨碍、失去舒适、非法侵害或干扰道路、灯、空中、水中的使用权而引起的法律责任或任何原因引起干扰第三者的财产或工作或使用或价值，除非是由于工作性质不可避免的、合理的、可预见的。</w:t>
      </w:r>
    </w:p>
    <w:p w14:paraId="1488B08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4C9C078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27.</w:t>
      </w:r>
      <w:r>
        <w:rPr>
          <w:rFonts w:hint="eastAsia" w:ascii="宋体" w:hAnsi="宋体" w:eastAsia="宋体" w:cs="Times New Roman"/>
          <w:b/>
          <w:bCs/>
          <w:szCs w:val="21"/>
          <w:highlight w:val="none"/>
          <w:lang w:eastAsia="zh-CN"/>
        </w:rPr>
        <w:t>急救费用条款</w:t>
      </w:r>
    </w:p>
    <w:p w14:paraId="478E377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兹经双方同意，本保险合同扩展赔偿被保险人因本保险合同明细表中列明的施工场地及其邻近区域内发生意外事故造成第三者人身伤亡时应支付的合理急救和救护车的费用。</w:t>
      </w:r>
    </w:p>
    <w:p w14:paraId="47DAF0D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14:paraId="14942EF8">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28.</w:t>
      </w:r>
      <w:r>
        <w:rPr>
          <w:rFonts w:hint="eastAsia" w:ascii="宋体" w:hAnsi="宋体" w:eastAsia="宋体" w:cs="Times New Roman"/>
          <w:b/>
          <w:bCs/>
          <w:szCs w:val="21"/>
          <w:highlight w:val="none"/>
          <w:lang w:eastAsia="zh-CN"/>
        </w:rPr>
        <w:t>建（构）筑物裂缝责任扩展条款</w:t>
      </w:r>
    </w:p>
    <w:p w14:paraId="4BEAF2C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工程因震动、土壤扰动、土壤支撑不足、地层移动或挡土失败，致使施工处所或其邻近地区的第三方建（构）筑物裂缝，保险人负责赔偿，并以其修理费用为限，除非影响其安全使用。保险人同意发生裂缝后，聘请相关安全鉴定部门进行技术鉴定，并承担其鉴定费用。但被保险人在施工开始之前应采取一切必要安全措施以防止邻近建（构）筑物裂缝或倒塌，并经常检查其安全状况，发现其发生裂缝或安全设施移动、软弱或其它异状需要对施工工程本身及其建（构）筑物采取必要的安全防护及加强措施，以防止事故发生或扩大。</w:t>
      </w:r>
    </w:p>
    <w:p w14:paraId="578367EF">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7A8807E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0676146D">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29.</w:t>
      </w:r>
      <w:r>
        <w:rPr>
          <w:rFonts w:hint="eastAsia" w:ascii="宋体" w:hAnsi="宋体" w:eastAsia="宋体" w:cs="Times New Roman"/>
          <w:b/>
          <w:bCs/>
          <w:szCs w:val="21"/>
          <w:highlight w:val="none"/>
          <w:lang w:eastAsia="zh-CN"/>
        </w:rPr>
        <w:t>自然灾害责任损失扩展条款</w:t>
      </w:r>
    </w:p>
    <w:p w14:paraId="67CEED1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负责赔偿本保险期间内，因本保险单所承保工程遭受自然灾害引起工地内及邻近区域的第三者人身伤亡、疾病和财产损失，依法应由被保险人承担的经济赔偿责任，及由此而支付的诉讼费用以及事先经保险人书面同意支付的其他费用。</w:t>
      </w:r>
    </w:p>
    <w:p w14:paraId="1EC22CD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6422581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25BF6BAD">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30.</w:t>
      </w:r>
      <w:r>
        <w:rPr>
          <w:rFonts w:hint="eastAsia" w:ascii="宋体" w:hAnsi="宋体" w:eastAsia="宋体" w:cs="Times New Roman"/>
          <w:b/>
          <w:bCs/>
          <w:szCs w:val="21"/>
          <w:highlight w:val="none"/>
          <w:lang w:eastAsia="zh-CN"/>
        </w:rPr>
        <w:t>车辆/船舶装卸责任条款</w:t>
      </w:r>
    </w:p>
    <w:p w14:paraId="52E8C04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兹经双方同意并约定，本附加险扩展承保被保险人因其拥有或租用的车辆/船舶在进行与被保险工程有关的装卸过程中发生意外事故造成第三者人身伤亡或财产损失时应负的赔偿责任。</w:t>
      </w:r>
    </w:p>
    <w:p w14:paraId="633B1C2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主险条款与本附加险条款相抵触之处，以本附加险条款为准；本附加险条款未约定事项，以主险条款为准。</w:t>
      </w:r>
    </w:p>
    <w:p w14:paraId="5D9303E8">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31.</w:t>
      </w:r>
      <w:r>
        <w:rPr>
          <w:rFonts w:hint="eastAsia" w:ascii="宋体" w:hAnsi="宋体" w:eastAsia="宋体" w:cs="Times New Roman"/>
          <w:b/>
          <w:bCs/>
          <w:szCs w:val="21"/>
          <w:highlight w:val="none"/>
          <w:lang w:eastAsia="zh-CN"/>
        </w:rPr>
        <w:t>跨线施工条款</w:t>
      </w:r>
    </w:p>
    <w:p w14:paraId="35A5B03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若在施工过程中需要跨线(包括铁路、公路及乡间道路)而非故意损坏沿线相邻的铁路、公路及乡间道路设施或机车，汽车等财产及人员伤亡，依法应由本工程施工方负责的第三者经济损失，保险人负责赔偿。</w:t>
      </w:r>
    </w:p>
    <w:p w14:paraId="58F6403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036E6DDD">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32.</w:t>
      </w:r>
      <w:r>
        <w:rPr>
          <w:rFonts w:hint="eastAsia" w:ascii="宋体" w:hAnsi="宋体" w:eastAsia="宋体" w:cs="Times New Roman"/>
          <w:b/>
          <w:bCs/>
          <w:szCs w:val="21"/>
          <w:highlight w:val="none"/>
          <w:lang w:eastAsia="zh-CN"/>
        </w:rPr>
        <w:t>地下电缆、管道及设施特别条款</w:t>
      </w:r>
    </w:p>
    <w:p w14:paraId="5A9EF94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公司负责赔偿被保险人对原有的地下电缆、管道或其它地下设施造成的损失。但被保险人须在工程开工前，向有关当局了解这些电缆、管道及其它地下设施的确切位置，并采取必要措施防止损失发生。</w:t>
      </w:r>
    </w:p>
    <w:p w14:paraId="15763FC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每次事故免赔额2000元或损失金额的5%，以高者为准。</w:t>
      </w:r>
    </w:p>
    <w:p w14:paraId="62E4D01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任何损失赔偿仅限于电缆、管道及地下设施的修理费用，任何后果损失及罚金均不负责。</w:t>
      </w:r>
    </w:p>
    <w:p w14:paraId="21D48D1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4034235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p>
    <w:p w14:paraId="510D0F21">
      <w:pPr>
        <w:keepNext w:val="0"/>
        <w:keepLines w:val="0"/>
        <w:pageBreakBefore w:val="0"/>
        <w:widowControl/>
        <w:kinsoku/>
        <w:wordWrap/>
        <w:overflowPunct/>
        <w:topLinePunct w:val="0"/>
        <w:autoSpaceDN/>
        <w:bidi w:val="0"/>
        <w:adjustRightInd/>
        <w:snapToGrid/>
        <w:spacing w:after="0" w:line="360" w:lineRule="auto"/>
        <w:ind w:right="0" w:firstLine="442" w:firstLineChars="20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同时适用于物质损失部分和第三者责任部分</w:t>
      </w:r>
    </w:p>
    <w:p w14:paraId="27F96521">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33.</w:t>
      </w:r>
      <w:r>
        <w:rPr>
          <w:rFonts w:hint="eastAsia" w:ascii="宋体" w:hAnsi="宋体" w:eastAsia="宋体" w:cs="Times New Roman"/>
          <w:b/>
          <w:bCs/>
          <w:szCs w:val="21"/>
          <w:highlight w:val="none"/>
          <w:lang w:eastAsia="zh-CN"/>
        </w:rPr>
        <w:t>错误和遗漏条款</w:t>
      </w:r>
    </w:p>
    <w:p w14:paraId="7F22ECE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同意，投保人、被保险人因过失而延迟、错误或遗漏向保险人告知或通知保险标的所占用的场地或价值的变更、保险标的危险程度增加或其他重要事项，被保险人在本保险合同项下的权益不受影响。但投保人、被保险人一旦发现其延迟、错误或遗漏，应立即通知保险人上述事项，并支付从风险增加之日起至保险期间届满之日止期间可能的额外保险费，否则保险人不承担保险责任。</w:t>
      </w:r>
    </w:p>
    <w:p w14:paraId="73ADF90F">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本附加条款与主条款内容相悖之处，以本附加条款为准；未尽之处，以主条款为准。</w:t>
      </w:r>
    </w:p>
    <w:p w14:paraId="7E83F33A">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34.</w:t>
      </w:r>
      <w:r>
        <w:rPr>
          <w:rFonts w:hint="eastAsia" w:ascii="宋体" w:hAnsi="宋体" w:eastAsia="宋体" w:cs="Times New Roman"/>
          <w:b/>
          <w:bCs/>
          <w:szCs w:val="21"/>
          <w:highlight w:val="none"/>
          <w:lang w:eastAsia="zh-CN"/>
        </w:rPr>
        <w:t>不受控制条款</w:t>
      </w:r>
    </w:p>
    <w:p w14:paraId="3564D0A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经双方同意，被保险人在无法控制或不存在过错的情况下违反本保险合同的条件和保证，本保险合同的保障不受影响。</w:t>
      </w:r>
    </w:p>
    <w:p w14:paraId="4C4F838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34200AFA">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35.</w:t>
      </w:r>
      <w:r>
        <w:rPr>
          <w:rFonts w:hint="eastAsia" w:ascii="宋体" w:hAnsi="宋体" w:eastAsia="宋体" w:cs="Times New Roman"/>
          <w:b/>
          <w:bCs/>
          <w:szCs w:val="21"/>
          <w:highlight w:val="none"/>
          <w:lang w:eastAsia="zh-CN"/>
        </w:rPr>
        <w:t>违反条件条款</w:t>
      </w:r>
    </w:p>
    <w:p w14:paraId="618E3ECF">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经双方同意，本保险单的条件和保证将分别适用于每一承保风险，而非共同适用于所有承保风险。因此，对某些条件和保证的违反仅使该违反所适用风险的那一部分保障失效，不影响有关其它风险保障的有效性。</w:t>
      </w:r>
    </w:p>
    <w:p w14:paraId="4A1F52F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本附加条款与主条款内容相悖之处，以本附加条款为准；未尽之处，以主条款为准。</w:t>
      </w:r>
    </w:p>
    <w:p w14:paraId="218FE355">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36.</w:t>
      </w:r>
      <w:r>
        <w:rPr>
          <w:rFonts w:hint="eastAsia" w:ascii="宋体" w:hAnsi="宋体" w:eastAsia="宋体" w:cs="Times New Roman"/>
          <w:b/>
          <w:bCs/>
          <w:szCs w:val="21"/>
          <w:highlight w:val="none"/>
          <w:lang w:eastAsia="zh-CN"/>
        </w:rPr>
        <w:t>地下炸弹特别条款</w:t>
      </w:r>
    </w:p>
    <w:p w14:paraId="47946CF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兹经双方同意，本保险单总除外责任</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 xml:space="preserve"> </w:t>
      </w:r>
      <w:r>
        <w:rPr>
          <w:rFonts w:hint="eastAsia" w:ascii="宋体" w:hAnsi="宋体" w:eastAsia="宋体" w:cs="宋体"/>
          <w:sz w:val="22"/>
          <w:szCs w:val="22"/>
          <w:highlight w:val="none"/>
          <w:lang w:val="en-US" w:eastAsia="zh-CN"/>
        </w:rPr>
        <w:t>A</w:t>
      </w:r>
      <w:r>
        <w:rPr>
          <w:rFonts w:hint="eastAsia" w:ascii="宋体" w:hAnsi="宋体" w:eastAsia="宋体" w:cs="宋体"/>
          <w:sz w:val="22"/>
          <w:szCs w:val="22"/>
          <w:highlight w:val="none"/>
        </w:rPr>
        <w:t>.  "战争、类似战争行为、敌对行为、恐怖行动、谋杀、政变。"不适用于工程开工前就已在地下或水下埋藏的炸弹、地雷、鱼雷、弹药及其它军火引起的损失。</w:t>
      </w:r>
    </w:p>
    <w:p w14:paraId="76494CE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本保险单所载其它条件不变。  </w:t>
      </w:r>
    </w:p>
    <w:p w14:paraId="355CD79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37.</w:t>
      </w:r>
      <w:r>
        <w:rPr>
          <w:rFonts w:hint="eastAsia" w:ascii="宋体" w:hAnsi="宋体" w:eastAsia="宋体" w:cs="Times New Roman"/>
          <w:b/>
          <w:bCs/>
          <w:szCs w:val="21"/>
          <w:highlight w:val="none"/>
          <w:lang w:eastAsia="zh-CN"/>
        </w:rPr>
        <w:t>停工损失扩展条款</w:t>
      </w:r>
    </w:p>
    <w:p w14:paraId="210EF2F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兹经双方同意，本保险扩展承保被保险工程全部或部分停工期间发生本保险单项下的保险责任范围内的事故导致的损失。但仅限于连续停工不超过3个月的工程部分，并且被保险人</w:t>
      </w:r>
    </w:p>
    <w:p w14:paraId="2D65A67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（1）在发生停工时，必须及时书面通知保险人；</w:t>
      </w:r>
    </w:p>
    <w:p w14:paraId="08012DC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（2）停工期间，必须对停工部分工程采取合理的防损措施；</w:t>
      </w:r>
    </w:p>
    <w:p w14:paraId="5F58963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14:paraId="0CFC8439">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38.</w:t>
      </w:r>
      <w:r>
        <w:rPr>
          <w:rFonts w:hint="eastAsia" w:ascii="宋体" w:hAnsi="宋体" w:eastAsia="宋体" w:cs="Times New Roman"/>
          <w:b/>
          <w:bCs/>
          <w:szCs w:val="21"/>
          <w:highlight w:val="none"/>
          <w:lang w:eastAsia="zh-CN"/>
        </w:rPr>
        <w:t>突然及意外渗漏、污染、玷污条款</w:t>
      </w:r>
    </w:p>
    <w:p w14:paraId="1478B4C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本保险合同扩展承保被保险人以下责任：</w:t>
      </w:r>
    </w:p>
    <w:p w14:paraId="33E57FD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由于泄漏、污染直接或间接导致的死亡、伤害、疾病、财产损失；</w:t>
      </w:r>
    </w:p>
    <w:p w14:paraId="36BF5F0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清除、清理泄漏物、污染物的费用。</w:t>
      </w:r>
    </w:p>
    <w:p w14:paraId="18F91AF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但上述泄漏、污染必须是在保险期间内由于突然、意外、无意和不期望而发生的。</w:t>
      </w:r>
    </w:p>
    <w:p w14:paraId="6AF1F61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6939977B">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39.</w:t>
      </w:r>
      <w:r>
        <w:rPr>
          <w:rFonts w:hint="eastAsia" w:ascii="宋体" w:hAnsi="宋体" w:eastAsia="宋体" w:cs="Times New Roman"/>
          <w:b/>
          <w:bCs/>
          <w:szCs w:val="21"/>
          <w:highlight w:val="none"/>
          <w:lang w:eastAsia="zh-CN"/>
        </w:rPr>
        <w:t>保险金额及保费调整条款（±10%）</w:t>
      </w:r>
    </w:p>
    <w:p w14:paraId="2102595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明细表第一部分项下列明的保险金额是在工程开始期间根据估算、概算、预算或者合同价格确定的预计保险金额。待工程完成后，应根据工程决算调整保险金额和保险费。被保险人应在本保险单列明的保险期间届满三个月内向保险人申报最终的工程决算造价。</w:t>
      </w:r>
    </w:p>
    <w:p w14:paraId="419ACE1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若本保险单项下第一部分被保险工程决算造价的变动幅度不超过预计保险金额的±10%，保险人同意不再根据工程决算造价调整保险费。</w:t>
      </w:r>
    </w:p>
    <w:p w14:paraId="46C41A6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如本保险单项下第一部分被保险工程决算造价的变动幅度超过预计总保险金额的±10%时，双方同意对超出或低于第一部分预计保险金额的部分，按照本保险单明细表中的保险费率</w:t>
      </w:r>
      <w:r>
        <w:rPr>
          <w:rFonts w:hint="eastAsia" w:ascii="宋体" w:hAnsi="宋体" w:eastAsia="宋体" w:cs="宋体"/>
          <w:sz w:val="22"/>
          <w:szCs w:val="22"/>
          <w:highlight w:val="none"/>
          <w:lang w:eastAsia="zh-CN"/>
        </w:rPr>
        <w:t>（中标保险费</w:t>
      </w:r>
      <w:r>
        <w:rPr>
          <w:rFonts w:hint="eastAsia" w:ascii="宋体" w:hAnsi="宋体" w:eastAsia="宋体" w:cs="宋体"/>
          <w:sz w:val="22"/>
          <w:szCs w:val="22"/>
          <w:highlight w:val="none"/>
          <w:lang w:val="en-US" w:eastAsia="zh-CN"/>
        </w:rPr>
        <w:t>/本项目物质损失部分保险金额</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对保险费进行相应的调增或调减。</w:t>
      </w:r>
    </w:p>
    <w:p w14:paraId="10C84A7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本附加险条款与主险条款内容相悖之处，以本附加险条款为准；未尽之处，以主险条款为准。</w:t>
      </w:r>
    </w:p>
    <w:p w14:paraId="25E4820E">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40.</w:t>
      </w:r>
      <w:r>
        <w:rPr>
          <w:rFonts w:hint="eastAsia" w:ascii="宋体" w:hAnsi="宋体" w:eastAsia="宋体" w:cs="Times New Roman"/>
          <w:b/>
          <w:bCs/>
          <w:szCs w:val="21"/>
          <w:highlight w:val="none"/>
          <w:lang w:eastAsia="zh-CN"/>
        </w:rPr>
        <w:t>预付赔款条款</w:t>
      </w:r>
    </w:p>
    <w:p w14:paraId="71044FE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当发生保险事故后，在保险责任明确但损失金额尚不能确定的情况下，保险人按被保险人要求预先支付赔款于被保险人，其比例为初步核损赔偿金额（扣除免赔后）的50% 。待最终结案之后，按实际赔偿总数，多退少补。</w:t>
      </w:r>
    </w:p>
    <w:p w14:paraId="2BE4779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42590E7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41.</w:t>
      </w:r>
      <w:r>
        <w:rPr>
          <w:rFonts w:hint="eastAsia" w:ascii="宋体" w:hAnsi="宋体" w:eastAsia="宋体" w:cs="Times New Roman"/>
          <w:b/>
          <w:bCs/>
          <w:szCs w:val="21"/>
          <w:highlight w:val="none"/>
          <w:lang w:eastAsia="zh-CN"/>
        </w:rPr>
        <w:t>工程完工部分扩展条款</w:t>
      </w:r>
    </w:p>
    <w:p w14:paraId="742EDC2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兹经双方同意，不论被保险人是否对本承保项目的部分工程已签发完工验收或临时验收证书或验收合格或实际占有，本保险单对于该已完工部分的保险责任继续有效不变，直至工程整体完工为止。</w:t>
      </w:r>
    </w:p>
    <w:p w14:paraId="05956D6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14:paraId="104FF09B">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42.</w:t>
      </w:r>
      <w:r>
        <w:rPr>
          <w:rFonts w:hint="eastAsia" w:ascii="宋体" w:hAnsi="宋体" w:eastAsia="宋体" w:cs="Times New Roman"/>
          <w:b/>
          <w:bCs/>
          <w:szCs w:val="21"/>
          <w:highlight w:val="none"/>
          <w:lang w:eastAsia="zh-CN"/>
        </w:rPr>
        <w:t>放弃代位追偿权条款</w:t>
      </w:r>
    </w:p>
    <w:p w14:paraId="4485385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若本保险单项下负责的损失涉及其他责任方时，不论保险人是否已赔偿被保险人，被保险人应立即采取一切必要的措施行使或保留向该责任方索赔的权利。在保险人支付赔款后，被保险人应将向该责任方追偿的权利转让给保险人，移交一切必要的单证，并协助保险人向责任方追偿。</w:t>
      </w:r>
    </w:p>
    <w:p w14:paraId="55658B9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人在此同意放弃向被保险人的分支机构、控股公司、雇员、股东、董事及系统内的相关机构、个人以及被保险人在损失发生前同意放弃追偿权的有关业务方、团体、官员或个人进行追偿的权利。但不包括任何恶意的、犯罪的、欺诈的或不忠实的行为直接导致的索赔所引起的代位求偿权。</w:t>
      </w:r>
    </w:p>
    <w:p w14:paraId="0E9E77B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14:paraId="0395E628">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43.</w:t>
      </w:r>
      <w:r>
        <w:rPr>
          <w:rFonts w:hint="eastAsia" w:ascii="宋体" w:hAnsi="宋体" w:eastAsia="宋体" w:cs="Times New Roman"/>
          <w:b/>
          <w:bCs/>
          <w:szCs w:val="21"/>
          <w:highlight w:val="none"/>
          <w:lang w:eastAsia="zh-CN"/>
        </w:rPr>
        <w:t>共同被保险人条款</w:t>
      </w:r>
    </w:p>
    <w:p w14:paraId="1105E86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兹经保险双方同意，鉴于组成被保险人之各方为不同的团体，每一团体在本保单项下之各方权益，均被视同各方独自拥有其独立保单以保障其权益。</w:t>
      </w:r>
    </w:p>
    <w:p w14:paraId="132126F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在发生本保单责任索赔后，而该索赔因组成被保险人各方中任何一方疏忽引致、及其行为并不存在有欺诈、欺骗、隐瞒或违约成分的，本公司同意放弃对该责任方采取任何代位求偿权力或行动。</w:t>
      </w:r>
    </w:p>
    <w:p w14:paraId="3CAC857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本保单明细表中所注之保险金额，并不因本条款所载之任何内容而有所增加。本保险单所载其它条件不变。</w:t>
      </w:r>
    </w:p>
    <w:p w14:paraId="38B78678">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44.</w:t>
      </w:r>
      <w:r>
        <w:rPr>
          <w:rFonts w:hint="eastAsia" w:ascii="宋体" w:hAnsi="宋体" w:eastAsia="宋体" w:cs="Times New Roman"/>
          <w:b/>
          <w:bCs/>
          <w:szCs w:val="21"/>
          <w:highlight w:val="none"/>
          <w:lang w:eastAsia="zh-CN"/>
        </w:rPr>
        <w:t>重大过失条款</w:t>
      </w:r>
    </w:p>
    <w:p w14:paraId="5CBA8A76">
      <w:pPr>
        <w:pStyle w:val="49"/>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兹经双方同意，本保险单扩展承保被保险人及其代表的重大过失引起的被保险财产的物质损失和由此引发的对第三者的赔偿责任。</w:t>
      </w:r>
    </w:p>
    <w:p w14:paraId="5C3BFDED">
      <w:pPr>
        <w:pStyle w:val="49"/>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本条款每次事故赔偿限额：见明细表。</w:t>
      </w:r>
    </w:p>
    <w:p w14:paraId="07B434AF">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45.</w:t>
      </w:r>
      <w:r>
        <w:rPr>
          <w:rFonts w:hint="eastAsia" w:ascii="宋体" w:hAnsi="宋体" w:eastAsia="宋体" w:cs="Times New Roman"/>
          <w:b/>
          <w:bCs/>
          <w:szCs w:val="21"/>
          <w:highlight w:val="none"/>
          <w:lang w:eastAsia="zh-CN"/>
        </w:rPr>
        <w:t>第一受益人条款</w:t>
      </w:r>
    </w:p>
    <w:p w14:paraId="35E864D4">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兹经双方同意并约定，应被保险人要求，投保人或其指定受益人为本保单的第一受益人。保险公司应将本保险单物质损失项下的赔款支付给投保人或投保人指定受益人的账户。</w:t>
      </w:r>
    </w:p>
    <w:p w14:paraId="4154CD99">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46.</w:t>
      </w:r>
      <w:r>
        <w:rPr>
          <w:rFonts w:hint="eastAsia" w:ascii="宋体" w:hAnsi="宋体" w:eastAsia="宋体" w:cs="Times New Roman"/>
          <w:b/>
          <w:bCs/>
          <w:szCs w:val="21"/>
          <w:highlight w:val="none"/>
          <w:lang w:eastAsia="zh-CN"/>
        </w:rPr>
        <w:t>持续损失特别条款</w:t>
      </w:r>
    </w:p>
    <w:p w14:paraId="33D99E53">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兹经双方同意，本保险单终止时被保险财产的损失尚在持续发生过程中（没有其他保单来承担该损失），则应视为全部损失均发生在本保险单项下。</w:t>
      </w:r>
    </w:p>
    <w:p w14:paraId="6EE9ED72">
      <w:pPr>
        <w:keepNext w:val="0"/>
        <w:keepLines w:val="0"/>
        <w:pageBreakBefore w:val="0"/>
        <w:widowControl/>
        <w:numPr>
          <w:ilvl w:val="0"/>
          <w:numId w:val="0"/>
        </w:numPr>
        <w:kinsoku/>
        <w:wordWrap/>
        <w:overflowPunct/>
        <w:topLinePunct w:val="0"/>
        <w:autoSpaceDE w:val="0"/>
        <w:autoSpaceDN/>
        <w:bidi w:val="0"/>
        <w:adjustRightInd/>
        <w:snapToGrid/>
        <w:spacing w:after="0" w:line="360" w:lineRule="auto"/>
        <w:ind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14:paraId="22A20C3E">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47.</w:t>
      </w:r>
      <w:r>
        <w:rPr>
          <w:rFonts w:hint="eastAsia" w:ascii="宋体" w:hAnsi="宋体" w:eastAsia="宋体" w:cs="Times New Roman"/>
          <w:b/>
          <w:bCs/>
          <w:szCs w:val="21"/>
          <w:highlight w:val="none"/>
          <w:lang w:eastAsia="zh-CN"/>
        </w:rPr>
        <w:t>优先条款</w:t>
      </w:r>
    </w:p>
    <w:p w14:paraId="33D67384">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兹经双方同意并约定, 在存在重复保险的情况下，发生保险事故引起损失时，本保单将视同其他保单不存在，予以优先赔偿。</w:t>
      </w:r>
    </w:p>
    <w:p w14:paraId="6DBFA920">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48.</w:t>
      </w:r>
      <w:r>
        <w:rPr>
          <w:rFonts w:hint="eastAsia" w:ascii="宋体" w:hAnsi="宋体" w:eastAsia="宋体" w:cs="Times New Roman"/>
          <w:b/>
          <w:bCs/>
          <w:szCs w:val="21"/>
          <w:highlight w:val="none"/>
          <w:lang w:eastAsia="zh-CN"/>
        </w:rPr>
        <w:t>弃权与禁止反言条款</w:t>
      </w:r>
    </w:p>
    <w:p w14:paraId="17479C91">
      <w:pPr>
        <w:pStyle w:val="50"/>
        <w:keepNext w:val="0"/>
        <w:keepLines w:val="0"/>
        <w:pageBreakBefore w:val="0"/>
        <w:widowControl/>
        <w:kinsoku/>
        <w:wordWrap/>
        <w:overflowPunct/>
        <w:topLinePunct w:val="0"/>
        <w:autoSpaceDN/>
        <w:bidi w:val="0"/>
        <w:adjustRightInd/>
        <w:snapToGrid/>
        <w:spacing w:after="0" w:line="360" w:lineRule="auto"/>
        <w:ind w:right="0" w:firstLine="440" w:firstLineChars="20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双方一致同意，投保人告知义务的履行仅限于保险人在承保前的书面询问，保险人签定保险单，表明保险人对保险标的的风险已有完全了解，因此，在发生事故损失时，不得以投保人没有履行告知义务而拒绝履行赔偿义务。</w:t>
      </w:r>
    </w:p>
    <w:p w14:paraId="22F3B394">
      <w:pPr>
        <w:spacing w:line="360" w:lineRule="auto"/>
        <w:jc w:val="both"/>
        <w:rPr>
          <w:rFonts w:hint="eastAsia" w:ascii="宋体" w:hAnsi="宋体"/>
          <w:b/>
          <w:sz w:val="24"/>
          <w:highlight w:val="none"/>
          <w:lang w:eastAsia="zh-CN"/>
        </w:rPr>
      </w:pPr>
    </w:p>
    <w:p w14:paraId="4FEEAE28">
      <w:pPr>
        <w:spacing w:line="360" w:lineRule="auto"/>
        <w:jc w:val="center"/>
        <w:rPr>
          <w:rFonts w:hint="eastAsia" w:ascii="宋体" w:hAnsi="宋体"/>
          <w:b/>
          <w:sz w:val="24"/>
          <w:highlight w:val="none"/>
          <w:lang w:eastAsia="zh-CN"/>
        </w:rPr>
      </w:pPr>
    </w:p>
    <w:p w14:paraId="40EA180A">
      <w:pPr>
        <w:spacing w:line="360" w:lineRule="auto"/>
        <w:jc w:val="center"/>
        <w:rPr>
          <w:rFonts w:hint="eastAsia" w:ascii="宋体" w:hAnsi="宋体"/>
          <w:b/>
          <w:sz w:val="24"/>
          <w:highlight w:val="none"/>
          <w:lang w:eastAsia="zh-CN"/>
        </w:rPr>
      </w:pPr>
      <w:r>
        <w:rPr>
          <w:rFonts w:hint="eastAsia" w:ascii="宋体" w:hAnsi="宋体"/>
          <w:b/>
          <w:sz w:val="24"/>
          <w:highlight w:val="none"/>
          <w:lang w:eastAsia="zh-CN"/>
        </w:rPr>
        <w:t>第三部分：基本条款</w:t>
      </w:r>
    </w:p>
    <w:p w14:paraId="14CB9F55">
      <w:pPr>
        <w:jc w:val="center"/>
        <w:rPr>
          <w:rFonts w:hint="eastAsia"/>
          <w:lang w:eastAsia="zh-CN"/>
        </w:rPr>
      </w:pPr>
      <w:r>
        <w:rPr>
          <w:rFonts w:hint="eastAsia"/>
          <w:sz w:val="22"/>
          <w:szCs w:val="28"/>
          <w:highlight w:val="yellow"/>
          <w:lang w:val="en-US" w:eastAsia="zh-CN"/>
        </w:rPr>
        <w:t>（本协议为样本，仅供参考，将根据保险中标结果确定的承保公司内容予以调整）</w:t>
      </w:r>
    </w:p>
    <w:p w14:paraId="4BED41CB">
      <w:pPr>
        <w:jc w:val="center"/>
        <w:rPr>
          <w:rFonts w:hint="eastAsia"/>
          <w:b/>
          <w:sz w:val="24"/>
          <w:szCs w:val="20"/>
          <w:highlight w:val="none"/>
          <w:lang w:eastAsia="zh-CN"/>
        </w:rPr>
      </w:pPr>
      <w:bookmarkStart w:id="121" w:name="_Toc498844808"/>
      <w:r>
        <w:rPr>
          <w:rFonts w:hint="eastAsia"/>
          <w:b/>
          <w:sz w:val="24"/>
          <w:szCs w:val="20"/>
          <w:highlight w:val="none"/>
          <w:lang w:eastAsia="zh-CN"/>
        </w:rPr>
        <w:t>建筑工程一切险条款（2009版）</w:t>
      </w:r>
      <w:bookmarkEnd w:id="121"/>
    </w:p>
    <w:p w14:paraId="7152748E">
      <w:pPr>
        <w:spacing w:after="120" w:afterLines="50"/>
        <w:rPr>
          <w:rFonts w:hint="eastAsia" w:ascii="宋体" w:hAnsi="宋体"/>
          <w:szCs w:val="21"/>
          <w:highlight w:val="none"/>
          <w:lang w:eastAsia="zh-CN"/>
        </w:rPr>
      </w:pPr>
    </w:p>
    <w:p w14:paraId="58D42213">
      <w:pPr>
        <w:spacing w:after="0" w:line="360" w:lineRule="auto"/>
        <w:jc w:val="center"/>
        <w:rPr>
          <w:rFonts w:hint="eastAsia" w:ascii="宋体" w:hAnsi="宋体"/>
          <w:b/>
          <w:bCs/>
          <w:szCs w:val="21"/>
          <w:highlight w:val="none"/>
        </w:rPr>
      </w:pPr>
      <w:bookmarkStart w:id="122" w:name="总则"/>
      <w:r>
        <w:rPr>
          <w:rFonts w:hint="eastAsia" w:ascii="宋体" w:hAnsi="宋体"/>
          <w:b/>
          <w:bCs/>
          <w:szCs w:val="21"/>
          <w:highlight w:val="none"/>
        </w:rPr>
        <w:t>总  则</w:t>
      </w:r>
      <w:bookmarkEnd w:id="122"/>
    </w:p>
    <w:p w14:paraId="52ABAD1F">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本保险合同由保险条款、投保单、保险单以及批单组成。凡涉及本保险合同的约定，均应采用书面形式。</w:t>
      </w:r>
    </w:p>
    <w:p w14:paraId="4922FD6E">
      <w:pPr>
        <w:spacing w:after="0" w:line="360" w:lineRule="auto"/>
        <w:ind w:firstLine="480"/>
        <w:rPr>
          <w:rFonts w:hint="eastAsia" w:ascii="宋体" w:hAnsi="宋体"/>
          <w:szCs w:val="21"/>
          <w:highlight w:val="none"/>
          <w:lang w:eastAsia="zh-CN"/>
        </w:rPr>
      </w:pPr>
    </w:p>
    <w:p w14:paraId="2789E772">
      <w:pPr>
        <w:spacing w:after="0" w:line="360" w:lineRule="auto"/>
        <w:jc w:val="center"/>
        <w:rPr>
          <w:rFonts w:hint="eastAsia" w:ascii="宋体" w:hAnsi="宋体"/>
          <w:b/>
          <w:bCs/>
          <w:szCs w:val="21"/>
          <w:highlight w:val="none"/>
          <w:lang w:eastAsia="zh-CN"/>
        </w:rPr>
      </w:pPr>
      <w:r>
        <w:rPr>
          <w:rFonts w:hint="eastAsia" w:ascii="宋体" w:hAnsi="宋体"/>
          <w:b/>
          <w:bCs/>
          <w:szCs w:val="21"/>
          <w:highlight w:val="none"/>
          <w:lang w:eastAsia="zh-CN"/>
        </w:rPr>
        <w:t>第一部分  物质损失保险部分</w:t>
      </w:r>
    </w:p>
    <w:p w14:paraId="42CAC88E">
      <w:pPr>
        <w:spacing w:after="0" w:line="360" w:lineRule="auto"/>
        <w:jc w:val="center"/>
        <w:rPr>
          <w:rFonts w:hint="eastAsia" w:ascii="宋体" w:hAnsi="宋体"/>
          <w:b/>
          <w:bCs/>
          <w:szCs w:val="21"/>
          <w:highlight w:val="none"/>
          <w:lang w:eastAsia="zh-CN"/>
        </w:rPr>
      </w:pPr>
    </w:p>
    <w:p w14:paraId="591CB98D">
      <w:pPr>
        <w:spacing w:after="0" w:line="360" w:lineRule="auto"/>
        <w:jc w:val="center"/>
        <w:rPr>
          <w:rFonts w:ascii="宋体" w:hAnsi="宋体"/>
          <w:b/>
          <w:bCs/>
          <w:szCs w:val="21"/>
          <w:highlight w:val="none"/>
        </w:rPr>
      </w:pPr>
      <w:r>
        <w:rPr>
          <w:rFonts w:hint="eastAsia" w:ascii="宋体" w:hAnsi="宋体"/>
          <w:b/>
          <w:bCs/>
          <w:szCs w:val="21"/>
          <w:highlight w:val="none"/>
        </w:rPr>
        <w:t>保险标的</w:t>
      </w:r>
    </w:p>
    <w:p w14:paraId="6AFA74D7">
      <w:pPr>
        <w:numPr>
          <w:ilvl w:val="0"/>
          <w:numId w:val="7"/>
        </w:num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本保险合同的保险标的为：</w:t>
      </w:r>
    </w:p>
    <w:p w14:paraId="077AB3D2">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本保险合同明细表中分项列明的在列明工地范围内的与实施工程合同相关的财产或费用，属于</w:t>
      </w:r>
    </w:p>
    <w:p w14:paraId="70CE118F">
      <w:pPr>
        <w:spacing w:after="0" w:line="360" w:lineRule="auto"/>
        <w:ind w:firstLine="420" w:firstLineChars="200"/>
        <w:rPr>
          <w:rFonts w:hint="eastAsia" w:ascii="宋体" w:hAnsi="宋体"/>
          <w:szCs w:val="21"/>
          <w:highlight w:val="none"/>
          <w:lang w:eastAsia="zh-CN"/>
        </w:rPr>
      </w:pPr>
    </w:p>
    <w:p w14:paraId="592C504E">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本保险合同的保险标的。</w:t>
      </w:r>
    </w:p>
    <w:p w14:paraId="4CC0FFE5">
      <w:pPr>
        <w:numPr>
          <w:ilvl w:val="0"/>
          <w:numId w:val="7"/>
        </w:numPr>
        <w:spacing w:after="0" w:line="360" w:lineRule="auto"/>
        <w:ind w:firstLine="420" w:firstLineChars="200"/>
        <w:rPr>
          <w:rFonts w:ascii="宋体" w:hAnsi="宋体"/>
          <w:szCs w:val="21"/>
          <w:highlight w:val="none"/>
          <w:lang w:eastAsia="zh-CN"/>
        </w:rPr>
      </w:pPr>
      <w:r>
        <w:rPr>
          <w:rFonts w:hint="eastAsia" w:ascii="宋体" w:hAnsi="宋体"/>
          <w:szCs w:val="21"/>
          <w:highlight w:val="none"/>
          <w:lang w:eastAsia="zh-CN"/>
        </w:rPr>
        <w:t>下列财产未经保险合同双方特别约定并在保险合同中载明保险金额的</w:t>
      </w:r>
      <w:r>
        <w:rPr>
          <w:rFonts w:ascii="宋体" w:hAnsi="宋体"/>
          <w:szCs w:val="21"/>
          <w:highlight w:val="none"/>
          <w:lang w:eastAsia="zh-CN"/>
        </w:rPr>
        <w:t>，不属于本保险合同的保险标的：</w:t>
      </w:r>
    </w:p>
    <w:p w14:paraId="4B96EFC5">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（一）施工用机具、设备、机械装置；</w:t>
      </w:r>
    </w:p>
    <w:p w14:paraId="7F53E919">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（二）在保险工程开始以前已经存在或形成的位于工地范围内或其周围的属于被保险人的财产；</w:t>
      </w:r>
    </w:p>
    <w:p w14:paraId="565E835B">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三）在本保险合同保险期间终止前，已经投入商业运行或业主已经接受、实际占有的财产或其中的任何一部分财产，或已经签发工程竣工证书或工程承包人已经正式提出申请验收并经业主代表验收合格的财产或其中任何一部分财产；</w:t>
      </w:r>
    </w:p>
    <w:p w14:paraId="1D6525CA">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（四）清除残骸费用。该费用指发生保险事故后，被保险人为修复保险标的而清理施工现场所发生的必要、合理的费用。</w:t>
      </w:r>
    </w:p>
    <w:p w14:paraId="62CDDF4A">
      <w:pPr>
        <w:numPr>
          <w:ilvl w:val="0"/>
          <w:numId w:val="7"/>
        </w:num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下列财产不属于本保险合同的保险标的：</w:t>
      </w:r>
    </w:p>
    <w:p w14:paraId="1E7495A0">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（一）文件、账册、图表、技术资料、计算机软件、计算机数据资料等无法鉴定价值的财产；</w:t>
      </w:r>
    </w:p>
    <w:p w14:paraId="0A8D1FC4">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（二）便携式通讯装置、便携式计算机设备、便携式照相摄像器材以及其他便携式装置、设备；</w:t>
      </w:r>
    </w:p>
    <w:p w14:paraId="479A7BF4">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（三）土地、海床、矿藏、水资源、动物、植物、农作物；</w:t>
      </w:r>
    </w:p>
    <w:p w14:paraId="2099C244">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（四）领有公共运输行驶执照的，或已由其他保险予以保障的车辆、船舶、航空器；</w:t>
      </w:r>
    </w:p>
    <w:p w14:paraId="7754152E">
      <w:pPr>
        <w:spacing w:after="0" w:line="360" w:lineRule="auto"/>
        <w:ind w:firstLine="420" w:firstLineChars="200"/>
        <w:rPr>
          <w:rFonts w:hint="eastAsia" w:ascii="宋体" w:hAnsi="宋体"/>
          <w:b/>
          <w:szCs w:val="21"/>
          <w:highlight w:val="none"/>
          <w:lang w:eastAsia="zh-CN"/>
        </w:rPr>
      </w:pPr>
      <w:r>
        <w:rPr>
          <w:rFonts w:hint="eastAsia" w:ascii="宋体" w:hAnsi="宋体"/>
          <w:szCs w:val="21"/>
          <w:highlight w:val="none"/>
          <w:lang w:eastAsia="zh-CN"/>
        </w:rPr>
        <w:t>（五）违章建筑、危险建筑、非法占用的财产。</w:t>
      </w:r>
    </w:p>
    <w:p w14:paraId="7F88488F">
      <w:pPr>
        <w:spacing w:after="0" w:line="360" w:lineRule="auto"/>
        <w:ind w:firstLine="444"/>
        <w:rPr>
          <w:rFonts w:hint="eastAsia" w:ascii="宋体" w:hAnsi="宋体"/>
          <w:szCs w:val="21"/>
          <w:highlight w:val="none"/>
          <w:lang w:eastAsia="zh-CN"/>
        </w:rPr>
      </w:pPr>
    </w:p>
    <w:p w14:paraId="5D0617F7">
      <w:pPr>
        <w:spacing w:after="0" w:line="360" w:lineRule="auto"/>
        <w:jc w:val="center"/>
        <w:rPr>
          <w:rFonts w:hint="eastAsia" w:ascii="宋体" w:hAnsi="宋体"/>
          <w:b/>
          <w:bCs/>
          <w:szCs w:val="21"/>
          <w:highlight w:val="none"/>
        </w:rPr>
      </w:pPr>
      <w:r>
        <w:rPr>
          <w:rFonts w:hint="eastAsia" w:ascii="宋体" w:hAnsi="宋体"/>
          <w:b/>
          <w:bCs/>
          <w:szCs w:val="21"/>
          <w:highlight w:val="none"/>
        </w:rPr>
        <w:t>保险责任</w:t>
      </w:r>
    </w:p>
    <w:p w14:paraId="26AA2235">
      <w:pPr>
        <w:numPr>
          <w:ilvl w:val="0"/>
          <w:numId w:val="7"/>
        </w:num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在保险期间内，本保险合同分项列明的保险财产在列明的工地范围内，因本保险合同责任免除以外的任何自然灾害或意外事故造成的物质损坏或灭失</w:t>
      </w:r>
      <w:r>
        <w:rPr>
          <w:rFonts w:ascii="宋体" w:hAnsi="宋体"/>
          <w:szCs w:val="21"/>
          <w:highlight w:val="none"/>
          <w:lang w:eastAsia="zh-CN"/>
        </w:rPr>
        <w:t>(</w:t>
      </w:r>
      <w:r>
        <w:rPr>
          <w:rFonts w:hint="eastAsia" w:ascii="宋体" w:hAnsi="宋体"/>
          <w:szCs w:val="21"/>
          <w:highlight w:val="none"/>
          <w:lang w:eastAsia="zh-CN"/>
        </w:rPr>
        <w:t>以下简称“损失”</w:t>
      </w:r>
      <w:r>
        <w:rPr>
          <w:rFonts w:ascii="宋体" w:hAnsi="宋体"/>
          <w:szCs w:val="21"/>
          <w:highlight w:val="none"/>
          <w:lang w:eastAsia="zh-CN"/>
        </w:rPr>
        <w:t>)</w:t>
      </w:r>
      <w:r>
        <w:rPr>
          <w:rFonts w:hint="eastAsia" w:ascii="宋体" w:hAnsi="宋体"/>
          <w:szCs w:val="21"/>
          <w:highlight w:val="none"/>
          <w:lang w:eastAsia="zh-CN"/>
        </w:rPr>
        <w:t>，保险人按本保险合同的约定负责赔偿。</w:t>
      </w:r>
    </w:p>
    <w:p w14:paraId="2A7A2107">
      <w:pPr>
        <w:numPr>
          <w:ilvl w:val="0"/>
          <w:numId w:val="7"/>
        </w:numPr>
        <w:spacing w:after="0" w:line="360" w:lineRule="auto"/>
        <w:ind w:firstLine="420" w:firstLineChars="200"/>
        <w:rPr>
          <w:rFonts w:ascii="宋体" w:hAnsi="宋体"/>
          <w:b/>
          <w:szCs w:val="21"/>
          <w:highlight w:val="none"/>
          <w:lang w:eastAsia="zh-CN"/>
        </w:rPr>
      </w:pPr>
      <w:r>
        <w:rPr>
          <w:rFonts w:hint="eastAsia" w:ascii="宋体" w:hAnsi="宋体"/>
          <w:szCs w:val="21"/>
          <w:highlight w:val="none"/>
          <w:lang w:eastAsia="zh-CN"/>
        </w:rPr>
        <w:t>在保险期间内，由于第五条保险责任事故发生造成保险标的的损失所产生的以下费用，保险人按照本保险合同的约定负责赔偿：</w:t>
      </w:r>
    </w:p>
    <w:p w14:paraId="14A95FFB">
      <w:pPr>
        <w:pStyle w:val="19"/>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（一）保险事故发生后，被保险人为防止或减少保险标的的损失所支付的必要的、合理的费用，保险人按照本保险合同的约定也负责赔偿。</w:t>
      </w:r>
    </w:p>
    <w:p w14:paraId="2F0CB171">
      <w:pPr>
        <w:pStyle w:val="19"/>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（二）对经本保险合同列明的因发生上述损失所产生的其他有关费用，保险人按本保险合同约定负责赔偿。</w:t>
      </w:r>
    </w:p>
    <w:p w14:paraId="3EEC937E">
      <w:pPr>
        <w:spacing w:after="0" w:line="360" w:lineRule="auto"/>
        <w:rPr>
          <w:highlight w:val="none"/>
          <w:lang w:eastAsia="zh-CN"/>
        </w:rPr>
      </w:pPr>
    </w:p>
    <w:p w14:paraId="3B97BDD9">
      <w:pPr>
        <w:spacing w:after="0" w:line="360" w:lineRule="auto"/>
        <w:jc w:val="center"/>
        <w:rPr>
          <w:rFonts w:hint="eastAsia" w:ascii="宋体" w:hAnsi="宋体"/>
          <w:b/>
          <w:bCs/>
          <w:szCs w:val="21"/>
          <w:highlight w:val="none"/>
        </w:rPr>
      </w:pPr>
      <w:r>
        <w:rPr>
          <w:rFonts w:hint="eastAsia" w:ascii="宋体" w:hAnsi="宋体"/>
          <w:b/>
          <w:bCs/>
          <w:szCs w:val="21"/>
          <w:highlight w:val="none"/>
        </w:rPr>
        <w:t>责任免除</w:t>
      </w:r>
    </w:p>
    <w:p w14:paraId="6CBD5A33">
      <w:pPr>
        <w:numPr>
          <w:ilvl w:val="0"/>
          <w:numId w:val="7"/>
        </w:numPr>
        <w:autoSpaceDE w:val="0"/>
        <w:autoSpaceDN w:val="0"/>
        <w:spacing w:after="0" w:line="360" w:lineRule="auto"/>
        <w:rPr>
          <w:rFonts w:hint="eastAsia" w:ascii="宋体" w:hAnsi="宋体"/>
          <w:b/>
          <w:szCs w:val="21"/>
          <w:highlight w:val="none"/>
          <w:lang w:eastAsia="zh-CN"/>
        </w:rPr>
      </w:pPr>
      <w:r>
        <w:rPr>
          <w:rFonts w:hint="eastAsia" w:ascii="宋体" w:hAnsi="宋体"/>
          <w:b/>
          <w:szCs w:val="21"/>
          <w:highlight w:val="none"/>
          <w:lang w:eastAsia="zh-CN"/>
        </w:rPr>
        <w:t>下列原因造成的损失、费用，保险人不负责赔偿：</w:t>
      </w:r>
    </w:p>
    <w:p w14:paraId="781ACB3A">
      <w:pPr>
        <w:autoSpaceDE w:val="0"/>
        <w:autoSpaceDN w:val="0"/>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（一）设计错误引起的损失和费用；</w:t>
      </w:r>
    </w:p>
    <w:p w14:paraId="502034E2">
      <w:pPr>
        <w:autoSpaceDE w:val="0"/>
        <w:autoSpaceDN w:val="0"/>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（二）自然磨损、内在或潜在缺陷、物质本身变化、自燃、自热、氧化、锈蚀、渗漏、鼠咬、虫蛀、大气</w:t>
      </w:r>
      <w:r>
        <w:rPr>
          <w:rFonts w:ascii="宋体" w:hAnsi="宋体"/>
          <w:b/>
          <w:szCs w:val="21"/>
          <w:highlight w:val="none"/>
          <w:lang w:eastAsia="zh-CN"/>
        </w:rPr>
        <w:t>(</w:t>
      </w:r>
      <w:r>
        <w:rPr>
          <w:rFonts w:hint="eastAsia" w:ascii="宋体" w:hAnsi="宋体"/>
          <w:b/>
          <w:szCs w:val="21"/>
          <w:highlight w:val="none"/>
          <w:lang w:eastAsia="zh-CN"/>
        </w:rPr>
        <w:t>气候或气温</w:t>
      </w:r>
      <w:r>
        <w:rPr>
          <w:rFonts w:ascii="宋体" w:hAnsi="宋体"/>
          <w:b/>
          <w:szCs w:val="21"/>
          <w:highlight w:val="none"/>
          <w:lang w:eastAsia="zh-CN"/>
        </w:rPr>
        <w:t>)</w:t>
      </w:r>
      <w:r>
        <w:rPr>
          <w:rFonts w:hint="eastAsia" w:ascii="宋体" w:hAnsi="宋体"/>
          <w:b/>
          <w:szCs w:val="21"/>
          <w:highlight w:val="none"/>
          <w:lang w:eastAsia="zh-CN"/>
        </w:rPr>
        <w:t>变化、正常水位变化或其他渐变原因造成的保险财产自身的损失和费用；</w:t>
      </w:r>
    </w:p>
    <w:p w14:paraId="21D32F9A">
      <w:pPr>
        <w:autoSpaceDE w:val="0"/>
        <w:autoSpaceDN w:val="0"/>
        <w:spacing w:after="0" w:line="360" w:lineRule="auto"/>
        <w:ind w:firstLine="422" w:firstLineChars="200"/>
        <w:rPr>
          <w:rFonts w:ascii="宋体" w:hAnsi="宋体"/>
          <w:b/>
          <w:szCs w:val="21"/>
          <w:highlight w:val="none"/>
          <w:lang w:eastAsia="zh-CN"/>
        </w:rPr>
      </w:pPr>
      <w:r>
        <w:rPr>
          <w:rFonts w:hint="eastAsia" w:ascii="宋体" w:hAnsi="宋体"/>
          <w:b/>
          <w:szCs w:val="21"/>
          <w:highlight w:val="none"/>
          <w:lang w:eastAsia="zh-CN"/>
        </w:rPr>
        <w:t>（三）因原材料缺陷或工艺不善引起的保险财产本身的损失以及为换置、修理或矫正这些缺点错误所支付的费用；</w:t>
      </w:r>
    </w:p>
    <w:p w14:paraId="307C5A45">
      <w:pPr>
        <w:autoSpaceDE w:val="0"/>
        <w:autoSpaceDN w:val="0"/>
        <w:spacing w:after="0" w:line="360" w:lineRule="auto"/>
        <w:rPr>
          <w:rFonts w:ascii="宋体" w:hAnsi="宋体"/>
          <w:b/>
          <w:szCs w:val="21"/>
          <w:highlight w:val="none"/>
          <w:lang w:eastAsia="zh-CN"/>
        </w:rPr>
      </w:pPr>
      <w:r>
        <w:rPr>
          <w:rFonts w:ascii="宋体" w:hAnsi="宋体"/>
          <w:b/>
          <w:szCs w:val="21"/>
          <w:highlight w:val="none"/>
          <w:lang w:eastAsia="zh-CN"/>
        </w:rPr>
        <w:t xml:space="preserve">    </w:t>
      </w:r>
      <w:r>
        <w:rPr>
          <w:rFonts w:hint="eastAsia" w:ascii="宋体" w:hAnsi="宋体"/>
          <w:b/>
          <w:szCs w:val="21"/>
          <w:highlight w:val="none"/>
          <w:lang w:eastAsia="zh-CN"/>
        </w:rPr>
        <w:t>（四）非外力引起的机械或电气装置的本身损失，或施工用机具、设备、机械装置失灵造成的本身损失。</w:t>
      </w:r>
    </w:p>
    <w:p w14:paraId="1B049345">
      <w:pPr>
        <w:numPr>
          <w:ilvl w:val="0"/>
          <w:numId w:val="7"/>
        </w:numPr>
        <w:spacing w:after="0" w:line="360" w:lineRule="auto"/>
        <w:rPr>
          <w:rFonts w:hint="eastAsia" w:ascii="宋体" w:hAnsi="宋体"/>
          <w:b/>
          <w:szCs w:val="21"/>
          <w:highlight w:val="none"/>
          <w:lang w:eastAsia="zh-CN"/>
        </w:rPr>
      </w:pPr>
      <w:r>
        <w:rPr>
          <w:rFonts w:hint="eastAsia" w:ascii="宋体" w:hAnsi="宋体"/>
          <w:b/>
          <w:szCs w:val="21"/>
          <w:highlight w:val="none"/>
          <w:lang w:eastAsia="zh-CN"/>
        </w:rPr>
        <w:t>下列损失、费用，保险人也不负责赔偿：</w:t>
      </w:r>
    </w:p>
    <w:p w14:paraId="24CB1E98">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（一）维修保养或正常检修的费用；</w:t>
      </w:r>
    </w:p>
    <w:p w14:paraId="6326EE77">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（二）档案、文件、账簿、票据、现金、各种有价证券、图表资料及包装物料的损失；</w:t>
      </w:r>
    </w:p>
    <w:p w14:paraId="1B4F4046">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（三）盘点时发现的短缺；</w:t>
      </w:r>
      <w:r>
        <w:rPr>
          <w:rFonts w:ascii="宋体" w:hAnsi="宋体"/>
          <w:b/>
          <w:szCs w:val="21"/>
          <w:highlight w:val="none"/>
          <w:lang w:eastAsia="zh-CN"/>
        </w:rPr>
        <w:t xml:space="preserve"> </w:t>
      </w:r>
    </w:p>
    <w:p w14:paraId="78888791">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（四）领有公共运输行驶执照的，或已由其他保险予以保障的车辆、船舶和飞机的损失；</w:t>
      </w:r>
    </w:p>
    <w:p w14:paraId="6249DBFC">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（五）除非另有约定，在保险工程开始以前已经存在或形成的位于工地范围内或其周围的属于被保险人的财产的损失；</w:t>
      </w:r>
    </w:p>
    <w:p w14:paraId="07CB63FD">
      <w:pPr>
        <w:spacing w:after="0" w:line="360" w:lineRule="auto"/>
        <w:rPr>
          <w:rFonts w:hint="eastAsia" w:ascii="宋体" w:hAnsi="宋体"/>
          <w:b/>
          <w:szCs w:val="21"/>
          <w:highlight w:val="none"/>
          <w:lang w:eastAsia="zh-CN"/>
        </w:rPr>
      </w:pPr>
      <w:r>
        <w:rPr>
          <w:rFonts w:hint="eastAsia" w:ascii="宋体" w:hAnsi="宋体"/>
          <w:b/>
          <w:szCs w:val="21"/>
          <w:highlight w:val="none"/>
          <w:lang w:eastAsia="zh-CN"/>
        </w:rPr>
        <w:t xml:space="preserve">    （六）除非另有约定，在本保险合同保险期间终止以前，保险财产中已由工程所有人签发完工验收证书或验收合格或实际占有或使用或接收部分的损失。</w:t>
      </w:r>
    </w:p>
    <w:p w14:paraId="77A50B71">
      <w:pPr>
        <w:spacing w:after="0" w:line="360" w:lineRule="auto"/>
        <w:jc w:val="center"/>
        <w:rPr>
          <w:rFonts w:hint="eastAsia" w:ascii="宋体" w:hAnsi="宋体"/>
          <w:b/>
          <w:szCs w:val="21"/>
          <w:highlight w:val="none"/>
          <w:lang w:eastAsia="zh-CN"/>
        </w:rPr>
      </w:pPr>
    </w:p>
    <w:p w14:paraId="3FCE23F7">
      <w:pPr>
        <w:spacing w:after="0" w:line="360" w:lineRule="auto"/>
        <w:jc w:val="center"/>
        <w:rPr>
          <w:rFonts w:hint="eastAsia" w:ascii="宋体" w:hAnsi="宋体"/>
          <w:b/>
          <w:bCs/>
          <w:szCs w:val="21"/>
          <w:highlight w:val="none"/>
          <w:lang w:eastAsia="zh-CN"/>
        </w:rPr>
      </w:pPr>
      <w:r>
        <w:rPr>
          <w:rFonts w:hint="eastAsia" w:ascii="宋体" w:hAnsi="宋体"/>
          <w:b/>
          <w:bCs/>
          <w:szCs w:val="21"/>
          <w:highlight w:val="none"/>
          <w:lang w:eastAsia="zh-CN"/>
        </w:rPr>
        <w:t>保险金额与免赔额（率）</w:t>
      </w:r>
    </w:p>
    <w:p w14:paraId="634E30DB">
      <w:pPr>
        <w:numPr>
          <w:ilvl w:val="0"/>
          <w:numId w:val="7"/>
        </w:numPr>
        <w:spacing w:after="0" w:line="360" w:lineRule="auto"/>
        <w:rPr>
          <w:rFonts w:ascii="宋体" w:hAnsi="宋体"/>
          <w:szCs w:val="21"/>
          <w:highlight w:val="none"/>
          <w:lang w:eastAsia="zh-CN"/>
        </w:rPr>
      </w:pPr>
      <w:r>
        <w:rPr>
          <w:rFonts w:ascii="宋体" w:hAnsi="宋体"/>
          <w:szCs w:val="21"/>
          <w:highlight w:val="none"/>
          <w:lang w:eastAsia="zh-CN"/>
        </w:rPr>
        <w:t>(</w:t>
      </w:r>
      <w:r>
        <w:rPr>
          <w:rFonts w:hint="eastAsia" w:ascii="宋体" w:hAnsi="宋体"/>
          <w:szCs w:val="21"/>
          <w:highlight w:val="none"/>
          <w:lang w:eastAsia="zh-CN"/>
        </w:rPr>
        <w:t>一</w:t>
      </w:r>
      <w:r>
        <w:rPr>
          <w:rFonts w:ascii="宋体" w:hAnsi="宋体"/>
          <w:szCs w:val="21"/>
          <w:highlight w:val="none"/>
          <w:lang w:eastAsia="zh-CN"/>
        </w:rPr>
        <w:t xml:space="preserve">) </w:t>
      </w:r>
      <w:r>
        <w:rPr>
          <w:rFonts w:hint="eastAsia" w:ascii="宋体" w:hAnsi="宋体"/>
          <w:szCs w:val="21"/>
          <w:highlight w:val="none"/>
          <w:lang w:eastAsia="zh-CN"/>
        </w:rPr>
        <w:t>本保险合同中列明的保险金额应不低于：</w:t>
      </w:r>
    </w:p>
    <w:p w14:paraId="7342A262">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1</w:t>
      </w:r>
      <w:r>
        <w:rPr>
          <w:rFonts w:hint="eastAsia" w:ascii="宋体" w:hAnsi="宋体"/>
          <w:szCs w:val="21"/>
          <w:highlight w:val="none"/>
          <w:lang w:eastAsia="zh-CN"/>
        </w:rPr>
        <w:t>、建筑工程一一保险工程建筑完成时的总价值，包括原材料费用、设备费用、建造费、安装费、运保费、关税、其他税项和费用，以及由工程所有人提供的原材料和设备的费用；</w:t>
      </w:r>
    </w:p>
    <w:p w14:paraId="7ADE95C5">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w:t>
      </w:r>
      <w:r>
        <w:rPr>
          <w:rFonts w:hint="eastAsia" w:ascii="宋体" w:hAnsi="宋体"/>
          <w:szCs w:val="21"/>
          <w:highlight w:val="none"/>
          <w:lang w:eastAsia="zh-CN"/>
        </w:rPr>
        <w:t>2、其他保险项目一一由投保人与保险人商定的金额。</w:t>
      </w:r>
    </w:p>
    <w:p w14:paraId="40BC0946">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w:t>
      </w:r>
      <w:r>
        <w:rPr>
          <w:rFonts w:hint="eastAsia" w:ascii="宋体" w:hAnsi="宋体"/>
          <w:szCs w:val="21"/>
          <w:highlight w:val="none"/>
          <w:lang w:eastAsia="zh-CN"/>
        </w:rPr>
        <w:t>二</w:t>
      </w:r>
      <w:r>
        <w:rPr>
          <w:rFonts w:ascii="宋体" w:hAnsi="宋体"/>
          <w:szCs w:val="21"/>
          <w:highlight w:val="none"/>
          <w:lang w:eastAsia="zh-CN"/>
        </w:rPr>
        <w:t>)</w:t>
      </w:r>
      <w:r>
        <w:rPr>
          <w:rFonts w:hint="eastAsia" w:ascii="宋体" w:hAnsi="宋体"/>
          <w:szCs w:val="21"/>
          <w:highlight w:val="none"/>
          <w:lang w:eastAsia="zh-CN"/>
        </w:rPr>
        <w:t>若投保人是以保险工程合同规定的工程概算总造价投保，投保人或被保险人应：</w:t>
      </w:r>
    </w:p>
    <w:p w14:paraId="0227A916">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1</w:t>
      </w:r>
      <w:r>
        <w:rPr>
          <w:rFonts w:hint="eastAsia" w:ascii="宋体" w:hAnsi="宋体"/>
          <w:szCs w:val="21"/>
          <w:highlight w:val="none"/>
          <w:lang w:eastAsia="zh-CN"/>
        </w:rPr>
        <w:t>、在本保险项下工程造价中包括的各项费用因涨价或升值原因而超出保险工程造价时，必须尽快以书面通知保险人，保险人据此调整保险金额；</w:t>
      </w:r>
    </w:p>
    <w:p w14:paraId="35EE0912">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2</w:t>
      </w:r>
      <w:r>
        <w:rPr>
          <w:rFonts w:hint="eastAsia" w:ascii="宋体" w:hAnsi="宋体"/>
          <w:szCs w:val="21"/>
          <w:highlight w:val="none"/>
          <w:lang w:eastAsia="zh-CN"/>
        </w:rPr>
        <w:t>、在保险期间内对相应的工程细节作出精确记录，并允许保险人在合理的时候对该项记录进行查验；</w:t>
      </w:r>
    </w:p>
    <w:p w14:paraId="7936FEA5">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3</w:t>
      </w:r>
      <w:r>
        <w:rPr>
          <w:rFonts w:hint="eastAsia" w:ascii="宋体" w:hAnsi="宋体"/>
          <w:szCs w:val="21"/>
          <w:highlight w:val="none"/>
          <w:lang w:eastAsia="zh-CN"/>
        </w:rPr>
        <w:t>、若保险工程的建造期超过三年，必须从本保险合同生效日起每隔十二个月向保险人申报当时的工程实际投入金额及调整后的工程总造价，保险人将据此调整保险费；</w:t>
      </w:r>
    </w:p>
    <w:p w14:paraId="1332B8FD">
      <w:pPr>
        <w:spacing w:after="0" w:line="360" w:lineRule="auto"/>
        <w:ind w:firstLine="420" w:firstLineChars="200"/>
        <w:rPr>
          <w:rFonts w:hint="eastAsia" w:ascii="宋体" w:hAnsi="宋体"/>
          <w:szCs w:val="21"/>
          <w:highlight w:val="none"/>
          <w:lang w:eastAsia="zh-CN"/>
        </w:rPr>
      </w:pPr>
      <w:r>
        <w:rPr>
          <w:rFonts w:ascii="宋体" w:hAnsi="宋体"/>
          <w:szCs w:val="21"/>
          <w:highlight w:val="none"/>
          <w:lang w:eastAsia="zh-CN"/>
        </w:rPr>
        <w:t>4</w:t>
      </w:r>
      <w:r>
        <w:rPr>
          <w:rFonts w:hint="eastAsia" w:ascii="宋体" w:hAnsi="宋体"/>
          <w:szCs w:val="21"/>
          <w:highlight w:val="none"/>
          <w:lang w:eastAsia="zh-CN"/>
        </w:rPr>
        <w:t>、在本保险合同列明的保险期间届满后三个月内向保险人申报最终的工程总价值，保险人据此以多退少补的方式对预收保险费进行调整。</w:t>
      </w:r>
    </w:p>
    <w:p w14:paraId="30FB9057">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免赔额（率）由投保人与保险人在订立保险合同时协商确定，并在保险合同中载明。</w:t>
      </w:r>
    </w:p>
    <w:p w14:paraId="53A1F369">
      <w:pPr>
        <w:spacing w:after="0" w:line="360" w:lineRule="auto"/>
        <w:rPr>
          <w:rFonts w:hint="eastAsia" w:ascii="宋体" w:hAnsi="宋体"/>
          <w:szCs w:val="21"/>
          <w:highlight w:val="none"/>
          <w:lang w:eastAsia="zh-CN"/>
        </w:rPr>
      </w:pPr>
    </w:p>
    <w:p w14:paraId="4D370E50">
      <w:pPr>
        <w:spacing w:after="0" w:line="360" w:lineRule="auto"/>
        <w:jc w:val="center"/>
        <w:rPr>
          <w:rFonts w:hint="eastAsia" w:ascii="宋体" w:hAnsi="宋体"/>
          <w:szCs w:val="21"/>
          <w:highlight w:val="none"/>
        </w:rPr>
      </w:pPr>
      <w:r>
        <w:rPr>
          <w:rFonts w:hint="eastAsia" w:ascii="宋体" w:hAnsi="宋体"/>
          <w:b/>
          <w:szCs w:val="21"/>
          <w:highlight w:val="none"/>
        </w:rPr>
        <w:t>赔偿处理</w:t>
      </w:r>
    </w:p>
    <w:p w14:paraId="1141D410">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对保险标的遭受的损失，保险人可选择以支付赔款或以修复、重置受损项目的方式予以赔偿，</w:t>
      </w:r>
      <w:r>
        <w:rPr>
          <w:rFonts w:hint="eastAsia" w:ascii="宋体" w:hAnsi="宋体"/>
          <w:b/>
          <w:szCs w:val="21"/>
          <w:highlight w:val="none"/>
          <w:lang w:eastAsia="zh-CN"/>
        </w:rPr>
        <w:t>对保险标的在修复或替换过程中，被保险人进行的任何变更、性能增加或改进所产生的额外费用，保险人不负责赔偿。</w:t>
      </w:r>
    </w:p>
    <w:p w14:paraId="0E3E1C5C">
      <w:pPr>
        <w:pStyle w:val="8"/>
        <w:numPr>
          <w:ilvl w:val="0"/>
          <w:numId w:val="7"/>
        </w:numPr>
        <w:spacing w:after="0" w:line="360" w:lineRule="auto"/>
        <w:ind w:firstLineChars="0"/>
        <w:rPr>
          <w:rFonts w:hint="eastAsia"/>
          <w:szCs w:val="21"/>
          <w:highlight w:val="none"/>
          <w:lang w:eastAsia="zh-CN"/>
        </w:rPr>
      </w:pPr>
      <w:r>
        <w:rPr>
          <w:rFonts w:hint="eastAsia"/>
          <w:szCs w:val="21"/>
          <w:highlight w:val="none"/>
          <w:lang w:eastAsia="zh-CN"/>
        </w:rPr>
        <w:t>在发生本保险单项下的损失后，保险人按下列方式确定损失金额：</w:t>
      </w:r>
    </w:p>
    <w:p w14:paraId="7A991767">
      <w:pPr>
        <w:pStyle w:val="8"/>
        <w:spacing w:after="0" w:line="360" w:lineRule="auto"/>
        <w:ind w:firstLine="420"/>
        <w:rPr>
          <w:rFonts w:hint="eastAsia"/>
          <w:szCs w:val="21"/>
          <w:highlight w:val="none"/>
          <w:lang w:eastAsia="zh-CN"/>
        </w:rPr>
      </w:pPr>
      <w:r>
        <w:rPr>
          <w:rFonts w:hint="eastAsia"/>
          <w:szCs w:val="21"/>
          <w:highlight w:val="none"/>
          <w:lang w:eastAsia="zh-CN"/>
        </w:rPr>
        <w:t>（一）可以修复的部分损失：以将保险财产修复至其基本恢复受损前状态的费用考虑本保险合同第四十六条约定的残值处理方式后确定的赔偿金额为准。但若修复费用等于或超过保险财产损失前的价值时，则按下列第（二）款的规定处理；</w:t>
      </w:r>
    </w:p>
    <w:p w14:paraId="1DA63450">
      <w:pPr>
        <w:pStyle w:val="8"/>
        <w:spacing w:after="0" w:line="360" w:lineRule="auto"/>
        <w:ind w:firstLine="420"/>
        <w:rPr>
          <w:rFonts w:hint="eastAsia"/>
          <w:szCs w:val="21"/>
          <w:highlight w:val="none"/>
          <w:lang w:eastAsia="zh-CN"/>
        </w:rPr>
      </w:pPr>
      <w:r>
        <w:rPr>
          <w:rFonts w:hint="eastAsia"/>
          <w:szCs w:val="21"/>
          <w:highlight w:val="none"/>
          <w:lang w:eastAsia="zh-CN"/>
        </w:rPr>
        <w:t>（二）全部损失或推定全损：以保险财产损失前的实际价值考虑本保险合同第四十六条约定的残值处理方式后确定的赔偿金额为准。</w:t>
      </w:r>
    </w:p>
    <w:p w14:paraId="376D1285">
      <w:pPr>
        <w:pStyle w:val="8"/>
        <w:numPr>
          <w:ilvl w:val="0"/>
          <w:numId w:val="7"/>
        </w:numPr>
        <w:spacing w:after="0" w:line="360" w:lineRule="auto"/>
        <w:ind w:firstLineChars="0"/>
        <w:rPr>
          <w:szCs w:val="21"/>
          <w:highlight w:val="none"/>
          <w:lang w:eastAsia="zh-CN"/>
        </w:rPr>
      </w:pPr>
      <w:r>
        <w:rPr>
          <w:rFonts w:hint="eastAsia"/>
          <w:szCs w:val="21"/>
          <w:highlight w:val="none"/>
          <w:lang w:eastAsia="zh-CN"/>
        </w:rPr>
        <w:t>保险标的发生保险责任范围内的损失，保险人按以下方式计算赔偿：</w:t>
      </w:r>
    </w:p>
    <w:p w14:paraId="0958B2FF">
      <w:pPr>
        <w:pStyle w:val="8"/>
        <w:spacing w:after="0" w:line="360" w:lineRule="auto"/>
        <w:ind w:firstLine="420"/>
        <w:rPr>
          <w:szCs w:val="21"/>
          <w:highlight w:val="none"/>
          <w:lang w:eastAsia="zh-CN"/>
        </w:rPr>
      </w:pPr>
      <w:r>
        <w:rPr>
          <w:rFonts w:hint="eastAsia"/>
          <w:szCs w:val="21"/>
          <w:highlight w:val="none"/>
          <w:lang w:eastAsia="zh-CN"/>
        </w:rPr>
        <w:t>（一）保险金额等于或高于应保险金额时，按实际损失计算赔偿，最高不超过应保险金额；</w:t>
      </w:r>
    </w:p>
    <w:p w14:paraId="087AAAC7">
      <w:pPr>
        <w:pStyle w:val="8"/>
        <w:spacing w:after="0" w:line="360" w:lineRule="auto"/>
        <w:ind w:firstLine="420"/>
        <w:rPr>
          <w:rFonts w:hint="eastAsia"/>
          <w:szCs w:val="21"/>
          <w:highlight w:val="none"/>
          <w:lang w:eastAsia="zh-CN"/>
        </w:rPr>
      </w:pPr>
      <w:r>
        <w:rPr>
          <w:rFonts w:hint="eastAsia"/>
          <w:szCs w:val="21"/>
          <w:highlight w:val="none"/>
          <w:lang w:eastAsia="zh-CN"/>
        </w:rPr>
        <w:t>（二）保险金额低于应保险金额时，按保险金额与应保险金额的比例乘以实际损失计算赔偿，最高不超过保险金额。</w:t>
      </w:r>
    </w:p>
    <w:p w14:paraId="5976E0C7">
      <w:pPr>
        <w:numPr>
          <w:ilvl w:val="0"/>
          <w:numId w:val="7"/>
        </w:numPr>
        <w:spacing w:after="0" w:line="360" w:lineRule="auto"/>
        <w:rPr>
          <w:rFonts w:hint="eastAsia" w:ascii="宋体" w:hAnsi="宋体"/>
          <w:bCs/>
          <w:szCs w:val="21"/>
          <w:highlight w:val="none"/>
          <w:lang w:eastAsia="zh-CN"/>
        </w:rPr>
      </w:pPr>
      <w:r>
        <w:rPr>
          <w:rStyle w:val="51"/>
          <w:rFonts w:hint="eastAsia" w:ascii="宋体" w:hAnsi="宋体"/>
          <w:szCs w:val="21"/>
          <w:highlight w:val="none"/>
          <w:lang w:eastAsia="zh-CN"/>
        </w:rPr>
        <w:t>每次事故保险人的赔偿金额为根据第十三条约定计算的金额扣除每次事故免赔额后的金额，</w:t>
      </w:r>
      <w:r>
        <w:rPr>
          <w:rFonts w:hint="eastAsia" w:ascii="宋体" w:hAnsi="宋体"/>
          <w:szCs w:val="21"/>
          <w:highlight w:val="none"/>
          <w:lang w:eastAsia="zh-CN"/>
        </w:rPr>
        <w:t>或者为</w:t>
      </w:r>
      <w:r>
        <w:rPr>
          <w:rStyle w:val="51"/>
          <w:rFonts w:hint="eastAsia" w:ascii="宋体" w:hAnsi="宋体"/>
          <w:szCs w:val="21"/>
          <w:highlight w:val="none"/>
          <w:lang w:eastAsia="zh-CN"/>
        </w:rPr>
        <w:t>根据第十三条约定计算的金额扣除该金额与免赔率乘积后的金额。</w:t>
      </w:r>
    </w:p>
    <w:p w14:paraId="76060B2F">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保险标的在连续72小时内遭受暴雨、台风、洪水或其它连续发生的自然灾害所致损失视为一次单独事件，在计算赔偿时视为一次保险事故，并扣减一个相应的免赔额（率）。被保险人可自行决定72小时的起始时间，但若在连续数个72小时时间内发生损失，任何两个或两个以上72小时期限不得重叠。</w:t>
      </w:r>
    </w:p>
    <w:p w14:paraId="4A637C2E">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若本保险合同所列标的不止一项时，应分项计算赔偿，保险人对每一保险项目的赔偿责任均不得超过本保险合同明细表对应列明的分项保险金额，以及本保险合同特别条款或批单中规定的其他适用的赔偿限额。在任何情况下，保险人在本保险合同下承担的对物质损失的最高赔偿金额不得超过保险合同明细表中列明的总保险金额。</w:t>
      </w:r>
    </w:p>
    <w:p w14:paraId="1015F6F0">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保险标的的保险金额大于或等于其应保险金额时，被保险人为防止或减少保险标的的损失所支付的必要的、合理的费用，在保险标的损失赔偿金额之外另行计算，最高不超过被施救标的的应保险金额。</w:t>
      </w:r>
    </w:p>
    <w:p w14:paraId="6812D15C">
      <w:pPr>
        <w:pStyle w:val="8"/>
        <w:spacing w:after="0" w:line="360" w:lineRule="auto"/>
        <w:ind w:firstLine="420"/>
        <w:rPr>
          <w:rFonts w:hint="eastAsia" w:ascii="宋体" w:hAnsi="宋体" w:eastAsia="宋体" w:cs="Times New Roman"/>
          <w:kern w:val="0"/>
          <w:sz w:val="22"/>
          <w:szCs w:val="21"/>
          <w:highlight w:val="none"/>
          <w:lang w:val="en-US" w:eastAsia="zh-CN" w:bidi="en-US"/>
        </w:rPr>
      </w:pPr>
      <w:r>
        <w:rPr>
          <w:rFonts w:hint="eastAsia" w:ascii="宋体" w:hAnsi="宋体" w:eastAsia="宋体" w:cs="Times New Roman"/>
          <w:kern w:val="0"/>
          <w:sz w:val="22"/>
          <w:szCs w:val="21"/>
          <w:highlight w:val="none"/>
          <w:lang w:val="en-US" w:eastAsia="zh-CN" w:bidi="en-US"/>
        </w:rPr>
        <w:t>保险标的的保险金额小于其应保险金额时，上述费用按被施救标的的保险金额与其应保险金额的比例在保险标的损失赔偿金额之外另行计算，最高不超过被施救标的的保险金额。</w:t>
      </w:r>
    </w:p>
    <w:p w14:paraId="1A9B0B92">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被施救的财产中，含有本保险合同未承保财产的，按被施救保险标的的应保险金额与全部被施救财产价值的比例分摊施救费用。</w:t>
      </w:r>
    </w:p>
    <w:p w14:paraId="02B388EC">
      <w:pPr>
        <w:numPr>
          <w:ilvl w:val="0"/>
          <w:numId w:val="7"/>
        </w:numPr>
        <w:spacing w:after="0" w:line="360" w:lineRule="auto"/>
        <w:ind w:firstLine="480"/>
        <w:rPr>
          <w:rFonts w:hint="eastAsia"/>
          <w:sz w:val="20"/>
          <w:szCs w:val="20"/>
          <w:highlight w:val="none"/>
          <w:lang w:eastAsia="zh-CN"/>
        </w:rPr>
      </w:pPr>
      <w:r>
        <w:rPr>
          <w:rFonts w:hint="eastAsia" w:ascii="宋体" w:hAnsi="宋体"/>
          <w:szCs w:val="21"/>
          <w:highlight w:val="none"/>
          <w:lang w:eastAsia="zh-CN"/>
        </w:rPr>
        <w:t>保险标的发生部分损失，保险人履行赔偿义务后，本保险合同的保险金额自损失发生之日起按保险人的赔偿金额相应减少，保险人不退还保险金额减少部分的保险费。如投保人请求恢复至原保险金额，应按原约定的保险费率</w:t>
      </w:r>
      <w:r>
        <w:rPr>
          <w:rFonts w:hint="eastAsia" w:ascii="宋体" w:hAnsi="宋体" w:eastAsia="宋体" w:cs="宋体"/>
          <w:sz w:val="22"/>
          <w:szCs w:val="22"/>
          <w:highlight w:val="none"/>
          <w:lang w:eastAsia="zh-CN"/>
        </w:rPr>
        <w:t>（中标保险费</w:t>
      </w:r>
      <w:r>
        <w:rPr>
          <w:rFonts w:hint="eastAsia" w:ascii="宋体" w:hAnsi="宋体" w:eastAsia="宋体" w:cs="宋体"/>
          <w:sz w:val="22"/>
          <w:szCs w:val="22"/>
          <w:highlight w:val="none"/>
          <w:lang w:val="en-US" w:eastAsia="zh-CN"/>
        </w:rPr>
        <w:t>/本项目物质损失部分保险金额</w:t>
      </w:r>
      <w:r>
        <w:rPr>
          <w:rFonts w:hint="eastAsia" w:ascii="宋体" w:hAnsi="宋体" w:eastAsia="宋体" w:cs="宋体"/>
          <w:sz w:val="22"/>
          <w:szCs w:val="22"/>
          <w:highlight w:val="none"/>
          <w:lang w:eastAsia="zh-CN"/>
        </w:rPr>
        <w:t>）</w:t>
      </w:r>
      <w:r>
        <w:rPr>
          <w:rFonts w:hint="eastAsia" w:ascii="宋体" w:hAnsi="宋体"/>
          <w:szCs w:val="21"/>
          <w:highlight w:val="none"/>
          <w:lang w:eastAsia="zh-CN"/>
        </w:rPr>
        <w:t>另行支付恢复部分从投保人请求的恢复日期起至保险期间届满之日止按日比例计算的保险费。</w:t>
      </w:r>
    </w:p>
    <w:p w14:paraId="1C1B72F0">
      <w:pPr>
        <w:spacing w:after="0" w:line="360" w:lineRule="auto"/>
        <w:ind w:firstLine="480"/>
        <w:rPr>
          <w:rFonts w:hint="eastAsia" w:ascii="宋体" w:hAnsi="宋体"/>
          <w:szCs w:val="21"/>
          <w:highlight w:val="none"/>
          <w:lang w:eastAsia="zh-CN"/>
        </w:rPr>
      </w:pPr>
    </w:p>
    <w:p w14:paraId="7677D2F2">
      <w:pPr>
        <w:spacing w:after="0" w:line="360" w:lineRule="auto"/>
        <w:jc w:val="center"/>
        <w:rPr>
          <w:rFonts w:hint="eastAsia" w:ascii="宋体" w:hAnsi="宋体"/>
          <w:b/>
          <w:bCs/>
          <w:szCs w:val="21"/>
          <w:highlight w:val="none"/>
          <w:lang w:eastAsia="zh-CN"/>
        </w:rPr>
      </w:pPr>
      <w:r>
        <w:rPr>
          <w:rFonts w:hint="eastAsia" w:ascii="宋体" w:hAnsi="宋体"/>
          <w:b/>
          <w:bCs/>
          <w:szCs w:val="21"/>
          <w:highlight w:val="none"/>
          <w:lang w:eastAsia="zh-CN"/>
        </w:rPr>
        <w:t>第二部分  第三者责任保险部分</w:t>
      </w:r>
    </w:p>
    <w:p w14:paraId="57CAF75E">
      <w:pPr>
        <w:spacing w:after="0" w:line="360" w:lineRule="auto"/>
        <w:ind w:firstLine="480"/>
        <w:rPr>
          <w:rFonts w:hint="eastAsia" w:ascii="宋体" w:hAnsi="宋体"/>
          <w:szCs w:val="21"/>
          <w:highlight w:val="none"/>
          <w:lang w:eastAsia="zh-CN"/>
        </w:rPr>
      </w:pPr>
    </w:p>
    <w:p w14:paraId="44852143">
      <w:pPr>
        <w:spacing w:after="0" w:line="360" w:lineRule="auto"/>
        <w:jc w:val="center"/>
        <w:rPr>
          <w:rFonts w:hint="eastAsia" w:ascii="宋体" w:hAnsi="宋体"/>
          <w:b/>
          <w:bCs/>
          <w:szCs w:val="21"/>
          <w:highlight w:val="none"/>
        </w:rPr>
      </w:pPr>
      <w:r>
        <w:rPr>
          <w:rFonts w:hint="eastAsia" w:ascii="宋体" w:hAnsi="宋体"/>
          <w:b/>
          <w:bCs/>
          <w:szCs w:val="21"/>
          <w:highlight w:val="none"/>
        </w:rPr>
        <w:t>保险责任</w:t>
      </w:r>
    </w:p>
    <w:p w14:paraId="2B885CB8">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在保险期间内，因发生与本保险合同所承保工程直接相关的意外事故引起工地内及邻近区域的第三者人身伤亡、疾病或财产损失</w:t>
      </w:r>
      <w:r>
        <w:rPr>
          <w:rFonts w:ascii="宋体" w:hAnsi="宋体"/>
          <w:szCs w:val="21"/>
          <w:highlight w:val="none"/>
          <w:lang w:eastAsia="zh-CN"/>
        </w:rPr>
        <w:t>,</w:t>
      </w:r>
      <w:r>
        <w:rPr>
          <w:rFonts w:hint="eastAsia" w:ascii="宋体" w:hAnsi="宋体"/>
          <w:szCs w:val="21"/>
          <w:highlight w:val="none"/>
          <w:lang w:eastAsia="zh-CN"/>
        </w:rPr>
        <w:t>依法应由被保险人承担的经济赔偿责任，保险人按照本保险合同约定负责赔偿。</w:t>
      </w:r>
    </w:p>
    <w:p w14:paraId="0A502820">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本项保险事故发生后，被保险人因保险事故而被提起仲裁或者诉讼的，对应由被保险人支付的仲裁或诉讼费用以及其他必要的、合理的费用（以下简称“法律费用”），经保险人书面同意，保险人按照本保险合同约定也负责赔偿。</w:t>
      </w:r>
    </w:p>
    <w:p w14:paraId="7307B5F7">
      <w:pPr>
        <w:spacing w:after="0" w:line="360" w:lineRule="auto"/>
        <w:jc w:val="center"/>
        <w:rPr>
          <w:rFonts w:hint="eastAsia" w:ascii="宋体" w:hAnsi="宋体"/>
          <w:b/>
          <w:bCs/>
          <w:szCs w:val="21"/>
          <w:highlight w:val="none"/>
          <w:lang w:eastAsia="zh-CN"/>
        </w:rPr>
      </w:pPr>
    </w:p>
    <w:p w14:paraId="7E5BFADA">
      <w:pPr>
        <w:spacing w:after="0" w:line="360" w:lineRule="auto"/>
        <w:jc w:val="center"/>
        <w:rPr>
          <w:rFonts w:hint="eastAsia" w:ascii="宋体" w:hAnsi="宋体"/>
          <w:b/>
          <w:bCs/>
          <w:szCs w:val="21"/>
          <w:highlight w:val="none"/>
        </w:rPr>
      </w:pPr>
      <w:r>
        <w:rPr>
          <w:rFonts w:hint="eastAsia" w:ascii="宋体" w:hAnsi="宋体"/>
          <w:b/>
          <w:bCs/>
          <w:szCs w:val="21"/>
          <w:highlight w:val="none"/>
        </w:rPr>
        <w:t>责任免除</w:t>
      </w:r>
    </w:p>
    <w:p w14:paraId="7D32620D">
      <w:pPr>
        <w:numPr>
          <w:ilvl w:val="0"/>
          <w:numId w:val="7"/>
        </w:numPr>
        <w:spacing w:after="0" w:line="360" w:lineRule="auto"/>
        <w:rPr>
          <w:rFonts w:hint="eastAsia" w:ascii="宋体" w:hAnsi="宋体"/>
          <w:b/>
          <w:szCs w:val="21"/>
          <w:highlight w:val="none"/>
          <w:lang w:eastAsia="zh-CN"/>
        </w:rPr>
      </w:pPr>
      <w:r>
        <w:rPr>
          <w:rFonts w:hint="eastAsia" w:ascii="宋体" w:hAnsi="宋体"/>
          <w:b/>
          <w:szCs w:val="21"/>
          <w:highlight w:val="none"/>
          <w:lang w:eastAsia="zh-CN"/>
        </w:rPr>
        <w:t>下列原因造成的损失、费用，保险人不负责赔偿：</w:t>
      </w:r>
    </w:p>
    <w:p w14:paraId="54D0503C">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（一）由于震动、移动或减弱支撑而造成的任何财产、土地、建筑物的损失及由此造成的任何人身伤害和物质损失；</w:t>
      </w:r>
    </w:p>
    <w:p w14:paraId="71472D10">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（二）领有公共运输行驶执照的车辆、船舶、航空器造成的事故。</w:t>
      </w:r>
    </w:p>
    <w:p w14:paraId="284364CC">
      <w:pPr>
        <w:numPr>
          <w:ilvl w:val="0"/>
          <w:numId w:val="7"/>
        </w:numPr>
        <w:spacing w:after="0" w:line="360" w:lineRule="auto"/>
        <w:rPr>
          <w:rFonts w:hint="eastAsia" w:ascii="宋体" w:hAnsi="宋体"/>
          <w:b/>
          <w:szCs w:val="21"/>
          <w:highlight w:val="none"/>
          <w:lang w:eastAsia="zh-CN"/>
        </w:rPr>
      </w:pPr>
      <w:r>
        <w:rPr>
          <w:rFonts w:hint="eastAsia" w:ascii="宋体" w:hAnsi="宋体"/>
          <w:b/>
          <w:szCs w:val="21"/>
          <w:highlight w:val="none"/>
          <w:lang w:eastAsia="zh-CN"/>
        </w:rPr>
        <w:t>下列损失、费用，保险人也不负责赔偿：</w:t>
      </w:r>
    </w:p>
    <w:p w14:paraId="3B8085E3">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 xml:space="preserve">（一）本保险合同物质损失项下或本应在该项下予以负责的损失及各种费用； </w:t>
      </w:r>
    </w:p>
    <w:p w14:paraId="5628F210">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（二）工程所有人、承包人或其他关系方或其所雇用的在工地现场从事与工程有关工作的职员、工人及上述人员的家庭成员的人身伤亡或疾病；</w:t>
      </w:r>
    </w:p>
    <w:p w14:paraId="610D08D3">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（三）工程所有人、承包人或其他关系方或其所雇用的职员、工人所有的或由上述人员所照管、控制的财产发生的损失；</w:t>
      </w:r>
    </w:p>
    <w:p w14:paraId="27A8A5C6">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（四）被保险人应该承担的合同责任，但无合同存在时仍然应由被保险人承担的法律责任不在此限。</w:t>
      </w:r>
    </w:p>
    <w:p w14:paraId="344BF38D">
      <w:pPr>
        <w:spacing w:after="0" w:line="360" w:lineRule="auto"/>
        <w:rPr>
          <w:rFonts w:hint="eastAsia" w:ascii="宋体" w:hAnsi="宋体"/>
          <w:szCs w:val="21"/>
          <w:highlight w:val="none"/>
          <w:lang w:eastAsia="zh-CN"/>
        </w:rPr>
      </w:pPr>
    </w:p>
    <w:p w14:paraId="5EBE66D9">
      <w:pPr>
        <w:autoSpaceDE w:val="0"/>
        <w:autoSpaceDN w:val="0"/>
        <w:spacing w:after="0" w:line="360" w:lineRule="auto"/>
        <w:ind w:firstLine="435"/>
        <w:jc w:val="center"/>
        <w:rPr>
          <w:rFonts w:hint="eastAsia" w:ascii="宋体" w:hAnsi="宋体"/>
          <w:b/>
          <w:bCs/>
          <w:szCs w:val="21"/>
          <w:highlight w:val="none"/>
          <w:lang w:eastAsia="zh-CN"/>
        </w:rPr>
      </w:pPr>
      <w:r>
        <w:rPr>
          <w:rFonts w:hint="eastAsia" w:ascii="宋体" w:hAnsi="宋体"/>
          <w:b/>
          <w:bCs/>
          <w:szCs w:val="21"/>
          <w:highlight w:val="none"/>
          <w:lang w:eastAsia="zh-CN"/>
        </w:rPr>
        <w:t>责任限额与免赔额（率）</w:t>
      </w:r>
    </w:p>
    <w:p w14:paraId="3E30BD7C">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责任限额包括每次事故责任限额、每人人身伤亡责任限额、累计责任限额，</w:t>
      </w:r>
      <w:r>
        <w:rPr>
          <w:rFonts w:hint="eastAsia"/>
          <w:szCs w:val="21"/>
          <w:highlight w:val="none"/>
          <w:lang w:eastAsia="zh-CN"/>
        </w:rPr>
        <w:t>由投保人与保险人协商确定</w:t>
      </w:r>
      <w:r>
        <w:rPr>
          <w:rFonts w:hint="eastAsia" w:ascii="宋体" w:hAnsi="宋体"/>
          <w:szCs w:val="21"/>
          <w:highlight w:val="none"/>
          <w:lang w:eastAsia="zh-CN"/>
        </w:rPr>
        <w:t>，并在保险合同中载明。</w:t>
      </w:r>
    </w:p>
    <w:p w14:paraId="539113F9">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每次事故免赔额（率）由投保人与保险人在订立保险合同时协商确定，并在保险合同中载明。</w:t>
      </w:r>
    </w:p>
    <w:p w14:paraId="7871E7DE">
      <w:pPr>
        <w:spacing w:after="0" w:line="360" w:lineRule="auto"/>
        <w:ind w:firstLine="420" w:firstLineChars="200"/>
        <w:rPr>
          <w:rFonts w:hint="eastAsia" w:ascii="宋体" w:hAnsi="宋体"/>
          <w:szCs w:val="21"/>
          <w:highlight w:val="none"/>
          <w:lang w:eastAsia="zh-CN"/>
        </w:rPr>
      </w:pPr>
    </w:p>
    <w:p w14:paraId="636EEB34">
      <w:pPr>
        <w:spacing w:after="0" w:line="360" w:lineRule="auto"/>
        <w:jc w:val="center"/>
        <w:rPr>
          <w:rFonts w:hint="eastAsia" w:ascii="宋体" w:hAnsi="宋体"/>
          <w:b/>
          <w:bCs/>
          <w:szCs w:val="21"/>
          <w:highlight w:val="none"/>
        </w:rPr>
      </w:pPr>
      <w:r>
        <w:rPr>
          <w:rFonts w:hint="eastAsia" w:ascii="宋体" w:hAnsi="宋体"/>
          <w:b/>
          <w:bCs/>
          <w:szCs w:val="21"/>
          <w:highlight w:val="none"/>
        </w:rPr>
        <w:t>赔偿处理</w:t>
      </w:r>
    </w:p>
    <w:p w14:paraId="59A10534">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保险人的赔偿以下列方式之一确定的被保险人的赔偿责任为基础：</w:t>
      </w:r>
    </w:p>
    <w:p w14:paraId="66C5FE67">
      <w:pPr>
        <w:numPr>
          <w:ilvl w:val="0"/>
          <w:numId w:val="8"/>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被保险人和向其提出损害赔偿请求的索赔方协商并经保险人确认；</w:t>
      </w:r>
    </w:p>
    <w:p w14:paraId="03833310">
      <w:pPr>
        <w:numPr>
          <w:ilvl w:val="0"/>
          <w:numId w:val="8"/>
        </w:numPr>
        <w:spacing w:after="0" w:line="360" w:lineRule="auto"/>
        <w:rPr>
          <w:rFonts w:hint="eastAsia" w:ascii="宋体" w:hAnsi="宋体"/>
          <w:szCs w:val="21"/>
          <w:highlight w:val="none"/>
        </w:rPr>
      </w:pPr>
      <w:r>
        <w:rPr>
          <w:rFonts w:hint="eastAsia" w:ascii="宋体" w:hAnsi="宋体"/>
          <w:szCs w:val="21"/>
          <w:highlight w:val="none"/>
        </w:rPr>
        <w:t>仲裁机构裁决；</w:t>
      </w:r>
    </w:p>
    <w:p w14:paraId="578785D6">
      <w:pPr>
        <w:numPr>
          <w:ilvl w:val="0"/>
          <w:numId w:val="8"/>
        </w:numPr>
        <w:spacing w:after="0" w:line="360" w:lineRule="auto"/>
        <w:rPr>
          <w:rFonts w:hint="eastAsia" w:ascii="宋体" w:hAnsi="宋体"/>
          <w:szCs w:val="21"/>
          <w:highlight w:val="none"/>
        </w:rPr>
      </w:pPr>
      <w:r>
        <w:rPr>
          <w:rFonts w:hint="eastAsia" w:ascii="宋体" w:hAnsi="宋体"/>
          <w:szCs w:val="21"/>
          <w:highlight w:val="none"/>
        </w:rPr>
        <w:t>人民法院判决；</w:t>
      </w:r>
    </w:p>
    <w:p w14:paraId="40D1984C">
      <w:pPr>
        <w:numPr>
          <w:ilvl w:val="0"/>
          <w:numId w:val="8"/>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保险人认可的其他方式。</w:t>
      </w:r>
    </w:p>
    <w:p w14:paraId="1B3E7154">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在保险期间内发生保险责任范围内的损失，保险人按以下方式计算赔偿：</w:t>
      </w:r>
    </w:p>
    <w:p w14:paraId="7A2367E7">
      <w:pPr>
        <w:spacing w:after="0" w:line="360" w:lineRule="auto"/>
        <w:ind w:firstLine="420" w:firstLineChars="200"/>
        <w:rPr>
          <w:rFonts w:hint="eastAsia" w:ascii="宋体" w:hAnsi="宋体"/>
          <w:b/>
          <w:szCs w:val="21"/>
          <w:highlight w:val="none"/>
          <w:lang w:eastAsia="zh-CN"/>
        </w:rPr>
      </w:pPr>
      <w:r>
        <w:rPr>
          <w:rFonts w:hint="eastAsia" w:ascii="宋体" w:hAnsi="宋体"/>
          <w:szCs w:val="21"/>
          <w:highlight w:val="none"/>
          <w:lang w:eastAsia="zh-CN"/>
        </w:rPr>
        <w:t>（一）对于每次事故造成的损失，保险人在每次事故责任限额内计算赔偿，其中对每人人身伤亡的赔偿金额不得超过每人人身伤亡责任限额</w:t>
      </w:r>
      <w:r>
        <w:rPr>
          <w:rFonts w:hint="eastAsia" w:ascii="宋体" w:hAnsi="宋体"/>
          <w:b/>
          <w:szCs w:val="21"/>
          <w:highlight w:val="none"/>
          <w:lang w:eastAsia="zh-CN"/>
        </w:rPr>
        <w:t>；</w:t>
      </w:r>
    </w:p>
    <w:p w14:paraId="2844966D">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（二）1、在依据本条第（一）项计算的基础上，保险人在扣除本保险合同载明的每次事故免赔额后进行赔偿，但对于人身伤亡的赔偿不扣除每次事故免赔额；</w:t>
      </w:r>
    </w:p>
    <w:p w14:paraId="2B787654">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2、在依据本条第（一）项计算的基础上，保险人在扣除按本保险合同载明的每次事故免赔率计算的每次事故免赔额后进行赔偿，但对于人身伤亡的赔偿不扣除每次事故免赔额；</w:t>
      </w:r>
    </w:p>
    <w:p w14:paraId="025AA7E7">
      <w:pPr>
        <w:spacing w:after="0" w:line="360" w:lineRule="auto"/>
        <w:ind w:firstLine="420" w:firstLineChars="200"/>
        <w:rPr>
          <w:rFonts w:hint="eastAsia" w:ascii="宋体" w:hAnsi="宋体"/>
          <w:b/>
          <w:szCs w:val="21"/>
          <w:highlight w:val="none"/>
          <w:lang w:eastAsia="zh-CN"/>
        </w:rPr>
      </w:pPr>
      <w:r>
        <w:rPr>
          <w:rFonts w:hint="eastAsia" w:ascii="宋体" w:hAnsi="宋体"/>
          <w:szCs w:val="21"/>
          <w:highlight w:val="none"/>
          <w:lang w:eastAsia="zh-CN"/>
        </w:rPr>
        <w:t>（三）保险人对多次事故损失的累计赔偿金额不超过本保险合同列明的累计赔偿限额。</w:t>
      </w:r>
    </w:p>
    <w:p w14:paraId="36978A0A">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对每次事故法律费用的赔偿金额，保险人在第二十五条计算的赔偿金额以外按本保险合同的约定另行计算。</w:t>
      </w:r>
    </w:p>
    <w:p w14:paraId="337F01C2">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保险人对被保险人给第三者造成的损害，可以依照法律的规定或者本保险合同的约定，直接向该第三者赔偿保险金。</w:t>
      </w:r>
    </w:p>
    <w:p w14:paraId="0A4F706B">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被保险人给第三者造成损害，被保险人对第三者应负的赔偿责任确定的，根据被保险人的请求，保险人应当直接向该第三者赔偿保险金。被保险人怠于请求的，第三者有权就其应获赔偿部分直接向保险人请求赔偿保险金。被保险人给第三者造成损害，被保险人未向该第三者赔偿的，保险人不得向被保险人赔偿保险金。</w:t>
      </w:r>
    </w:p>
    <w:p w14:paraId="2C6258EF">
      <w:pPr>
        <w:spacing w:after="0" w:line="360" w:lineRule="auto"/>
        <w:jc w:val="center"/>
        <w:rPr>
          <w:rFonts w:hint="eastAsia" w:ascii="宋体" w:hAnsi="宋体"/>
          <w:b/>
          <w:bCs/>
          <w:szCs w:val="21"/>
          <w:highlight w:val="none"/>
          <w:lang w:eastAsia="zh-CN"/>
        </w:rPr>
      </w:pPr>
    </w:p>
    <w:p w14:paraId="78EAE8BD">
      <w:pPr>
        <w:spacing w:after="0" w:line="360" w:lineRule="auto"/>
        <w:jc w:val="center"/>
        <w:rPr>
          <w:rFonts w:hint="eastAsia" w:ascii="宋体" w:hAnsi="宋体"/>
          <w:b/>
          <w:bCs/>
          <w:szCs w:val="21"/>
          <w:highlight w:val="none"/>
          <w:lang w:eastAsia="zh-CN"/>
        </w:rPr>
      </w:pPr>
      <w:r>
        <w:rPr>
          <w:rFonts w:hint="eastAsia" w:ascii="宋体" w:hAnsi="宋体"/>
          <w:b/>
          <w:bCs/>
          <w:szCs w:val="21"/>
          <w:highlight w:val="none"/>
          <w:lang w:eastAsia="zh-CN"/>
        </w:rPr>
        <w:t>第三部分  通用条款</w:t>
      </w:r>
    </w:p>
    <w:p w14:paraId="22E2F796">
      <w:pPr>
        <w:spacing w:after="0" w:line="360" w:lineRule="auto"/>
        <w:jc w:val="center"/>
        <w:rPr>
          <w:rFonts w:hint="eastAsia" w:ascii="宋体" w:hAnsi="宋体"/>
          <w:szCs w:val="21"/>
          <w:highlight w:val="none"/>
          <w:lang w:eastAsia="zh-CN"/>
        </w:rPr>
      </w:pPr>
    </w:p>
    <w:p w14:paraId="2DB288E1">
      <w:pPr>
        <w:spacing w:after="0" w:line="360" w:lineRule="auto"/>
        <w:jc w:val="center"/>
        <w:rPr>
          <w:rFonts w:hint="eastAsia" w:ascii="宋体" w:hAnsi="宋体"/>
          <w:b/>
          <w:szCs w:val="21"/>
          <w:highlight w:val="none"/>
          <w:lang w:eastAsia="zh-CN"/>
        </w:rPr>
      </w:pPr>
      <w:r>
        <w:rPr>
          <w:rFonts w:hint="eastAsia" w:ascii="宋体" w:hAnsi="宋体"/>
          <w:b/>
          <w:szCs w:val="21"/>
          <w:highlight w:val="none"/>
          <w:lang w:eastAsia="zh-CN"/>
        </w:rPr>
        <w:t>责任免除</w:t>
      </w:r>
    </w:p>
    <w:p w14:paraId="6DEBAA84">
      <w:pPr>
        <w:numPr>
          <w:ilvl w:val="0"/>
          <w:numId w:val="7"/>
        </w:numPr>
        <w:spacing w:after="0" w:line="360" w:lineRule="auto"/>
        <w:rPr>
          <w:rFonts w:ascii="宋体" w:hAnsi="宋体"/>
          <w:b/>
          <w:szCs w:val="21"/>
          <w:highlight w:val="none"/>
          <w:lang w:eastAsia="zh-CN"/>
        </w:rPr>
      </w:pPr>
      <w:r>
        <w:rPr>
          <w:rFonts w:hint="eastAsia" w:ascii="宋体" w:hAnsi="宋体"/>
          <w:b/>
          <w:szCs w:val="21"/>
          <w:highlight w:val="none"/>
          <w:lang w:eastAsia="zh-CN"/>
        </w:rPr>
        <w:t>下列原因造成的损失、费用，保险人不负责赔偿：</w:t>
      </w:r>
    </w:p>
    <w:p w14:paraId="5462F218">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（一）战争、类似战争行为、敌对行为、武装冲突、恐怖活动、谋反、政变；</w:t>
      </w:r>
    </w:p>
    <w:p w14:paraId="72496B2F">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（二）行政行为或司法行为；</w:t>
      </w:r>
    </w:p>
    <w:p w14:paraId="010BD567">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（三）罢工、暴动、民众骚乱；</w:t>
      </w:r>
    </w:p>
    <w:p w14:paraId="7553D5F9">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（四）被保险人及其代表的故意行为或重大过失行为；</w:t>
      </w:r>
    </w:p>
    <w:p w14:paraId="60ABD5FF">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（五）核裂变、核聚变、核武器、核材料、核辐射、核爆炸、核污染及其他放射性污染；</w:t>
      </w:r>
    </w:p>
    <w:p w14:paraId="261D17E9">
      <w:pPr>
        <w:spacing w:after="0" w:line="360" w:lineRule="auto"/>
        <w:ind w:firstLine="422" w:firstLineChars="200"/>
        <w:rPr>
          <w:rFonts w:hint="eastAsia" w:ascii="宋体" w:hAnsi="宋体"/>
          <w:b/>
          <w:szCs w:val="21"/>
          <w:highlight w:val="none"/>
        </w:rPr>
      </w:pPr>
      <w:r>
        <w:rPr>
          <w:rFonts w:hint="eastAsia" w:ascii="宋体" w:hAnsi="宋体"/>
          <w:b/>
          <w:szCs w:val="21"/>
          <w:highlight w:val="none"/>
        </w:rPr>
        <w:t>（六）大气污染、土地污染、水污染及其他各种污染；</w:t>
      </w:r>
    </w:p>
    <w:p w14:paraId="7FC09D1C">
      <w:pPr>
        <w:numPr>
          <w:ilvl w:val="0"/>
          <w:numId w:val="7"/>
        </w:numPr>
        <w:spacing w:after="0" w:line="360" w:lineRule="auto"/>
        <w:rPr>
          <w:rFonts w:hint="eastAsia" w:ascii="宋体" w:hAnsi="宋体"/>
          <w:b/>
          <w:szCs w:val="21"/>
          <w:highlight w:val="none"/>
          <w:lang w:eastAsia="zh-CN"/>
        </w:rPr>
      </w:pPr>
      <w:r>
        <w:rPr>
          <w:rFonts w:hint="eastAsia" w:ascii="宋体" w:hAnsi="宋体"/>
          <w:b/>
          <w:szCs w:val="21"/>
          <w:highlight w:val="none"/>
          <w:lang w:eastAsia="zh-CN"/>
        </w:rPr>
        <w:t>下列损失、费用，保险人也不负责赔偿：</w:t>
      </w:r>
    </w:p>
    <w:p w14:paraId="6CA37152">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（一）工程部分停工或全部停工引起的任何损失、费用和责任。</w:t>
      </w:r>
    </w:p>
    <w:p w14:paraId="3819F9D1">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（二）罚金、延误、丧失合同及其他后果损失；</w:t>
      </w:r>
    </w:p>
    <w:p w14:paraId="14374957">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（三）1.本保险合同中载明的免赔额；</w:t>
      </w:r>
    </w:p>
    <w:p w14:paraId="39FAED99">
      <w:pPr>
        <w:spacing w:after="0" w:line="360" w:lineRule="auto"/>
        <w:ind w:firstLine="1054" w:firstLineChars="500"/>
        <w:rPr>
          <w:rFonts w:hint="eastAsia" w:ascii="宋体" w:hAnsi="宋体"/>
          <w:b/>
          <w:szCs w:val="21"/>
          <w:highlight w:val="none"/>
          <w:lang w:eastAsia="zh-CN"/>
        </w:rPr>
      </w:pPr>
      <w:r>
        <w:rPr>
          <w:rFonts w:hint="eastAsia" w:ascii="宋体" w:hAnsi="宋体"/>
          <w:b/>
          <w:szCs w:val="21"/>
          <w:highlight w:val="none"/>
          <w:lang w:eastAsia="zh-CN"/>
        </w:rPr>
        <w:t>2.按本保险合同中载明的免赔率计算的免赔额。</w:t>
      </w:r>
    </w:p>
    <w:p w14:paraId="4D18A653">
      <w:pPr>
        <w:autoSpaceDE w:val="0"/>
        <w:autoSpaceDN w:val="0"/>
        <w:spacing w:after="0" w:line="360" w:lineRule="auto"/>
        <w:ind w:firstLine="527" w:firstLineChars="250"/>
        <w:rPr>
          <w:rFonts w:hint="eastAsia" w:ascii="宋体" w:hAnsi="宋体"/>
          <w:szCs w:val="21"/>
          <w:highlight w:val="none"/>
          <w:lang w:eastAsia="zh-CN"/>
        </w:rPr>
      </w:pPr>
      <w:r>
        <w:rPr>
          <w:rFonts w:ascii="宋体" w:hAnsi="宋体"/>
          <w:b/>
          <w:szCs w:val="21"/>
          <w:highlight w:val="none"/>
          <w:lang w:eastAsia="zh-CN"/>
        </w:rPr>
        <w:t xml:space="preserve"> </w:t>
      </w:r>
    </w:p>
    <w:p w14:paraId="289DE984">
      <w:pPr>
        <w:spacing w:after="0" w:line="360" w:lineRule="auto"/>
        <w:jc w:val="center"/>
        <w:rPr>
          <w:rFonts w:hint="eastAsia" w:ascii="宋体" w:hAnsi="宋体"/>
          <w:b/>
          <w:szCs w:val="21"/>
          <w:highlight w:val="none"/>
        </w:rPr>
      </w:pPr>
      <w:r>
        <w:rPr>
          <w:rFonts w:hint="eastAsia" w:ascii="宋体" w:hAnsi="宋体"/>
          <w:b/>
          <w:bCs/>
          <w:szCs w:val="21"/>
          <w:highlight w:val="none"/>
        </w:rPr>
        <w:t>保险期间</w:t>
      </w:r>
    </w:p>
    <w:p w14:paraId="21337728">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本保险合同保险期间遵循如下约定：</w:t>
      </w:r>
    </w:p>
    <w:p w14:paraId="2186D858">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一）保险人的保险责任自保险工程在工地动工或用于保险工程的材料、设备运抵工地之时起始，至工程所有人对部分或全部工程签发完工验收证书或验收合格，或工程所有人实际占有或使用或接收该部分或全部工程之时终止，以先发生者为准。但在任何情况下，建筑期保险责任的起始或终止不得超出本保险单载明的建筑保险期间范围。</w:t>
      </w:r>
    </w:p>
    <w:p w14:paraId="3E8E5906">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二）不论有关合同中对试车和考核期如何规定，保险人仅在本保险合同明细表中列明的试车和考核期间内对试车和考核所引发的损失、费用和责任负责赔偿；若保险设备本身是在本次安装前已被使用过的设备或转手设备，则自其试车之时起，保险人对该项设备的保险责任即行终止。</w:t>
      </w:r>
    </w:p>
    <w:p w14:paraId="12D3B2B9">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（三）上述保险期间的展延，投保人须事先获得保险人的书面同意，否则，从本保险合同明细表中列明的建筑期保险期间终止日之后发生的任何损失、费用和责任，保险人不负责赔偿。</w:t>
      </w:r>
    </w:p>
    <w:p w14:paraId="599027A3">
      <w:pPr>
        <w:spacing w:after="0" w:line="360" w:lineRule="auto"/>
        <w:ind w:firstLine="480"/>
        <w:rPr>
          <w:rFonts w:hint="eastAsia" w:ascii="宋体" w:hAnsi="宋体"/>
          <w:i/>
          <w:iCs/>
          <w:szCs w:val="21"/>
          <w:highlight w:val="none"/>
          <w:lang w:eastAsia="zh-CN"/>
        </w:rPr>
      </w:pPr>
      <w:r>
        <w:rPr>
          <w:rFonts w:hint="eastAsia" w:ascii="宋体" w:hAnsi="宋体"/>
          <w:i/>
          <w:iCs/>
          <w:szCs w:val="21"/>
          <w:highlight w:val="none"/>
          <w:lang w:eastAsia="zh-CN"/>
        </w:rPr>
        <w:t xml:space="preserve"> </w:t>
      </w:r>
    </w:p>
    <w:p w14:paraId="78E63892">
      <w:pPr>
        <w:spacing w:after="0" w:line="360" w:lineRule="auto"/>
        <w:jc w:val="center"/>
        <w:rPr>
          <w:rFonts w:hint="eastAsia" w:ascii="宋体" w:hAnsi="宋体"/>
          <w:b/>
          <w:bCs/>
          <w:szCs w:val="21"/>
          <w:highlight w:val="none"/>
        </w:rPr>
      </w:pPr>
      <w:r>
        <w:rPr>
          <w:rFonts w:hint="eastAsia" w:ascii="宋体" w:hAnsi="宋体"/>
          <w:b/>
          <w:bCs/>
          <w:szCs w:val="21"/>
          <w:highlight w:val="none"/>
        </w:rPr>
        <w:t>保险人义务</w:t>
      </w:r>
    </w:p>
    <w:p w14:paraId="2B211CFD">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批单上作出足以引起投保人注意的提示，并对该条款的内容以书面或者口头形式向投保人作出明确说明；未作提示或者明确说明的，该条款不产生效力。</w:t>
      </w:r>
    </w:p>
    <w:p w14:paraId="2F3C3ACD">
      <w:pPr>
        <w:numPr>
          <w:ilvl w:val="0"/>
          <w:numId w:val="7"/>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本保险合同成立后，保险人应当及时向投保人签发保险单或批单。</w:t>
      </w:r>
    </w:p>
    <w:p w14:paraId="5ADDB82B">
      <w:pPr>
        <w:numPr>
          <w:ilvl w:val="0"/>
          <w:numId w:val="7"/>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保险人依据第三十七条所取得的保险合同解除权，自保险人知道有解除事由之日起，超过三十日不行使而消灭。自保险合同成立之日起超过二年的，保险人不得解除合同；发生保险事故的，保险人承担赔偿责任。</w:t>
      </w:r>
    </w:p>
    <w:p w14:paraId="44E9BACC">
      <w:pPr>
        <w:spacing w:after="0" w:line="360" w:lineRule="auto"/>
        <w:ind w:firstLine="420"/>
        <w:rPr>
          <w:rFonts w:hint="eastAsia" w:ascii="宋体" w:hAnsi="宋体"/>
          <w:szCs w:val="21"/>
          <w:highlight w:val="none"/>
          <w:lang w:eastAsia="zh-CN"/>
        </w:rPr>
      </w:pPr>
      <w:r>
        <w:rPr>
          <w:rFonts w:hint="eastAsia" w:ascii="宋体" w:hAnsi="宋体"/>
          <w:szCs w:val="21"/>
          <w:highlight w:val="none"/>
          <w:lang w:eastAsia="zh-CN"/>
        </w:rPr>
        <w:t>保险人在合同订立时已经知道投保人未如实告知的情况的，保险人不得解除合同；发生保险事故的，保险人应当承担赔偿责任。</w:t>
      </w:r>
    </w:p>
    <w:p w14:paraId="3255EE51">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保险人按照第四十三条的约定，认为被保险人提供的有关索赔的证明和资料不完整的，应当及时一次性通知投保人、被保险人补充提供。</w:t>
      </w:r>
    </w:p>
    <w:p w14:paraId="1CA38F36">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保险人收到被保险人的赔偿保险金的请求后，应当及时作出是否属于保险责任的核定；情形复杂的，应当在三十日内作出核定，但保险合同另有约定的除外。</w:t>
      </w:r>
    </w:p>
    <w:p w14:paraId="06BD032C">
      <w:pPr>
        <w:spacing w:after="0" w:line="360" w:lineRule="auto"/>
        <w:ind w:firstLine="411" w:firstLineChars="196"/>
        <w:rPr>
          <w:rFonts w:hint="eastAsia" w:ascii="宋体" w:hAnsi="宋体"/>
          <w:szCs w:val="21"/>
          <w:highlight w:val="none"/>
          <w:lang w:eastAsia="zh-CN"/>
        </w:rPr>
      </w:pPr>
      <w:r>
        <w:rPr>
          <w:rFonts w:hint="eastAsia" w:ascii="宋体" w:hAnsi="宋体"/>
          <w:szCs w:val="21"/>
          <w:highlight w:val="none"/>
          <w:lang w:eastAsia="zh-CN"/>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14:paraId="4BCC4FE1">
      <w:pPr>
        <w:numPr>
          <w:ilvl w:val="0"/>
          <w:numId w:val="7"/>
        </w:numPr>
        <w:spacing w:after="0" w:line="360" w:lineRule="auto"/>
        <w:rPr>
          <w:rFonts w:ascii="宋体" w:hAnsi="宋体"/>
          <w:i/>
          <w:iCs/>
          <w:szCs w:val="21"/>
          <w:highlight w:val="none"/>
          <w:lang w:eastAsia="zh-CN"/>
        </w:rPr>
      </w:pPr>
      <w:r>
        <w:rPr>
          <w:rFonts w:hint="eastAsia" w:ascii="宋体" w:hAnsi="宋体"/>
          <w:szCs w:val="21"/>
          <w:highlight w:val="none"/>
          <w:lang w:eastAsia="zh-CN"/>
        </w:rPr>
        <w:t xml:space="preserve"> 保险人自收到赔偿保险金的请求和有关证明、资料之日起六十日内，对其赔偿保险金的数额不能确定的，应当根据已有证明和资料可以确定的数额先予支付；保险人最终确定赔偿的数额后，应当支付相应的差额。</w:t>
      </w:r>
      <w:r>
        <w:rPr>
          <w:rStyle w:val="52"/>
          <w:rFonts w:ascii="宋体" w:hAnsi="宋体"/>
          <w:szCs w:val="21"/>
          <w:highlight w:val="none"/>
          <w:lang w:eastAsia="zh-CN"/>
        </w:rPr>
        <w:t> </w:t>
      </w:r>
    </w:p>
    <w:p w14:paraId="6369B20D">
      <w:pPr>
        <w:spacing w:after="0" w:line="360" w:lineRule="auto"/>
        <w:ind w:firstLine="480"/>
        <w:rPr>
          <w:rFonts w:hint="eastAsia" w:ascii="宋体" w:hAnsi="宋体"/>
          <w:iCs/>
          <w:szCs w:val="21"/>
          <w:highlight w:val="none"/>
          <w:lang w:eastAsia="zh-CN"/>
        </w:rPr>
      </w:pPr>
    </w:p>
    <w:p w14:paraId="3F863F33">
      <w:pPr>
        <w:spacing w:after="0" w:line="360" w:lineRule="auto"/>
        <w:jc w:val="center"/>
        <w:rPr>
          <w:rFonts w:hint="eastAsia" w:ascii="宋体" w:hAnsi="宋体"/>
          <w:b/>
          <w:bCs/>
          <w:szCs w:val="21"/>
          <w:highlight w:val="none"/>
        </w:rPr>
      </w:pPr>
      <w:r>
        <w:rPr>
          <w:rFonts w:hint="eastAsia" w:ascii="宋体" w:hAnsi="宋体"/>
          <w:b/>
          <w:bCs/>
          <w:szCs w:val="21"/>
          <w:highlight w:val="none"/>
        </w:rPr>
        <w:t>投保人、被保险人义务</w:t>
      </w:r>
    </w:p>
    <w:p w14:paraId="27EA1E00">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订立保险合同，保险人就保险标的或者被保险人的有关情况提出询问的，投保人应当如实告知。</w:t>
      </w:r>
    </w:p>
    <w:p w14:paraId="6A675378">
      <w:pPr>
        <w:tabs>
          <w:tab w:val="left" w:pos="1620"/>
        </w:tabs>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投保人故意或者因重大过失未履行前款规定的如实告知义务，足以影响保险人决定是否同意承保或者提高保险费的，保险人有权解除保险合同。</w:t>
      </w:r>
    </w:p>
    <w:p w14:paraId="08194538">
      <w:pPr>
        <w:tabs>
          <w:tab w:val="left" w:pos="1620"/>
        </w:tabs>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投保人故意不履行如实告知义务的，保险人对于合同解除前发生的保险事故，不承担赔偿责任，并不退还保险费。</w:t>
      </w:r>
    </w:p>
    <w:p w14:paraId="6BBA8B8A">
      <w:pPr>
        <w:tabs>
          <w:tab w:val="left" w:pos="1620"/>
        </w:tabs>
        <w:spacing w:after="0" w:line="360" w:lineRule="auto"/>
        <w:ind w:firstLine="422" w:firstLineChars="200"/>
        <w:rPr>
          <w:rFonts w:hint="eastAsia" w:ascii="宋体" w:hAnsi="宋体"/>
          <w:szCs w:val="21"/>
          <w:highlight w:val="none"/>
          <w:lang w:eastAsia="zh-CN"/>
        </w:rPr>
      </w:pPr>
      <w:r>
        <w:rPr>
          <w:rFonts w:hint="eastAsia" w:ascii="宋体" w:hAnsi="宋体"/>
          <w:b/>
          <w:szCs w:val="21"/>
          <w:highlight w:val="none"/>
          <w:lang w:eastAsia="zh-CN"/>
        </w:rPr>
        <w:t>投保人因重大过失未履行如实告知义务，对保险事故的发生有严重影响的，保险人对于合同解除前发生的保险事故，不承担赔偿责任，但应当退还保险费。</w:t>
      </w:r>
    </w:p>
    <w:p w14:paraId="70FDDA5A">
      <w:pPr>
        <w:numPr>
          <w:ilvl w:val="0"/>
          <w:numId w:val="7"/>
        </w:numPr>
        <w:spacing w:after="0" w:line="360" w:lineRule="auto"/>
        <w:ind w:firstLine="420"/>
        <w:rPr>
          <w:b/>
          <w:highlight w:val="none"/>
          <w:lang w:eastAsia="zh-CN"/>
        </w:rPr>
      </w:pPr>
      <w:r>
        <w:rPr>
          <w:rFonts w:hint="eastAsia"/>
          <w:highlight w:val="none"/>
          <w:lang w:eastAsia="zh-CN"/>
        </w:rPr>
        <w:t>投保人应按约定交付保险费。</w:t>
      </w:r>
    </w:p>
    <w:p w14:paraId="083D1C2F">
      <w:pPr>
        <w:pStyle w:val="13"/>
        <w:spacing w:after="0" w:line="360" w:lineRule="auto"/>
        <w:ind w:left="0" w:leftChars="0" w:firstLine="420" w:firstLineChars="200"/>
        <w:rPr>
          <w:rFonts w:hint="eastAsia"/>
          <w:b/>
          <w:bCs/>
          <w:szCs w:val="21"/>
          <w:highlight w:val="none"/>
          <w:lang w:eastAsia="zh-CN"/>
        </w:rPr>
      </w:pPr>
      <w:r>
        <w:rPr>
          <w:rFonts w:hint="eastAsia"/>
          <w:bCs/>
          <w:szCs w:val="21"/>
          <w:highlight w:val="none"/>
          <w:lang w:eastAsia="zh-CN"/>
        </w:rPr>
        <w:t>约定一次性交付保险费的，</w:t>
      </w:r>
      <w:r>
        <w:rPr>
          <w:rFonts w:hint="eastAsia"/>
          <w:b/>
          <w:bCs/>
          <w:szCs w:val="21"/>
          <w:highlight w:val="none"/>
          <w:lang w:eastAsia="zh-CN"/>
        </w:rPr>
        <w:t>投保人在约定交费日后交付保险费的，保险人对交费之前发生的保险事故不承担保险责任。</w:t>
      </w:r>
    </w:p>
    <w:p w14:paraId="453BDB26">
      <w:pPr>
        <w:spacing w:after="0" w:line="360" w:lineRule="auto"/>
        <w:ind w:firstLine="420" w:firstLineChars="200"/>
        <w:rPr>
          <w:rFonts w:hint="eastAsia" w:ascii="宋体" w:hAnsi="宋体"/>
          <w:b/>
          <w:szCs w:val="21"/>
          <w:highlight w:val="none"/>
          <w:lang w:eastAsia="zh-CN"/>
        </w:rPr>
      </w:pPr>
      <w:r>
        <w:rPr>
          <w:rFonts w:hint="eastAsia"/>
          <w:bCs/>
          <w:szCs w:val="21"/>
          <w:highlight w:val="none"/>
          <w:lang w:eastAsia="zh-CN"/>
        </w:rPr>
        <w:t>约定分期交付保险费的，</w:t>
      </w:r>
      <w:r>
        <w:rPr>
          <w:rFonts w:hint="eastAsia"/>
          <w:b/>
          <w:bCs/>
          <w:szCs w:val="21"/>
          <w:highlight w:val="none"/>
          <w:lang w:eastAsia="zh-CN"/>
        </w:rPr>
        <w:t>保险人按照保险事故发生前保险人实际收取保险费总额与投保人应当交付的保险费的比例承担保险责任，</w:t>
      </w:r>
      <w:r>
        <w:rPr>
          <w:rFonts w:hint="eastAsia"/>
          <w:bCs/>
          <w:szCs w:val="21"/>
          <w:highlight w:val="none"/>
          <w:lang w:eastAsia="zh-CN"/>
        </w:rPr>
        <w:t>投保人应当交付的保险费是指截至保险事故发生时投保人按约定分期应该缴纳的保费总额。</w:t>
      </w:r>
    </w:p>
    <w:p w14:paraId="5E97F15A">
      <w:pPr>
        <w:numPr>
          <w:ilvl w:val="0"/>
          <w:numId w:val="7"/>
        </w:numPr>
        <w:spacing w:after="0" w:line="360" w:lineRule="auto"/>
        <w:rPr>
          <w:rFonts w:hint="eastAsia" w:ascii="宋体" w:hAnsi="宋体" w:cs="仿宋_GB2312"/>
          <w:szCs w:val="21"/>
          <w:highlight w:val="none"/>
          <w:lang w:eastAsia="zh-CN"/>
        </w:rPr>
      </w:pPr>
      <w:r>
        <w:rPr>
          <w:rFonts w:hint="eastAsia" w:ascii="宋体" w:hAnsi="宋体"/>
          <w:szCs w:val="21"/>
          <w:highlight w:val="none"/>
          <w:lang w:eastAsia="zh-CN"/>
        </w:rPr>
        <w:t xml:space="preserve"> 被保险人应当遵守国家有关</w:t>
      </w:r>
      <w:r>
        <w:rPr>
          <w:rFonts w:hint="eastAsia" w:ascii="宋体" w:hAnsi="宋体" w:cs="仿宋_GB2312"/>
          <w:szCs w:val="21"/>
          <w:highlight w:val="none"/>
          <w:lang w:eastAsia="zh-CN"/>
        </w:rPr>
        <w:t>消防、安全、生产操作等方面的相关法律、法规及规定，谨慎选用施工人员，遵守一切与施工有关的法规、技术规程和安全操作规程，维护保险标的的安全。</w:t>
      </w:r>
    </w:p>
    <w:p w14:paraId="617E7D01">
      <w:pPr>
        <w:pStyle w:val="8"/>
        <w:spacing w:after="0" w:line="360" w:lineRule="auto"/>
        <w:ind w:firstLine="420"/>
        <w:rPr>
          <w:rFonts w:hint="eastAsia"/>
          <w:bCs/>
          <w:szCs w:val="21"/>
          <w:highlight w:val="none"/>
          <w:lang w:eastAsia="zh-CN"/>
        </w:rPr>
      </w:pPr>
      <w:r>
        <w:rPr>
          <w:rFonts w:hint="eastAsia"/>
          <w:bCs/>
          <w:szCs w:val="21"/>
          <w:highlight w:val="none"/>
          <w:lang w:eastAsia="zh-CN"/>
        </w:rPr>
        <w:t>保险人及其代表有权在适当的时候对保险标的的风险情况进行现场查验。被保险人应提供一切便利及保险人要求的用以评估有关风险的详情和资料，但上述查验并不构成保险人对被保险人的任何承诺。保险人向投保人、被保险人提出消除不安全因素和隐患的书面建议，投保人、被保险人应该认真付诸实施。</w:t>
      </w:r>
    </w:p>
    <w:p w14:paraId="4297668E">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投保人、被保险人未按照约定履行其对保险标的的安全应尽责任的，保险人有权要求增加保险费或者解除合同。</w:t>
      </w:r>
    </w:p>
    <w:p w14:paraId="5F8C418F">
      <w:pPr>
        <w:numPr>
          <w:ilvl w:val="0"/>
          <w:numId w:val="7"/>
        </w:numPr>
        <w:spacing w:after="0" w:line="360" w:lineRule="auto"/>
        <w:rPr>
          <w:rFonts w:hint="eastAsia" w:ascii="宋体" w:hAnsi="宋体"/>
          <w:b/>
          <w:szCs w:val="21"/>
          <w:highlight w:val="none"/>
          <w:lang w:eastAsia="zh-CN"/>
        </w:rPr>
      </w:pPr>
      <w:r>
        <w:rPr>
          <w:rFonts w:hint="eastAsia" w:ascii="宋体" w:hAnsi="宋体"/>
          <w:szCs w:val="21"/>
          <w:highlight w:val="none"/>
          <w:lang w:eastAsia="zh-CN"/>
        </w:rPr>
        <w:t>保险标的转让的，被保险人或者受让人应当及时通知保险人。</w:t>
      </w:r>
    </w:p>
    <w:p w14:paraId="6EF7B7DD">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14:paraId="1D29AB86">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被保险人、受让人未履行本条规定的通知义务的，因转让导致保险标的危险程度显著增加而发生的保险事故，保险人不承担赔偿责任。</w:t>
      </w:r>
    </w:p>
    <w:p w14:paraId="3219B775">
      <w:pPr>
        <w:numPr>
          <w:ilvl w:val="0"/>
          <w:numId w:val="7"/>
        </w:numPr>
        <w:spacing w:after="0" w:line="360" w:lineRule="auto"/>
        <w:rPr>
          <w:rFonts w:hint="eastAsia" w:ascii="宋体" w:hAnsi="宋体"/>
          <w:szCs w:val="21"/>
          <w:highlight w:val="none"/>
          <w:lang w:eastAsia="zh-CN"/>
        </w:rPr>
      </w:pPr>
      <w:r>
        <w:rPr>
          <w:rFonts w:hint="eastAsia" w:ascii="宋体" w:hAnsi="宋体"/>
          <w:bCs/>
          <w:szCs w:val="21"/>
          <w:highlight w:val="none"/>
          <w:lang w:eastAsia="zh-CN"/>
        </w:rPr>
        <w:t xml:space="preserve"> 在保险期间内，被保险人在工程设计、施工方式、工艺、技术手段等方面发生改变致使保险工程风险程度显著增加或其他足以影响保险人决定是否继续承保或是否增加保险费的保险合同重要事项变更，被保险人应及时书面通知保险人，保险人有权要求增加保险费或者解除合同。</w:t>
      </w:r>
      <w:r>
        <w:rPr>
          <w:rFonts w:hint="eastAsia" w:ascii="宋体" w:hAnsi="宋体"/>
          <w:szCs w:val="21"/>
          <w:highlight w:val="none"/>
          <w:lang w:eastAsia="zh-CN"/>
        </w:rPr>
        <w:t>保险人解除合同的，应当将已收取的保险费，按照合同约定扣除自保险责任开始之日起至合同解除之日止应收的部分后，退还投保人。</w:t>
      </w:r>
    </w:p>
    <w:p w14:paraId="25A67C87">
      <w:pPr>
        <w:pStyle w:val="13"/>
        <w:spacing w:after="0" w:line="360" w:lineRule="auto"/>
        <w:ind w:left="0" w:leftChars="0" w:firstLine="422" w:firstLineChars="200"/>
        <w:rPr>
          <w:rFonts w:hint="eastAsia"/>
          <w:b/>
          <w:bCs/>
          <w:szCs w:val="21"/>
          <w:highlight w:val="none"/>
          <w:lang w:eastAsia="zh-CN"/>
        </w:rPr>
      </w:pPr>
      <w:r>
        <w:rPr>
          <w:rFonts w:hint="eastAsia"/>
          <w:b/>
          <w:bCs/>
          <w:szCs w:val="21"/>
          <w:highlight w:val="none"/>
          <w:lang w:eastAsia="zh-CN"/>
        </w:rPr>
        <w:t>被保险人未履行通知义务，因上述保险合同重要事项变更而导致保险事故发生的，保险人不承担赔偿责任。</w:t>
      </w:r>
    </w:p>
    <w:p w14:paraId="063A3996">
      <w:pPr>
        <w:numPr>
          <w:ilvl w:val="0"/>
          <w:numId w:val="7"/>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投保人、被保险人知道保险事故发生后，被保险人应该：</w:t>
      </w:r>
    </w:p>
    <w:p w14:paraId="4D8E00E6">
      <w:pPr>
        <w:pStyle w:val="8"/>
        <w:spacing w:after="0" w:line="360" w:lineRule="auto"/>
        <w:ind w:firstLine="420"/>
        <w:rPr>
          <w:rFonts w:hint="eastAsia"/>
          <w:b/>
          <w:szCs w:val="21"/>
          <w:highlight w:val="none"/>
          <w:lang w:eastAsia="zh-CN"/>
        </w:rPr>
      </w:pPr>
      <w:r>
        <w:rPr>
          <w:rFonts w:hint="eastAsia"/>
          <w:szCs w:val="21"/>
          <w:highlight w:val="none"/>
          <w:lang w:eastAsia="zh-CN"/>
        </w:rPr>
        <w:t>（一）尽力采取必要、合理的措施，防止或减少损失，</w:t>
      </w:r>
      <w:r>
        <w:rPr>
          <w:rFonts w:hint="eastAsia"/>
          <w:b/>
          <w:szCs w:val="21"/>
          <w:highlight w:val="none"/>
          <w:lang w:eastAsia="zh-CN"/>
        </w:rPr>
        <w:t>否则，对因此扩大的损失，保险人不承担赔偿责任；</w:t>
      </w:r>
    </w:p>
    <w:p w14:paraId="61087F79">
      <w:pPr>
        <w:spacing w:after="0" w:line="360" w:lineRule="auto"/>
        <w:ind w:firstLine="480"/>
        <w:rPr>
          <w:rFonts w:ascii="宋体" w:hAnsi="宋体"/>
          <w:szCs w:val="21"/>
          <w:highlight w:val="none"/>
          <w:lang w:eastAsia="zh-CN"/>
        </w:rPr>
      </w:pPr>
      <w:r>
        <w:rPr>
          <w:rStyle w:val="51"/>
          <w:rFonts w:hint="eastAsia" w:ascii="宋体" w:hAnsi="宋体"/>
          <w:szCs w:val="21"/>
          <w:highlight w:val="none"/>
          <w:lang w:eastAsia="zh-CN"/>
        </w:rPr>
        <w:t>（二）立即通知保险人，并书面说明事故发生的原因、经过和损失情况；</w:t>
      </w:r>
      <w:r>
        <w:rPr>
          <w:rStyle w:val="51"/>
          <w:rFonts w:hint="eastAsia" w:ascii="宋体" w:hAnsi="宋体"/>
          <w:b/>
          <w:szCs w:val="21"/>
          <w:highlight w:val="none"/>
          <w:lang w:eastAsia="zh-CN"/>
        </w:rPr>
        <w:t>故意或者因重大过失未及时通知，致使保险事故的性质、原因、损失程度等难以确定的，保险人对无法确定的部分，不承担赔偿责任，</w:t>
      </w:r>
      <w:r>
        <w:rPr>
          <w:rStyle w:val="51"/>
          <w:rFonts w:hint="eastAsia" w:ascii="宋体" w:hAnsi="宋体"/>
          <w:szCs w:val="21"/>
          <w:highlight w:val="none"/>
          <w:lang w:eastAsia="zh-CN"/>
        </w:rPr>
        <w:t>但保险人通过其他途径已经及时知道或者应当及时知道保险事故发生的除外；</w:t>
      </w:r>
    </w:p>
    <w:p w14:paraId="6516C300">
      <w:pPr>
        <w:spacing w:after="0" w:line="360" w:lineRule="auto"/>
        <w:ind w:firstLine="420" w:firstLineChars="200"/>
        <w:rPr>
          <w:rFonts w:hint="eastAsia" w:ascii="宋体" w:hAnsi="宋体"/>
          <w:b/>
          <w:szCs w:val="21"/>
          <w:highlight w:val="none"/>
          <w:lang w:eastAsia="zh-CN"/>
        </w:rPr>
      </w:pPr>
      <w:r>
        <w:rPr>
          <w:rFonts w:hint="eastAsia" w:ascii="宋体" w:hAnsi="宋体"/>
          <w:szCs w:val="21"/>
          <w:highlight w:val="none"/>
          <w:lang w:eastAsia="zh-CN"/>
        </w:rPr>
        <w:t>（三）保护事故现场，允许并且协助保险人进行事故调查，</w:t>
      </w:r>
      <w:r>
        <w:rPr>
          <w:rFonts w:hint="eastAsia" w:ascii="宋体" w:hAnsi="宋体"/>
          <w:b/>
          <w:szCs w:val="21"/>
          <w:highlight w:val="none"/>
          <w:lang w:eastAsia="zh-CN"/>
        </w:rPr>
        <w:t>对于拒绝或者妨碍保险人进行事故调查导致无法认定事故原因或核实损失情况的，保险人对无法核实的部分不承担赔偿责任；</w:t>
      </w:r>
    </w:p>
    <w:p w14:paraId="16FB459F">
      <w:pPr>
        <w:autoSpaceDE w:val="0"/>
        <w:autoSpaceDN w:val="0"/>
        <w:spacing w:after="0" w:line="360" w:lineRule="auto"/>
        <w:ind w:firstLine="420" w:firstLineChars="200"/>
        <w:rPr>
          <w:rFonts w:hint="eastAsia" w:ascii="宋体" w:hAnsi="宋体" w:cs="仿宋_GB2312"/>
          <w:szCs w:val="21"/>
          <w:highlight w:val="none"/>
          <w:lang w:eastAsia="zh-CN"/>
        </w:rPr>
      </w:pPr>
      <w:r>
        <w:rPr>
          <w:rFonts w:hint="eastAsia" w:ascii="宋体" w:hAnsi="宋体" w:cs="仿宋_GB2312"/>
          <w:szCs w:val="21"/>
          <w:highlight w:val="none"/>
          <w:lang w:eastAsia="zh-CN"/>
        </w:rPr>
        <w:t>（四）在保险财产遭受盗窃或恶意破坏时，立即向公安部门报案；</w:t>
      </w:r>
    </w:p>
    <w:p w14:paraId="26A42D36">
      <w:pPr>
        <w:autoSpaceDE w:val="0"/>
        <w:autoSpaceDN w:val="0"/>
        <w:spacing w:after="0" w:line="360" w:lineRule="auto"/>
        <w:ind w:firstLine="420" w:firstLineChars="200"/>
        <w:rPr>
          <w:rFonts w:hint="eastAsia" w:ascii="宋体" w:hAnsi="宋体"/>
          <w:szCs w:val="21"/>
          <w:highlight w:val="none"/>
          <w:lang w:eastAsia="zh-CN"/>
        </w:rPr>
      </w:pPr>
      <w:r>
        <w:rPr>
          <w:rFonts w:hint="eastAsia" w:ascii="宋体" w:hAnsi="宋体" w:cs="仿宋_GB2312"/>
          <w:szCs w:val="21"/>
          <w:highlight w:val="none"/>
          <w:lang w:eastAsia="zh-CN"/>
        </w:rPr>
        <w:t>（五）在预知可能引起第三者责任险项下的诉讼时，立即以书面形式通知保险人，并在接到法院传票或其他法律文件后，立即将其送交保险人。</w:t>
      </w:r>
    </w:p>
    <w:p w14:paraId="2FD6563C">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被保险人向保险人请求赔偿时，应向保险人提交保险单、索赔申请、财产损失清单、有关部门的损失证明以及其他投保人、被保险人所能提供的与确认保险事故的性质、原因、损失程度等有关的证明和资料。</w:t>
      </w:r>
    </w:p>
    <w:p w14:paraId="1CC0464E">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投保人、被保险人未履行前款约定的索赔材料提供义务，导致保险人无法核实损失情况的，保险人对无法核实的部分不承担赔偿责任。</w:t>
      </w:r>
    </w:p>
    <w:p w14:paraId="07F62B4A">
      <w:pPr>
        <w:numPr>
          <w:ilvl w:val="0"/>
          <w:numId w:val="7"/>
        </w:numPr>
        <w:spacing w:after="0" w:line="360" w:lineRule="auto"/>
        <w:rPr>
          <w:rFonts w:hint="eastAsia" w:ascii="宋体" w:hAnsi="宋体" w:cs="仿宋_GB2312"/>
          <w:b/>
          <w:szCs w:val="21"/>
          <w:highlight w:val="none"/>
          <w:lang w:eastAsia="zh-CN"/>
        </w:rPr>
      </w:pPr>
      <w:r>
        <w:rPr>
          <w:rFonts w:hint="eastAsia" w:ascii="宋体" w:hAnsi="宋体" w:cs="仿宋_GB2312"/>
          <w:szCs w:val="21"/>
          <w:highlight w:val="none"/>
          <w:lang w:eastAsia="zh-CN"/>
        </w:rPr>
        <w:t xml:space="preserve"> 若在某一保险财产中发现的缺陷表明或预示类似缺陷亦存在于其他保险财产中时，被保险人应立即自付费用进行调查并纠正该缺陷。</w:t>
      </w:r>
      <w:r>
        <w:rPr>
          <w:rFonts w:hint="eastAsia" w:ascii="宋体" w:hAnsi="宋体" w:cs="仿宋_GB2312"/>
          <w:b/>
          <w:szCs w:val="21"/>
          <w:highlight w:val="none"/>
          <w:lang w:eastAsia="zh-CN"/>
        </w:rPr>
        <w:t>否则，由该缺陷或类似缺陷造成的损失保险人不承担赔偿责任。</w:t>
      </w:r>
    </w:p>
    <w:p w14:paraId="520DB1BB">
      <w:pPr>
        <w:tabs>
          <w:tab w:val="left" w:pos="2160"/>
        </w:tabs>
        <w:spacing w:after="0" w:line="360" w:lineRule="auto"/>
        <w:ind w:firstLine="420" w:firstLineChars="200"/>
        <w:rPr>
          <w:rFonts w:hint="eastAsia" w:ascii="宋体" w:hAnsi="宋体"/>
          <w:szCs w:val="21"/>
          <w:highlight w:val="none"/>
          <w:lang w:eastAsia="zh-CN"/>
        </w:rPr>
      </w:pPr>
    </w:p>
    <w:p w14:paraId="08DF3698">
      <w:pPr>
        <w:spacing w:after="0" w:line="360" w:lineRule="auto"/>
        <w:jc w:val="center"/>
        <w:rPr>
          <w:rFonts w:hint="eastAsia" w:ascii="宋体" w:hAnsi="宋体"/>
          <w:b/>
          <w:bCs/>
          <w:szCs w:val="21"/>
          <w:highlight w:val="none"/>
        </w:rPr>
      </w:pPr>
      <w:r>
        <w:rPr>
          <w:rFonts w:hint="eastAsia" w:ascii="宋体" w:hAnsi="宋体"/>
          <w:b/>
          <w:bCs/>
          <w:szCs w:val="21"/>
          <w:highlight w:val="none"/>
        </w:rPr>
        <w:t>赔偿处理</w:t>
      </w:r>
    </w:p>
    <w:p w14:paraId="3E7680BF">
      <w:pPr>
        <w:numPr>
          <w:ilvl w:val="0"/>
          <w:numId w:val="7"/>
        </w:numPr>
        <w:spacing w:after="0" w:line="360" w:lineRule="auto"/>
        <w:rPr>
          <w:rFonts w:hint="eastAsia" w:ascii="宋体" w:hAnsi="宋体"/>
          <w:b/>
          <w:bCs/>
          <w:szCs w:val="21"/>
          <w:highlight w:val="none"/>
          <w:lang w:eastAsia="zh-CN"/>
        </w:rPr>
      </w:pPr>
      <w:r>
        <w:rPr>
          <w:rStyle w:val="51"/>
          <w:rFonts w:hint="eastAsia" w:ascii="宋体" w:hAnsi="宋体"/>
          <w:b/>
          <w:szCs w:val="21"/>
          <w:highlight w:val="none"/>
          <w:lang w:eastAsia="zh-CN"/>
        </w:rPr>
        <w:t xml:space="preserve"> 保险事故发生时，被保险人对保险标的不具有保险利益的，不得向保险人请求赔偿保险金。</w:t>
      </w:r>
    </w:p>
    <w:p w14:paraId="6ACA3B60">
      <w:pPr>
        <w:numPr>
          <w:ilvl w:val="0"/>
          <w:numId w:val="7"/>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保险标的遭受损失后，如果有残余价值，应由双方协商处理。若协商残值归被保险人所有，应在赔偿金额中扣减残值。</w:t>
      </w:r>
    </w:p>
    <w:p w14:paraId="37DFA4DD">
      <w:pPr>
        <w:numPr>
          <w:ilvl w:val="0"/>
          <w:numId w:val="7"/>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保险事故发生时，如果存在重复保险，保险人按照本保险合同的相应保险金额与其他保险合同及本保险合同相应保险金额总和的比例承担赔偿责任。</w:t>
      </w:r>
    </w:p>
    <w:p w14:paraId="0E1A77B9">
      <w:pPr>
        <w:pStyle w:val="8"/>
        <w:spacing w:after="0" w:line="360" w:lineRule="auto"/>
        <w:ind w:firstLine="422"/>
        <w:rPr>
          <w:rFonts w:hint="eastAsia"/>
          <w:szCs w:val="21"/>
          <w:highlight w:val="none"/>
          <w:lang w:eastAsia="zh-CN"/>
        </w:rPr>
      </w:pPr>
      <w:r>
        <w:rPr>
          <w:rFonts w:hint="eastAsia"/>
          <w:b/>
          <w:szCs w:val="21"/>
          <w:highlight w:val="none"/>
          <w:lang w:eastAsia="zh-CN"/>
        </w:rPr>
        <w:t>其他保险人应承担的赔偿金额，本保险人不负责垫付。</w:t>
      </w:r>
      <w:r>
        <w:rPr>
          <w:rFonts w:hint="eastAsia"/>
          <w:szCs w:val="21"/>
          <w:highlight w:val="none"/>
          <w:lang w:eastAsia="zh-CN"/>
        </w:rPr>
        <w:t>若被保险人未如实告知导致保险人多支付赔偿金的，保险人有权向被保险人追回多支付的部分。</w:t>
      </w:r>
    </w:p>
    <w:p w14:paraId="795410C1">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14:paraId="6770189B">
      <w:pPr>
        <w:tabs>
          <w:tab w:val="left" w:pos="2160"/>
        </w:tabs>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被保险人已经从有关责任方取得赔偿的，保险人赔偿保险金时，可以相应扣减被保险人已从有关责任方取得的赔偿金额。</w:t>
      </w:r>
    </w:p>
    <w:p w14:paraId="3110975A">
      <w:pPr>
        <w:tabs>
          <w:tab w:val="left" w:pos="2160"/>
        </w:tabs>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保险事故发生后，在保险人未赔偿保险金之前，被保险人放弃对有关责任方请求赔偿权利的，保险人不承担赔偿责任；</w:t>
      </w:r>
      <w:r>
        <w:rPr>
          <w:rFonts w:hint="eastAsia" w:ascii="宋体" w:hAnsi="宋体"/>
          <w:szCs w:val="21"/>
          <w:highlight w:val="none"/>
          <w:lang w:eastAsia="zh-CN"/>
        </w:rPr>
        <w:t>保险人向被保险人赔偿保险金后，被保险人未经保险人同意放弃对有关责任方请求赔偿权利的，该行为无效；</w:t>
      </w:r>
      <w:r>
        <w:rPr>
          <w:rFonts w:hint="eastAsia" w:ascii="宋体" w:hAnsi="宋体"/>
          <w:b/>
          <w:szCs w:val="21"/>
          <w:highlight w:val="none"/>
          <w:lang w:eastAsia="zh-CN"/>
        </w:rPr>
        <w:t>由于被保险人故意或者因重大过失致使保险人不能行使代位请求赔偿的权利的，保险人可以扣减或者要求返还相应的保险金。</w:t>
      </w:r>
    </w:p>
    <w:p w14:paraId="6AA428EB">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w:t>
      </w:r>
      <w:r>
        <w:rPr>
          <w:rFonts w:ascii="宋体" w:hAnsi="宋体"/>
          <w:szCs w:val="21"/>
          <w:highlight w:val="none"/>
          <w:lang w:eastAsia="zh-CN"/>
        </w:rPr>
        <w:t>被保险人向保险人请求赔偿的诉讼时效期间为二年，自其知道或者应当知道保险事故发生之日起计算。 </w:t>
      </w:r>
    </w:p>
    <w:p w14:paraId="408E7234">
      <w:pPr>
        <w:spacing w:after="0" w:line="360" w:lineRule="auto"/>
        <w:ind w:firstLine="480"/>
        <w:rPr>
          <w:rFonts w:hint="eastAsia" w:ascii="宋体" w:hAnsi="宋体"/>
          <w:szCs w:val="21"/>
          <w:highlight w:val="none"/>
          <w:lang w:eastAsia="zh-CN"/>
        </w:rPr>
      </w:pPr>
    </w:p>
    <w:p w14:paraId="01F28B59">
      <w:pPr>
        <w:spacing w:after="0" w:line="360" w:lineRule="auto"/>
        <w:jc w:val="center"/>
        <w:rPr>
          <w:rFonts w:hint="eastAsia" w:ascii="宋体" w:hAnsi="宋体"/>
          <w:b/>
          <w:bCs/>
          <w:szCs w:val="21"/>
          <w:highlight w:val="none"/>
        </w:rPr>
      </w:pPr>
      <w:r>
        <w:rPr>
          <w:rFonts w:hint="eastAsia" w:ascii="宋体" w:hAnsi="宋体"/>
          <w:b/>
          <w:bCs/>
          <w:szCs w:val="21"/>
          <w:highlight w:val="none"/>
        </w:rPr>
        <w:t>争议处理</w:t>
      </w:r>
    </w:p>
    <w:p w14:paraId="1D44B7C6">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因履行本保险合同发生的争议，由当事人协商解决。协商不成的，提交保险单载明的仲裁机构仲裁；保险单未载明仲裁机构且争议发生后未达成仲裁协议的，依法向人民法院起诉。</w:t>
      </w:r>
    </w:p>
    <w:p w14:paraId="1F47BD9D">
      <w:pPr>
        <w:numPr>
          <w:ilvl w:val="0"/>
          <w:numId w:val="7"/>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与本保险合同有关的以及履行本保险合同产生的一切争议，适用中华人民共和国法律（不包括港澳台地区法律）。</w:t>
      </w:r>
    </w:p>
    <w:p w14:paraId="5CF1BC31">
      <w:pPr>
        <w:spacing w:after="0" w:line="360" w:lineRule="auto"/>
        <w:ind w:firstLine="480"/>
        <w:rPr>
          <w:rFonts w:hint="eastAsia" w:ascii="宋体" w:hAnsi="宋体"/>
          <w:szCs w:val="21"/>
          <w:highlight w:val="none"/>
          <w:lang w:eastAsia="zh-CN"/>
        </w:rPr>
      </w:pPr>
    </w:p>
    <w:p w14:paraId="06D4FE2B">
      <w:pPr>
        <w:spacing w:after="0" w:line="360" w:lineRule="auto"/>
        <w:jc w:val="center"/>
        <w:rPr>
          <w:rFonts w:hint="eastAsia" w:ascii="宋体" w:hAnsi="宋体"/>
          <w:b/>
          <w:bCs/>
          <w:szCs w:val="21"/>
          <w:highlight w:val="none"/>
        </w:rPr>
      </w:pPr>
      <w:r>
        <w:rPr>
          <w:rFonts w:hint="eastAsia" w:ascii="宋体" w:hAnsi="宋体"/>
          <w:b/>
          <w:bCs/>
          <w:szCs w:val="21"/>
          <w:highlight w:val="none"/>
        </w:rPr>
        <w:t>其他事项</w:t>
      </w:r>
    </w:p>
    <w:p w14:paraId="00204069">
      <w:pPr>
        <w:numPr>
          <w:ilvl w:val="0"/>
          <w:numId w:val="7"/>
        </w:numPr>
        <w:spacing w:after="0" w:line="360" w:lineRule="auto"/>
        <w:rPr>
          <w:rStyle w:val="51"/>
          <w:rFonts w:hint="eastAsia" w:ascii="宋体" w:hAnsi="宋体"/>
          <w:szCs w:val="21"/>
          <w:highlight w:val="none"/>
          <w:lang w:eastAsia="zh-CN"/>
        </w:rPr>
      </w:pPr>
      <w:r>
        <w:rPr>
          <w:rStyle w:val="51"/>
          <w:rFonts w:hint="eastAsia" w:ascii="宋体" w:hAnsi="宋体"/>
          <w:szCs w:val="21"/>
          <w:highlight w:val="none"/>
          <w:lang w:eastAsia="zh-CN"/>
        </w:rPr>
        <w:t xml:space="preserve"> </w:t>
      </w:r>
      <w:r>
        <w:rPr>
          <w:rStyle w:val="51"/>
          <w:rFonts w:ascii="宋体" w:hAnsi="宋体"/>
          <w:szCs w:val="21"/>
          <w:highlight w:val="none"/>
          <w:lang w:eastAsia="zh-CN"/>
        </w:rPr>
        <w:t>保险标的发生部分损失的，自保险人赔偿之日起三十日内，投保人可以解除合同；除合同另有约定外，保险人也可以解除合同，但应当提前十五日通知投保人。</w:t>
      </w:r>
    </w:p>
    <w:p w14:paraId="020B4714">
      <w:pPr>
        <w:spacing w:after="0" w:line="360" w:lineRule="auto"/>
        <w:ind w:firstLine="420" w:firstLineChars="200"/>
        <w:rPr>
          <w:rStyle w:val="51"/>
          <w:rFonts w:hint="eastAsia" w:ascii="宋体" w:hAnsi="宋体"/>
          <w:szCs w:val="21"/>
          <w:highlight w:val="none"/>
          <w:lang w:eastAsia="zh-CN"/>
        </w:rPr>
      </w:pPr>
      <w:r>
        <w:rPr>
          <w:rStyle w:val="51"/>
          <w:rFonts w:hint="eastAsia" w:ascii="宋体" w:hAnsi="宋体"/>
          <w:szCs w:val="21"/>
          <w:highlight w:val="none"/>
          <w:lang w:eastAsia="zh-CN"/>
        </w:rPr>
        <w:t>保险合同依据前款规定</w:t>
      </w:r>
      <w:r>
        <w:rPr>
          <w:rStyle w:val="51"/>
          <w:rFonts w:ascii="宋体" w:hAnsi="宋体"/>
          <w:szCs w:val="21"/>
          <w:highlight w:val="none"/>
          <w:lang w:eastAsia="zh-CN"/>
        </w:rPr>
        <w:t>解除的，保险人应当将保险标的未受损失部分的保险费，按照合同约定扣除自保险责任开始之日起至合同解除之日止应收的部分后，退还投保人。</w:t>
      </w:r>
    </w:p>
    <w:p w14:paraId="62A0C4B2">
      <w:pPr>
        <w:numPr>
          <w:ilvl w:val="0"/>
          <w:numId w:val="7"/>
        </w:numPr>
        <w:spacing w:after="0" w:line="360" w:lineRule="auto"/>
        <w:rPr>
          <w:rStyle w:val="51"/>
          <w:rFonts w:hint="eastAsia" w:ascii="宋体" w:hAnsi="宋体"/>
          <w:szCs w:val="21"/>
          <w:highlight w:val="none"/>
          <w:lang w:eastAsia="zh-CN"/>
        </w:rPr>
      </w:pPr>
      <w:r>
        <w:rPr>
          <w:rFonts w:hint="eastAsia" w:ascii="宋体" w:hAnsi="宋体"/>
          <w:szCs w:val="21"/>
          <w:highlight w:val="none"/>
          <w:lang w:eastAsia="zh-CN"/>
        </w:rPr>
        <w:t xml:space="preserve"> 保险责任开始前，投保人要求解除保险合同的，应当按本保险合同的约定向保险人支付手续费，保险人应当退还保</w:t>
      </w:r>
      <w:r>
        <w:rPr>
          <w:rStyle w:val="51"/>
          <w:rFonts w:hint="eastAsia" w:ascii="宋体" w:hAnsi="宋体"/>
          <w:szCs w:val="21"/>
          <w:highlight w:val="none"/>
          <w:lang w:eastAsia="zh-CN"/>
        </w:rPr>
        <w:t>险费。保险人要求解除保险合同的，不得向投保人收取手续费并应退还已收取的保险费。</w:t>
      </w:r>
    </w:p>
    <w:p w14:paraId="7FA58270">
      <w:pPr>
        <w:spacing w:after="0" w:line="360" w:lineRule="auto"/>
        <w:ind w:firstLine="420" w:firstLineChars="200"/>
        <w:rPr>
          <w:rStyle w:val="51"/>
          <w:rFonts w:hint="eastAsia" w:ascii="宋体" w:hAnsi="宋体"/>
          <w:szCs w:val="21"/>
          <w:highlight w:val="none"/>
          <w:lang w:eastAsia="zh-CN"/>
        </w:rPr>
      </w:pPr>
      <w:r>
        <w:rPr>
          <w:rStyle w:val="51"/>
          <w:rFonts w:hint="eastAsia" w:ascii="宋体" w:hAnsi="宋体"/>
          <w:szCs w:val="21"/>
          <w:highlight w:val="none"/>
          <w:lang w:eastAsia="zh-CN"/>
        </w:rPr>
        <w:t>保险责任开始后，投保人要求解除保险合同的，自通知保险人之日起，保险合同解除，保险人按照保险责任开始之日起至合同解除之日止期间与保险期间的日比例计收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14:paraId="27839332">
      <w:pPr>
        <w:numPr>
          <w:ilvl w:val="0"/>
          <w:numId w:val="7"/>
        </w:numPr>
        <w:spacing w:after="0" w:line="360" w:lineRule="auto"/>
        <w:rPr>
          <w:rStyle w:val="51"/>
          <w:rFonts w:hint="eastAsia" w:ascii="宋体" w:hAnsi="宋体"/>
          <w:szCs w:val="21"/>
          <w:highlight w:val="none"/>
          <w:lang w:eastAsia="zh-CN"/>
        </w:rPr>
      </w:pPr>
      <w:r>
        <w:rPr>
          <w:rFonts w:hint="eastAsia" w:ascii="宋体" w:hAnsi="宋体"/>
          <w:szCs w:val="21"/>
          <w:highlight w:val="none"/>
          <w:lang w:eastAsia="zh-CN"/>
        </w:rPr>
        <w:t xml:space="preserve"> 保险标的发生全部损失，属于保</w:t>
      </w:r>
      <w:r>
        <w:rPr>
          <w:rStyle w:val="51"/>
          <w:rFonts w:hint="eastAsia" w:ascii="宋体" w:hAnsi="宋体"/>
          <w:szCs w:val="21"/>
          <w:highlight w:val="none"/>
          <w:lang w:eastAsia="zh-CN"/>
        </w:rPr>
        <w:t>险责任的，保险人在履行赔偿义务后，本保险合同终止；不属于保险责任的，本保险合同终止，保险人按照保险责任开始之日起至合同解除之日止期间与保险期间的日比例计收保险费，并退还剩余部分保险费。</w:t>
      </w:r>
    </w:p>
    <w:p w14:paraId="016F6FC4">
      <w:pPr>
        <w:spacing w:after="0" w:line="360" w:lineRule="auto"/>
        <w:rPr>
          <w:rStyle w:val="51"/>
          <w:rFonts w:hint="eastAsia" w:ascii="宋体" w:hAnsi="宋体"/>
          <w:szCs w:val="21"/>
          <w:highlight w:val="none"/>
          <w:lang w:eastAsia="zh-CN"/>
        </w:rPr>
      </w:pPr>
    </w:p>
    <w:p w14:paraId="5BDCD5DC">
      <w:pPr>
        <w:spacing w:after="0" w:line="360" w:lineRule="auto"/>
        <w:jc w:val="center"/>
        <w:rPr>
          <w:rFonts w:hint="eastAsia" w:ascii="宋体" w:hAnsi="宋体"/>
          <w:b/>
          <w:bCs/>
          <w:szCs w:val="21"/>
          <w:highlight w:val="none"/>
        </w:rPr>
      </w:pPr>
      <w:r>
        <w:rPr>
          <w:rFonts w:hint="eastAsia" w:ascii="宋体" w:hAnsi="宋体"/>
          <w:b/>
          <w:bCs/>
          <w:szCs w:val="21"/>
          <w:highlight w:val="none"/>
        </w:rPr>
        <w:t>释  义</w:t>
      </w:r>
    </w:p>
    <w:p w14:paraId="0F778723">
      <w:pPr>
        <w:numPr>
          <w:ilvl w:val="0"/>
          <w:numId w:val="7"/>
        </w:numPr>
        <w:spacing w:after="0" w:line="360" w:lineRule="auto"/>
        <w:ind w:firstLine="640"/>
        <w:rPr>
          <w:rFonts w:hint="eastAsia" w:ascii="宋体" w:hAnsi="宋体"/>
          <w:szCs w:val="21"/>
          <w:highlight w:val="none"/>
          <w:lang w:eastAsia="zh-CN"/>
        </w:rPr>
      </w:pPr>
      <w:r>
        <w:rPr>
          <w:rFonts w:hint="eastAsia" w:ascii="宋体" w:hAnsi="宋体"/>
          <w:szCs w:val="21"/>
          <w:highlight w:val="none"/>
          <w:lang w:eastAsia="zh-CN"/>
        </w:rPr>
        <w:t xml:space="preserve">本保险合同涉及下列术语时，适用下列释义： </w:t>
      </w:r>
    </w:p>
    <w:p w14:paraId="1ACC8EE8">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（一）自然灾害：指地震、海啸、雷击、暴雨、洪水、暴风、龙卷风、冰雹、台风、飓风、沙尘暴、暴雪、冰凌、突发性滑坡、崩塌、泥石流、地面突然下陷下沉及其他人力不可抗拒的破坏力强大的自然现象。</w:t>
      </w:r>
    </w:p>
    <w:p w14:paraId="70DA1148">
      <w:pPr>
        <w:spacing w:after="0" w:line="360" w:lineRule="auto"/>
        <w:ind w:firstLine="420" w:firstLineChars="200"/>
        <w:rPr>
          <w:rFonts w:ascii="宋体" w:hAnsi="宋体"/>
          <w:szCs w:val="21"/>
          <w:highlight w:val="none"/>
          <w:lang w:eastAsia="zh-CN"/>
        </w:rPr>
      </w:pPr>
      <w:r>
        <w:rPr>
          <w:rFonts w:hint="eastAsia" w:ascii="宋体" w:hAnsi="宋体"/>
          <w:szCs w:val="21"/>
          <w:highlight w:val="none"/>
          <w:lang w:eastAsia="zh-CN"/>
        </w:rPr>
        <w:t>1、地震：指地下岩石的构造活动或火山爆发产生的地面震动。由于地震的强度不同，其破坏力也存在很大的区别，一般保险针对的是破坏性地震，根据国家地震局的有关规定，震级在</w:t>
      </w:r>
      <w:r>
        <w:rPr>
          <w:rFonts w:ascii="宋体" w:hAnsi="宋体"/>
          <w:szCs w:val="21"/>
          <w:highlight w:val="none"/>
          <w:lang w:eastAsia="zh-CN"/>
        </w:rPr>
        <w:t>4.75</w:t>
      </w:r>
      <w:r>
        <w:rPr>
          <w:rFonts w:hint="eastAsia" w:ascii="宋体" w:hAnsi="宋体"/>
          <w:szCs w:val="21"/>
          <w:highlight w:val="none"/>
          <w:lang w:eastAsia="zh-CN"/>
        </w:rPr>
        <w:t>级以上且烈度在</w:t>
      </w:r>
      <w:r>
        <w:rPr>
          <w:rFonts w:ascii="宋体" w:hAnsi="宋体"/>
          <w:szCs w:val="21"/>
          <w:highlight w:val="none"/>
          <w:lang w:eastAsia="zh-CN"/>
        </w:rPr>
        <w:t>6</w:t>
      </w:r>
      <w:r>
        <w:rPr>
          <w:rFonts w:hint="eastAsia" w:ascii="宋体" w:hAnsi="宋体"/>
          <w:szCs w:val="21"/>
          <w:highlight w:val="none"/>
          <w:lang w:eastAsia="zh-CN"/>
        </w:rPr>
        <w:t>级以上的地震为破坏性地震。</w:t>
      </w:r>
    </w:p>
    <w:p w14:paraId="154B80FF">
      <w:pPr>
        <w:spacing w:after="0" w:line="360" w:lineRule="auto"/>
        <w:ind w:firstLine="420" w:firstLineChars="200"/>
        <w:rPr>
          <w:rFonts w:ascii="宋体" w:hAnsi="宋体"/>
          <w:szCs w:val="21"/>
          <w:highlight w:val="none"/>
          <w:lang w:eastAsia="zh-CN"/>
        </w:rPr>
      </w:pPr>
      <w:r>
        <w:rPr>
          <w:rFonts w:hint="eastAsia" w:ascii="宋体" w:hAnsi="宋体"/>
          <w:szCs w:val="21"/>
          <w:highlight w:val="none"/>
          <w:lang w:eastAsia="zh-CN"/>
        </w:rPr>
        <w:t>2、海啸：指由于地震或风暴而造成的海面巨大涨落现象，按成因分为地震海啸和风暴海啸两种。地震海啸是伴随地震而形成的，即海底地壳发生断裂，引起剧烈的震动，产生巨大的波浪。风暴海啸是强大低气压在通过时，海面异常升起的现象。</w:t>
      </w:r>
    </w:p>
    <w:p w14:paraId="0855FA11">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3、雷击指由雷电造成的灾害。雷电为积雨云中、云间或云地之间产生的放电现象。雷击的破坏形式分直接雷击与感应雷击两种。</w:t>
      </w:r>
    </w:p>
    <w:p w14:paraId="0CB446C7">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（1）直接雷击：由于雷电直接击中保险标的造成损失，属直接雷击责任。</w:t>
      </w:r>
    </w:p>
    <w:p w14:paraId="18567701">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14:paraId="49272000">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4、暴雨：指每小时降雨量达16毫米以上，或连续12小时降雨量达30毫米以上，或连续24小时降雨量达50毫米以上的降雨。</w:t>
      </w:r>
    </w:p>
    <w:p w14:paraId="48EE1660">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5、洪水：指山洪暴发、江河泛滥、潮水上岸及倒灌。但规律性的涨潮、自动灭火设施漏水以及在常年水位以下或地下渗水、水管暴裂不属于洪水责任。</w:t>
      </w:r>
    </w:p>
    <w:p w14:paraId="23ADA928">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6、暴风：指风力达8级、风速在17.2米/秒以上的自然风。</w:t>
      </w:r>
    </w:p>
    <w:p w14:paraId="035EFD93">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7、龙卷风：指一种范围小而时间短的猛烈旋风，陆地上平均最大风速在79米/秒-103米/秒，极端最大风速在100米/秒以上。</w:t>
      </w:r>
    </w:p>
    <w:p w14:paraId="6F91316B">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8、冰雹：指从强烈对流的积雨云中降落到地面的冰块或冰球，直径大于5毫米，核心坚硬的固体降水。</w:t>
      </w:r>
    </w:p>
    <w:p w14:paraId="28514ED8">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9、台风、飓风：台风指中心附近最大平均风力12级或以上，即风速在32.6米/秒以上的热带气旋；飓风是一种与台风性质相同、但出现的位置区域不同的热带气旋，台风出现在西北太平洋海域，而飓风出现在印度洋、大西洋海域。</w:t>
      </w:r>
    </w:p>
    <w:p w14:paraId="3345120A">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10、沙尘暴：指强风将地面大量尘沙吹起，使空气很混浊，水平能见度小于1公里的天气现象。</w:t>
      </w:r>
    </w:p>
    <w:p w14:paraId="4981113A">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11、暴雪：指连续12小时的降雪量大于或等于10毫米的降雪现象。</w:t>
      </w:r>
    </w:p>
    <w:p w14:paraId="3B3DDAF4">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12、冰凌：指春季江河解冻期时冰块飘浮遇阻，堆积成坝，堵塞江道，造成水位急剧上升，以致江水溢出江道，漫延成灾。</w:t>
      </w:r>
    </w:p>
    <w:p w14:paraId="7ACD2953">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陆上有些地区，如山谷风口或酷寒致使雨雪在物体上结成冰块，成下垂形状，越结越厚，重量增加，由于下垂的拉力致使物体毁坏，也属冰凌责任。</w:t>
      </w:r>
    </w:p>
    <w:p w14:paraId="488D14B1">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13、突发性滑坡：斜坡上不稳的岩土体或人为堆积物在重力作用下突然整体向下滑动的现象。</w:t>
      </w:r>
    </w:p>
    <w:p w14:paraId="1C3CB0AD">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14、崩塌：石崖、土崖、岩石受自然风化、雨蚀造成崩溃下塌，以及大量积雪在重力作用下从高处突然崩塌滚落。</w:t>
      </w:r>
    </w:p>
    <w:p w14:paraId="7F537831">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15、泥石流：由于雨水、冰雪融化等水源激发的、含有大量泥沙石块的特殊洪流。</w:t>
      </w:r>
    </w:p>
    <w:p w14:paraId="6951EDBF">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16、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14:paraId="31F84558">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（二）意外事故：指不可预料的以及被保险人无法控制并造成物质损失或人身伤亡的突发性事件，包括火灾和爆炸。</w:t>
      </w:r>
    </w:p>
    <w:p w14:paraId="461B6325">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1、火灾</w:t>
      </w:r>
    </w:p>
    <w:p w14:paraId="494F135E">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在时间或空间上失去控制的燃烧所造成的灾害。构成本保险的火灾责任必须同时具备以下三个条件：</w:t>
      </w:r>
    </w:p>
    <w:p w14:paraId="56206F20">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（1）有燃烧现象，即有热有光有火焰；</w:t>
      </w:r>
    </w:p>
    <w:p w14:paraId="42EDF4A9">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（2）偶然、意外发生的燃烧；</w:t>
      </w:r>
    </w:p>
    <w:p w14:paraId="7D6A0B81">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（3）燃烧失去控制并有蔓延扩大的趋势。</w:t>
      </w:r>
    </w:p>
    <w:p w14:paraId="14516226">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因此，仅有燃烧现象并不等于构成本保险中的火灾责任。在生产、生活中有目的用火，如为了防疫而焚毁站污的衣物，点火烧荒等属正常燃烧，不同于火灾责任。</w:t>
      </w:r>
    </w:p>
    <w:p w14:paraId="745785E6">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因烘、烤、烫、烙造成焦糊变质等损失，既无燃烧现象，又无蔓延扩大趋势，也不属于火灾责任。</w:t>
      </w:r>
    </w:p>
    <w:p w14:paraId="178551C3">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电机、电器、电气设备因使用过度、超电压、碰线、孤花、漏电、自身发热所造成的本身损毁，不属于火灾责任。但如果发生了燃烧并失去控制蔓延扩大，才构成火灾责任，并对电机、电器、电气设备本身的损失负责赔偿。</w:t>
      </w:r>
    </w:p>
    <w:p w14:paraId="33695F6F">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2、爆炸</w:t>
      </w:r>
    </w:p>
    <w:p w14:paraId="501DA375">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爆炸分物理性爆炸和化学性爆炸。</w:t>
      </w:r>
    </w:p>
    <w:p w14:paraId="75A04035">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物理性爆炸：由于液体变为蒸汽或气体膨胀，压力急剧增加并大大超过容器所能承受的极限压力，因而发生爆炸。如锅炉、空气压缩机、压缩气体钢瓶、液化气罐爆炸等。关于锅炉、压力容器爆炸的定义是：锅炉或区力容器在使用中或试压时发生破裂，使压力瞬时降到等于外界大气压力的事故，称为“爆炸事故”。</w:t>
      </w:r>
    </w:p>
    <w:p w14:paraId="676A8A65">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（2）化学性爆炸：物体在瞬息分解或燃烧时放出大量的热和气体，并以很大的压力向四周扩散的现象。如火药爆炸、可燃性粉尘纤维爆炸、可燃气体爆炸及各种化学物品的爆炸等。</w:t>
      </w:r>
    </w:p>
    <w:p w14:paraId="634280E8">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因物体本身的瑕疵，使用损耗或产品质量低劣以及由于容器内部承受“负压”（内压比外压小）造成的损失，不属于爆炸责任。</w:t>
      </w:r>
    </w:p>
    <w:p w14:paraId="48255BD5">
      <w:pPr>
        <w:rPr>
          <w:rFonts w:hint="eastAsia"/>
          <w:lang w:eastAsia="zh-CN"/>
        </w:rPr>
      </w:pPr>
      <w:r>
        <w:rPr>
          <w:rFonts w:hint="eastAsia"/>
          <w:lang w:eastAsia="zh-CN"/>
        </w:rPr>
        <w:br w:type="page"/>
      </w:r>
    </w:p>
    <w:p w14:paraId="00643E28">
      <w:pPr>
        <w:pStyle w:val="4"/>
        <w:keepNext/>
        <w:keepLines/>
        <w:pageBreakBefore w:val="0"/>
        <w:widowControl w:val="0"/>
        <w:kinsoku/>
        <w:wordWrap/>
        <w:overflowPunct/>
        <w:topLinePunct w:val="0"/>
        <w:autoSpaceDE/>
        <w:autoSpaceDN/>
        <w:bidi w:val="0"/>
        <w:adjustRightInd/>
        <w:snapToGrid/>
        <w:spacing w:before="140" w:after="140" w:line="24" w:lineRule="auto"/>
        <w:textAlignment w:val="auto"/>
        <w:rPr>
          <w:sz w:val="24"/>
          <w:szCs w:val="24"/>
        </w:rPr>
      </w:pPr>
      <w:bookmarkStart w:id="123" w:name="_Toc13014"/>
      <w:bookmarkStart w:id="124" w:name="_Toc8875"/>
      <w:bookmarkStart w:id="125" w:name="_Toc13898"/>
      <w:r>
        <w:rPr>
          <w:rFonts w:hint="eastAsia"/>
          <w:sz w:val="24"/>
          <w:szCs w:val="24"/>
        </w:rPr>
        <w:t>二、安全生产责任险</w:t>
      </w:r>
      <w:bookmarkEnd w:id="123"/>
      <w:bookmarkEnd w:id="124"/>
      <w:bookmarkEnd w:id="125"/>
    </w:p>
    <w:p w14:paraId="7DFD114F">
      <w:pPr>
        <w:pStyle w:val="2"/>
        <w:keepNext/>
        <w:keepLines/>
        <w:pageBreakBefore w:val="0"/>
        <w:widowControl w:val="0"/>
        <w:kinsoku/>
        <w:wordWrap/>
        <w:overflowPunct/>
        <w:topLinePunct w:val="0"/>
        <w:autoSpaceDE/>
        <w:autoSpaceDN/>
        <w:bidi w:val="0"/>
        <w:adjustRightInd/>
        <w:snapToGrid/>
        <w:spacing w:before="140" w:after="140" w:line="24" w:lineRule="auto"/>
        <w:jc w:val="center"/>
        <w:textAlignment w:val="auto"/>
        <w:rPr>
          <w:sz w:val="24"/>
          <w:szCs w:val="21"/>
        </w:rPr>
      </w:pPr>
      <w:bookmarkStart w:id="126" w:name="_Toc3221"/>
      <w:r>
        <w:rPr>
          <w:rFonts w:hint="eastAsia"/>
          <w:sz w:val="24"/>
          <w:szCs w:val="21"/>
        </w:rPr>
        <w:t>（一）招标保险承保方案</w:t>
      </w:r>
      <w:bookmarkEnd w:id="126"/>
    </w:p>
    <w:tbl>
      <w:tblPr>
        <w:tblStyle w:val="22"/>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7513"/>
      </w:tblGrid>
      <w:tr w14:paraId="2CAC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04511FF4">
            <w:pPr>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b/>
                <w:bCs/>
                <w:sz w:val="22"/>
                <w:szCs w:val="22"/>
              </w:rPr>
            </w:pPr>
            <w:bookmarkStart w:id="127" w:name="_Hlk67336181"/>
            <w:r>
              <w:rPr>
                <w:rFonts w:hint="eastAsia" w:asciiTheme="minorEastAsia" w:hAnsiTheme="minorEastAsia" w:eastAsiaTheme="minorEastAsia"/>
                <w:b/>
                <w:bCs/>
                <w:sz w:val="22"/>
                <w:szCs w:val="22"/>
              </w:rPr>
              <w:t>保险险种：</w:t>
            </w:r>
          </w:p>
        </w:tc>
        <w:tc>
          <w:tcPr>
            <w:tcW w:w="7513" w:type="dxa"/>
            <w:vAlign w:val="center"/>
          </w:tcPr>
          <w:p w14:paraId="348EB87F">
            <w:pPr>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bCs/>
                <w:sz w:val="22"/>
                <w:szCs w:val="22"/>
              </w:rPr>
            </w:pPr>
            <w:r>
              <w:rPr>
                <w:rFonts w:hint="eastAsia" w:asciiTheme="minorEastAsia" w:hAnsiTheme="minorEastAsia" w:eastAsiaTheme="minorEastAsia"/>
                <w:bCs/>
                <w:sz w:val="22"/>
                <w:szCs w:val="22"/>
              </w:rPr>
              <w:t>安全生产责任险</w:t>
            </w:r>
          </w:p>
        </w:tc>
      </w:tr>
      <w:tr w14:paraId="72D9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267" w:type="dxa"/>
            <w:vAlign w:val="center"/>
          </w:tcPr>
          <w:p w14:paraId="55C9F654">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一、投保人/被保险人名称：</w:t>
            </w:r>
          </w:p>
        </w:tc>
        <w:tc>
          <w:tcPr>
            <w:tcW w:w="7513" w:type="dxa"/>
            <w:vAlign w:val="center"/>
          </w:tcPr>
          <w:p w14:paraId="129E5446">
            <w:pPr>
              <w:spacing w:line="360" w:lineRule="auto"/>
              <w:rPr>
                <w:rFonts w:hint="eastAsia" w:asciiTheme="minorEastAsia" w:hAnsiTheme="minorEastAsia" w:eastAsiaTheme="minorEastAsia"/>
                <w:sz w:val="22"/>
                <w:szCs w:val="22"/>
                <w:lang w:eastAsia="zh-CN"/>
              </w:rPr>
            </w:pPr>
            <w:r>
              <w:rPr>
                <w:rFonts w:hint="eastAsia" w:asciiTheme="minorEastAsia" w:hAnsiTheme="minorEastAsia" w:eastAsiaTheme="minorEastAsia"/>
                <w:b/>
                <w:bCs/>
                <w:sz w:val="22"/>
                <w:szCs w:val="22"/>
              </w:rPr>
              <w:t>投保人名称：</w:t>
            </w:r>
            <w:r>
              <w:rPr>
                <w:rFonts w:hint="eastAsia" w:ascii="宋体" w:hAnsi="宋体" w:cs="宋体" w:eastAsiaTheme="minorEastAsia"/>
                <w:lang w:val="en-US" w:eastAsia="zh-CN"/>
              </w:rPr>
              <w:t xml:space="preserve"> </w:t>
            </w:r>
          </w:p>
          <w:p w14:paraId="42FB572D">
            <w:pPr>
              <w:spacing w:line="360" w:lineRule="auto"/>
              <w:rPr>
                <w:rFonts w:hint="eastAsia" w:asciiTheme="minorEastAsia" w:hAnsiTheme="minorEastAsia" w:eastAsiaTheme="minorEastAsia"/>
                <w:sz w:val="22"/>
                <w:szCs w:val="22"/>
                <w:lang w:eastAsia="zh-CN"/>
              </w:rPr>
            </w:pPr>
            <w:r>
              <w:rPr>
                <w:rFonts w:hint="eastAsia" w:asciiTheme="minorEastAsia" w:hAnsiTheme="minorEastAsia" w:eastAsiaTheme="minorEastAsia"/>
                <w:b/>
                <w:sz w:val="22"/>
                <w:szCs w:val="22"/>
              </w:rPr>
              <w:t>被保险人：</w:t>
            </w:r>
            <w:r>
              <w:rPr>
                <w:rFonts w:hint="eastAsia" w:ascii="宋体" w:hAnsi="宋体" w:cs="宋体" w:eastAsiaTheme="minorEastAsia"/>
                <w:lang w:val="en-US" w:eastAsia="zh-CN"/>
              </w:rPr>
              <w:t xml:space="preserve"> </w:t>
            </w:r>
          </w:p>
        </w:tc>
      </w:tr>
      <w:tr w14:paraId="6582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267" w:type="dxa"/>
            <w:vAlign w:val="center"/>
          </w:tcPr>
          <w:p w14:paraId="443DAAE8">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二、保险工程名称：</w:t>
            </w:r>
          </w:p>
        </w:tc>
        <w:tc>
          <w:tcPr>
            <w:tcW w:w="7513" w:type="dxa"/>
            <w:vAlign w:val="center"/>
          </w:tcPr>
          <w:p w14:paraId="19418536">
            <w:pPr>
              <w:rPr>
                <w:rFonts w:hint="eastAsia" w:cs="宋体" w:asciiTheme="minorEastAsia" w:hAnsiTheme="minorEastAsia" w:eastAsiaTheme="minorEastAsia"/>
                <w:sz w:val="22"/>
                <w:szCs w:val="22"/>
                <w:lang w:eastAsia="zh-CN"/>
              </w:rPr>
            </w:pPr>
            <w:r>
              <w:rPr>
                <w:rFonts w:hint="eastAsia" w:ascii="宋体" w:hAnsi="宋体" w:cs="宋体" w:eastAsiaTheme="minorEastAsia"/>
                <w:szCs w:val="21"/>
                <w:lang w:val="en-US" w:eastAsia="zh-CN"/>
              </w:rPr>
              <w:t xml:space="preserve"> </w:t>
            </w:r>
          </w:p>
        </w:tc>
      </w:tr>
      <w:tr w14:paraId="0F3E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679F569A">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三、施工地址：</w:t>
            </w:r>
          </w:p>
        </w:tc>
        <w:tc>
          <w:tcPr>
            <w:tcW w:w="7513" w:type="dxa"/>
            <w:vAlign w:val="center"/>
          </w:tcPr>
          <w:p w14:paraId="521002AC">
            <w:pPr>
              <w:spacing w:line="360" w:lineRule="auto"/>
              <w:rPr>
                <w:rFonts w:hint="eastAsia" w:asciiTheme="minorEastAsia" w:hAnsiTheme="minorEastAsia" w:eastAsiaTheme="minorEastAsia"/>
                <w:sz w:val="22"/>
                <w:szCs w:val="22"/>
                <w:lang w:eastAsia="zh-CN"/>
              </w:rPr>
            </w:pPr>
            <w:r>
              <w:rPr>
                <w:rFonts w:hint="eastAsia" w:cs="宋体" w:asciiTheme="minorEastAsia" w:hAnsiTheme="minorEastAsia" w:eastAsiaTheme="minorEastAsia"/>
                <w:color w:val="000000" w:themeColor="text1"/>
                <w:lang w:val="en-US" w:eastAsia="zh-CN"/>
                <w14:textFill>
                  <w14:solidFill>
                    <w14:schemeClr w14:val="tx1"/>
                  </w14:solidFill>
                </w14:textFill>
              </w:rPr>
              <w:t xml:space="preserve"> </w:t>
            </w:r>
          </w:p>
        </w:tc>
      </w:tr>
      <w:tr w14:paraId="76A0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7463AB3E">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四、工程造价：</w:t>
            </w:r>
          </w:p>
        </w:tc>
        <w:tc>
          <w:tcPr>
            <w:tcW w:w="7513" w:type="dxa"/>
            <w:vAlign w:val="center"/>
          </w:tcPr>
          <w:p w14:paraId="4D9474C8">
            <w:pPr>
              <w:tabs>
                <w:tab w:val="left" w:pos="5460"/>
              </w:tabs>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RMB</w:t>
            </w:r>
            <w:r>
              <w:rPr>
                <w:rFonts w:hint="eastAsia" w:asciiTheme="minorEastAsia" w:hAnsiTheme="minorEastAsia" w:eastAsiaTheme="minorEastAsia"/>
                <w:sz w:val="22"/>
                <w:szCs w:val="22"/>
                <w:lang w:eastAsia="zh-CN"/>
              </w:rPr>
              <w:t>：</w:t>
            </w:r>
            <w:r>
              <w:rPr>
                <w:rFonts w:hint="eastAsia" w:ascii="宋体" w:hAnsi="宋体" w:cs="宋体" w:eastAsiaTheme="minorEastAsia"/>
                <w:lang w:val="en-US" w:eastAsia="zh-CN"/>
              </w:rPr>
              <w:t>31844367元</w:t>
            </w:r>
          </w:p>
        </w:tc>
      </w:tr>
      <w:tr w14:paraId="44A4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33F7B096">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五、赔偿限额：</w:t>
            </w:r>
          </w:p>
        </w:tc>
        <w:tc>
          <w:tcPr>
            <w:tcW w:w="7513" w:type="dxa"/>
            <w:vAlign w:val="center"/>
          </w:tcPr>
          <w:p w14:paraId="44F02C5D">
            <w:pPr>
              <w:spacing w:line="360" w:lineRule="auto"/>
              <w:rPr>
                <w:rFonts w:hint="default" w:asciiTheme="minorEastAsia" w:hAnsiTheme="minorEastAsia" w:eastAsiaTheme="minorEastAsia"/>
                <w:sz w:val="22"/>
                <w:szCs w:val="22"/>
                <w:u w:val="single"/>
                <w:lang w:val="en-US" w:eastAsia="zh-CN"/>
              </w:rPr>
            </w:pPr>
            <w:r>
              <w:rPr>
                <w:rFonts w:hint="eastAsia" w:asciiTheme="minorEastAsia" w:hAnsiTheme="minorEastAsia" w:eastAsiaTheme="minorEastAsia"/>
                <w:sz w:val="22"/>
                <w:szCs w:val="22"/>
              </w:rPr>
              <w:t>从业人员责任每次事故及累计赔偿限额：</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14:paraId="7CC6A036">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从业人员死亡及伤残每人每次事故赔偿限额：</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14:paraId="4FFD83B4">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从业人员意外伤害医疗费用每人每次事故赔偿限额：</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14:paraId="323715BF">
            <w:pPr>
              <w:spacing w:line="360" w:lineRule="auto"/>
              <w:rPr>
                <w:rFonts w:hint="eastAsia" w:asciiTheme="minorEastAsia" w:hAnsiTheme="minorEastAsia" w:eastAsiaTheme="minorEastAsia"/>
                <w:b/>
                <w:bCs/>
                <w:sz w:val="22"/>
                <w:szCs w:val="22"/>
                <w:highlight w:val="yellow"/>
                <w:u w:val="single"/>
                <w:lang w:val="en-US" w:eastAsia="zh-CN"/>
              </w:rPr>
            </w:pPr>
            <w:r>
              <w:rPr>
                <w:rFonts w:hint="eastAsia" w:asciiTheme="minorEastAsia" w:hAnsiTheme="minorEastAsia" w:eastAsiaTheme="minorEastAsia"/>
                <w:sz w:val="22"/>
                <w:szCs w:val="22"/>
              </w:rPr>
              <w:t>第三者责任每次事故及累计赔偿限额：</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14:paraId="27A4815D">
            <w:pPr>
              <w:spacing w:line="360" w:lineRule="auto"/>
              <w:rPr>
                <w:rFonts w:hint="eastAsia" w:asciiTheme="minorEastAsia" w:hAnsiTheme="minorEastAsia" w:eastAsiaTheme="minorEastAsia"/>
                <w:b/>
                <w:bCs/>
                <w:sz w:val="22"/>
                <w:szCs w:val="22"/>
                <w:highlight w:val="yellow"/>
                <w:u w:val="single"/>
                <w:lang w:val="en-US" w:eastAsia="zh-CN"/>
              </w:rPr>
            </w:pPr>
            <w:r>
              <w:rPr>
                <w:rFonts w:hint="eastAsia" w:asciiTheme="minorEastAsia" w:hAnsiTheme="minorEastAsia" w:eastAsiaTheme="minorEastAsia"/>
                <w:sz w:val="22"/>
                <w:szCs w:val="22"/>
                <w:lang w:val="en-US" w:eastAsia="zh-CN"/>
              </w:rPr>
              <w:t>每次事故责任限额</w:t>
            </w:r>
            <w:r>
              <w:rPr>
                <w:rFonts w:hint="eastAsia" w:asciiTheme="minorEastAsia" w:hAnsiTheme="minorEastAsia" w:eastAsiaTheme="minorEastAsia"/>
                <w:sz w:val="22"/>
                <w:szCs w:val="22"/>
              </w:rPr>
              <w:t>：</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14:paraId="2E9B9107">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救援费用每次事故赔偿限额：</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14:paraId="62311394">
            <w:pPr>
              <w:spacing w:line="360" w:lineRule="auto"/>
              <w:rPr>
                <w:rFonts w:asciiTheme="minorEastAsia" w:hAnsiTheme="minorEastAsia" w:eastAsiaTheme="minorEastAsia"/>
                <w:b/>
                <w:sz w:val="22"/>
                <w:szCs w:val="22"/>
              </w:rPr>
            </w:pPr>
            <w:r>
              <w:rPr>
                <w:rFonts w:hint="eastAsia" w:asciiTheme="minorEastAsia" w:hAnsiTheme="minorEastAsia" w:eastAsiaTheme="minorEastAsia"/>
                <w:b/>
                <w:sz w:val="22"/>
                <w:szCs w:val="22"/>
              </w:rPr>
              <w:t>注：以上</w:t>
            </w:r>
            <w:r>
              <w:rPr>
                <w:rFonts w:asciiTheme="minorEastAsia" w:hAnsiTheme="minorEastAsia" w:eastAsiaTheme="minorEastAsia"/>
                <w:b/>
                <w:sz w:val="22"/>
                <w:szCs w:val="22"/>
              </w:rPr>
              <w:t>“</w:t>
            </w:r>
            <w:r>
              <w:rPr>
                <w:rFonts w:hint="eastAsia" w:asciiTheme="minorEastAsia" w:hAnsiTheme="minorEastAsia" w:eastAsiaTheme="minorEastAsia"/>
                <w:b/>
                <w:sz w:val="22"/>
                <w:szCs w:val="22"/>
              </w:rPr>
              <w:t>事故</w:t>
            </w:r>
            <w:r>
              <w:rPr>
                <w:rFonts w:asciiTheme="minorEastAsia" w:hAnsiTheme="minorEastAsia" w:eastAsiaTheme="minorEastAsia"/>
                <w:b/>
                <w:sz w:val="22"/>
                <w:szCs w:val="22"/>
              </w:rPr>
              <w:t>”</w:t>
            </w:r>
            <w:r>
              <w:rPr>
                <w:rFonts w:hint="eastAsia" w:asciiTheme="minorEastAsia" w:hAnsiTheme="minorEastAsia" w:eastAsiaTheme="minorEastAsia"/>
                <w:b/>
                <w:sz w:val="22"/>
                <w:szCs w:val="22"/>
              </w:rPr>
              <w:t>是指每一次事故或由同一原因</w:t>
            </w:r>
            <w:r>
              <w:rPr>
                <w:rFonts w:asciiTheme="minorEastAsia" w:hAnsiTheme="minorEastAsia" w:eastAsiaTheme="minorEastAsia"/>
                <w:b/>
                <w:sz w:val="22"/>
                <w:szCs w:val="22"/>
              </w:rPr>
              <w:t>/</w:t>
            </w:r>
            <w:r>
              <w:rPr>
                <w:rFonts w:hint="eastAsia" w:asciiTheme="minorEastAsia" w:hAnsiTheme="minorEastAsia" w:eastAsiaTheme="minorEastAsia"/>
                <w:b/>
                <w:sz w:val="22"/>
                <w:szCs w:val="22"/>
              </w:rPr>
              <w:t>同一事件引起的一系列事故。</w:t>
            </w:r>
          </w:p>
        </w:tc>
      </w:tr>
      <w:tr w14:paraId="7168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2267" w:type="dxa"/>
            <w:vAlign w:val="center"/>
          </w:tcPr>
          <w:p w14:paraId="5DCBE0F7">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六、免赔额/率：</w:t>
            </w:r>
          </w:p>
        </w:tc>
        <w:tc>
          <w:tcPr>
            <w:tcW w:w="7513" w:type="dxa"/>
            <w:vAlign w:val="center"/>
          </w:tcPr>
          <w:p w14:paraId="752B9EBC">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1、从业人员人身伤亡：无免赔</w:t>
            </w:r>
          </w:p>
          <w:p w14:paraId="3F94AAC1">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 xml:space="preserve">2、从业人员意外伤害医疗费用：每人每次事故免赔RMB </w:t>
            </w:r>
            <w:r>
              <w:rPr>
                <w:rFonts w:hint="eastAsia" w:asciiTheme="minorEastAsia" w:hAnsiTheme="minorEastAsia" w:eastAsiaTheme="minorEastAsia"/>
                <w:b/>
                <w:bCs/>
                <w:sz w:val="22"/>
                <w:szCs w:val="22"/>
                <w:highlight w:val="yellow"/>
                <w:u w:val="single"/>
                <w:lang w:val="en-US" w:eastAsia="zh-CN"/>
              </w:rPr>
              <w:t xml:space="preserve">                 </w:t>
            </w:r>
          </w:p>
          <w:p w14:paraId="5BA9D677">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3、第三者赔偿责任：无免赔</w:t>
            </w:r>
          </w:p>
          <w:p w14:paraId="36FA1CD2">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Cs/>
                <w:sz w:val="22"/>
                <w:szCs w:val="22"/>
              </w:rPr>
              <w:t>4、救援费用：无免赔</w:t>
            </w:r>
          </w:p>
        </w:tc>
      </w:tr>
      <w:tr w14:paraId="33ED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67" w:type="dxa"/>
            <w:vAlign w:val="center"/>
          </w:tcPr>
          <w:p w14:paraId="3D75CB98">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七、保险期限：</w:t>
            </w:r>
          </w:p>
        </w:tc>
        <w:tc>
          <w:tcPr>
            <w:tcW w:w="7513" w:type="dxa"/>
            <w:vAlign w:val="center"/>
          </w:tcPr>
          <w:p w14:paraId="4BF73639">
            <w:pPr>
              <w:spacing w:line="360" w:lineRule="auto"/>
              <w:rPr>
                <w:rFonts w:hint="eastAsia" w:asciiTheme="minorEastAsia" w:hAnsiTheme="minorEastAsia" w:eastAsiaTheme="minorEastAsia"/>
                <w:b/>
                <w:bCs/>
                <w:sz w:val="22"/>
                <w:szCs w:val="22"/>
                <w:lang w:eastAsia="zh-CN"/>
              </w:rPr>
            </w:pPr>
            <w:r>
              <w:rPr>
                <w:rFonts w:hint="eastAsia" w:ascii="宋体" w:hAnsi="宋体" w:eastAsia="宋体" w:cs="宋体"/>
                <w:b w:val="0"/>
                <w:bCs/>
                <w:sz w:val="24"/>
                <w:szCs w:val="24"/>
                <w:highlight w:val="none"/>
                <w:vertAlign w:val="baseline"/>
                <w:lang w:val="en-US" w:eastAsia="zh-CN"/>
              </w:rPr>
              <w:t>安全生产责任险</w:t>
            </w:r>
            <w:r>
              <w:rPr>
                <w:rFonts w:hint="eastAsia" w:ascii="宋体" w:hAnsi="宋体" w:cs="宋体"/>
                <w:b w:val="0"/>
                <w:bCs/>
                <w:sz w:val="24"/>
                <w:szCs w:val="24"/>
                <w:highlight w:val="none"/>
                <w:vertAlign w:val="baseline"/>
                <w:lang w:val="en-US" w:eastAsia="zh-CN"/>
              </w:rPr>
              <w:t>工程开工之日起至工程结束之日（即合同工期110日历天）。</w:t>
            </w:r>
          </w:p>
        </w:tc>
      </w:tr>
      <w:tr w14:paraId="4384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5EF70219">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八、保险费率：</w:t>
            </w:r>
          </w:p>
        </w:tc>
        <w:tc>
          <w:tcPr>
            <w:tcW w:w="7513" w:type="dxa"/>
            <w:vAlign w:val="center"/>
          </w:tcPr>
          <w:p w14:paraId="7DB32EBA">
            <w:pPr>
              <w:spacing w:line="360" w:lineRule="auto"/>
              <w:rPr>
                <w:rFonts w:asciiTheme="minorEastAsia" w:hAnsiTheme="minorEastAsia" w:eastAsiaTheme="minorEastAsia"/>
                <w:bCs/>
                <w:sz w:val="22"/>
                <w:szCs w:val="22"/>
              </w:rPr>
            </w:pPr>
            <w:r>
              <w:rPr>
                <w:rFonts w:hint="eastAsia" w:asciiTheme="minorEastAsia" w:hAnsiTheme="minorEastAsia" w:eastAsiaTheme="minorEastAsia"/>
                <w:sz w:val="22"/>
                <w:szCs w:val="22"/>
              </w:rPr>
              <w:t xml:space="preserve"> </w:t>
            </w:r>
            <w:r>
              <w:rPr>
                <w:rFonts w:hint="eastAsia" w:asciiTheme="minorEastAsia" w:hAnsiTheme="minorEastAsia" w:eastAsiaTheme="minorEastAsia"/>
                <w:sz w:val="22"/>
                <w:szCs w:val="22"/>
                <w:highlight w:val="none"/>
                <w:u w:val="single"/>
                <w:lang w:val="en-US" w:eastAsia="zh-CN"/>
              </w:rPr>
              <w:t xml:space="preserve">        </w:t>
            </w:r>
            <w:r>
              <w:rPr>
                <w:rFonts w:hint="eastAsia" w:asciiTheme="minorEastAsia" w:hAnsiTheme="minorEastAsia" w:eastAsiaTheme="minorEastAsia"/>
                <w:sz w:val="22"/>
                <w:szCs w:val="22"/>
              </w:rPr>
              <w:t>‰</w:t>
            </w:r>
          </w:p>
        </w:tc>
      </w:tr>
      <w:tr w14:paraId="4FFC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67" w:type="dxa"/>
            <w:vAlign w:val="center"/>
          </w:tcPr>
          <w:p w14:paraId="4DC7C7D2">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九、总保险费：</w:t>
            </w:r>
          </w:p>
        </w:tc>
        <w:tc>
          <w:tcPr>
            <w:tcW w:w="7513" w:type="dxa"/>
            <w:vAlign w:val="center"/>
          </w:tcPr>
          <w:p w14:paraId="458911A7">
            <w:pPr>
              <w:spacing w:line="360" w:lineRule="auto"/>
              <w:rPr>
                <w:rFonts w:hint="default" w:asciiTheme="minorEastAsia" w:hAnsiTheme="minorEastAsia" w:eastAsiaTheme="minorEastAsia"/>
                <w:sz w:val="22"/>
                <w:szCs w:val="22"/>
                <w:lang w:val="en-US" w:eastAsia="zh-CN"/>
              </w:rPr>
            </w:pPr>
            <w:r>
              <w:rPr>
                <w:rFonts w:hint="eastAsia" w:asciiTheme="minorEastAsia" w:hAnsiTheme="minorEastAsia" w:eastAsiaTheme="minorEastAsia"/>
                <w:bCs/>
                <w:sz w:val="22"/>
                <w:szCs w:val="22"/>
              </w:rPr>
              <w:t>RMB</w:t>
            </w:r>
            <w:r>
              <w:rPr>
                <w:rFonts w:hint="eastAsia" w:asciiTheme="minorEastAsia" w:hAnsiTheme="minorEastAsia" w:eastAsiaTheme="minorEastAsia"/>
                <w:bCs/>
                <w:sz w:val="22"/>
                <w:szCs w:val="22"/>
                <w:highlight w:val="none"/>
                <w:u w:val="single"/>
                <w:lang w:val="en-US" w:eastAsia="zh-CN"/>
              </w:rPr>
              <w:t xml:space="preserve">             </w:t>
            </w:r>
          </w:p>
        </w:tc>
      </w:tr>
      <w:tr w14:paraId="54B7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483DC56F">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十、保费支付日期：</w:t>
            </w:r>
          </w:p>
        </w:tc>
        <w:tc>
          <w:tcPr>
            <w:tcW w:w="7513" w:type="dxa"/>
            <w:vAlign w:val="center"/>
          </w:tcPr>
          <w:p w14:paraId="67B2994D">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Cs w:val="21"/>
              </w:rPr>
              <w:t>交付止期为202</w:t>
            </w:r>
            <w:r>
              <w:rPr>
                <w:rFonts w:hint="eastAsia" w:asciiTheme="minorEastAsia" w:hAnsiTheme="minorEastAsia" w:eastAsiaTheme="minorEastAsia"/>
                <w:bCs/>
                <w:szCs w:val="21"/>
                <w:lang w:val="en-US" w:eastAsia="zh-CN"/>
              </w:rPr>
              <w:t>5</w:t>
            </w:r>
            <w:r>
              <w:rPr>
                <w:rFonts w:hint="eastAsia" w:asciiTheme="minorEastAsia" w:hAnsiTheme="minorEastAsia" w:eastAsiaTheme="minorEastAsia"/>
                <w:bCs/>
                <w:szCs w:val="21"/>
              </w:rPr>
              <w:t>年</w:t>
            </w:r>
            <w:r>
              <w:rPr>
                <w:rFonts w:asciiTheme="minorEastAsia" w:hAnsiTheme="minorEastAsia" w:eastAsiaTheme="minorEastAsia"/>
                <w:bCs/>
                <w:color w:val="000000" w:themeColor="text1"/>
                <w:szCs w:val="21"/>
                <w14:textFill>
                  <w14:solidFill>
                    <w14:schemeClr w14:val="tx1"/>
                  </w14:solidFill>
                </w14:textFill>
              </w:rPr>
              <w:t>x</w:t>
            </w:r>
            <w:r>
              <w:rPr>
                <w:rFonts w:hint="eastAsia" w:asciiTheme="minorEastAsia" w:hAnsiTheme="minorEastAsia" w:eastAsiaTheme="minorEastAsia"/>
                <w:bCs/>
                <w:szCs w:val="21"/>
              </w:rPr>
              <w:t>月</w:t>
            </w:r>
            <w:r>
              <w:rPr>
                <w:rFonts w:asciiTheme="minorEastAsia" w:hAnsiTheme="minorEastAsia" w:eastAsiaTheme="minorEastAsia"/>
                <w:bCs/>
                <w:color w:val="000000" w:themeColor="text1"/>
                <w:szCs w:val="21"/>
                <w14:textFill>
                  <w14:solidFill>
                    <w14:schemeClr w14:val="tx1"/>
                  </w14:solidFill>
                </w14:textFill>
              </w:rPr>
              <w:t>xx</w:t>
            </w:r>
            <w:r>
              <w:rPr>
                <w:rFonts w:hint="eastAsia" w:asciiTheme="minorEastAsia" w:hAnsiTheme="minorEastAsia" w:eastAsiaTheme="minorEastAsia"/>
                <w:bCs/>
                <w:szCs w:val="21"/>
              </w:rPr>
              <w:t>日，由投保人一次性支付给保险人</w:t>
            </w:r>
          </w:p>
        </w:tc>
      </w:tr>
      <w:tr w14:paraId="2EA4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3B6B163F">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十一、司法管辖权：</w:t>
            </w:r>
          </w:p>
        </w:tc>
        <w:tc>
          <w:tcPr>
            <w:tcW w:w="7513" w:type="dxa"/>
            <w:vAlign w:val="center"/>
          </w:tcPr>
          <w:p w14:paraId="1B18C12D">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中华人民共和国司法管辖</w:t>
            </w:r>
            <w:r>
              <w:rPr>
                <w:rFonts w:asciiTheme="minorEastAsia" w:hAnsiTheme="minorEastAsia" w:eastAsiaTheme="minorEastAsia"/>
                <w:bCs/>
                <w:sz w:val="22"/>
                <w:szCs w:val="22"/>
              </w:rPr>
              <w:t>(</w:t>
            </w:r>
            <w:r>
              <w:rPr>
                <w:rFonts w:hint="eastAsia" w:asciiTheme="minorEastAsia" w:hAnsiTheme="minorEastAsia" w:eastAsiaTheme="minorEastAsia"/>
                <w:bCs/>
                <w:sz w:val="22"/>
                <w:szCs w:val="22"/>
              </w:rPr>
              <w:t>港、澳、台地区除外</w:t>
            </w:r>
            <w:r>
              <w:rPr>
                <w:rFonts w:asciiTheme="minorEastAsia" w:hAnsiTheme="minorEastAsia" w:eastAsiaTheme="minorEastAsia"/>
                <w:bCs/>
                <w:sz w:val="22"/>
                <w:szCs w:val="22"/>
              </w:rPr>
              <w:t>)</w:t>
            </w:r>
          </w:p>
        </w:tc>
      </w:tr>
      <w:tr w14:paraId="0C3F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297451E5">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十二、争议处理：</w:t>
            </w:r>
          </w:p>
        </w:tc>
        <w:tc>
          <w:tcPr>
            <w:tcW w:w="7513" w:type="dxa"/>
            <w:vAlign w:val="center"/>
          </w:tcPr>
          <w:p w14:paraId="468F0C05">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如发生保险争议，应友好协商解决。如协商不成，应向投保人所在地有管辖权的人民法院提起诉讼。</w:t>
            </w:r>
          </w:p>
        </w:tc>
      </w:tr>
      <w:tr w14:paraId="2D3B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67FF1EA2">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十三、基本条款：</w:t>
            </w:r>
          </w:p>
        </w:tc>
        <w:tc>
          <w:tcPr>
            <w:tcW w:w="7513" w:type="dxa"/>
            <w:vAlign w:val="center"/>
          </w:tcPr>
          <w:p w14:paraId="3AA74B6C">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《安全生产责任险条款》</w:t>
            </w:r>
          </w:p>
        </w:tc>
      </w:tr>
      <w:bookmarkEnd w:id="127"/>
    </w:tbl>
    <w:p w14:paraId="1D4014A8">
      <w:pPr>
        <w:rPr>
          <w:rFonts w:hint="default" w:asciiTheme="minorEastAsia" w:hAnsiTheme="minorEastAsia" w:eastAsiaTheme="minorEastAsia"/>
          <w:b/>
          <w:sz w:val="22"/>
          <w:szCs w:val="22"/>
          <w:lang w:val="en-US" w:eastAsia="zh-CN"/>
        </w:rPr>
      </w:pPr>
      <w:r>
        <w:rPr>
          <w:rFonts w:hint="eastAsia" w:asciiTheme="minorEastAsia" w:hAnsiTheme="minorEastAsia" w:eastAsiaTheme="minorEastAsia"/>
          <w:b/>
          <w:sz w:val="22"/>
          <w:szCs w:val="22"/>
          <w:lang w:val="en-US" w:eastAsia="zh-CN"/>
        </w:rPr>
        <w:t>本表已填部分不可修改。</w:t>
      </w:r>
    </w:p>
    <w:p w14:paraId="1223E00A">
      <w:pPr>
        <w:pStyle w:val="2"/>
        <w:jc w:val="center"/>
      </w:pPr>
      <w:bookmarkStart w:id="128" w:name="_Toc10098"/>
      <w:r>
        <w:rPr>
          <w:rFonts w:hint="eastAsia"/>
        </w:rPr>
        <w:t>（二）条款内容</w:t>
      </w:r>
      <w:bookmarkEnd w:id="128"/>
    </w:p>
    <w:p w14:paraId="5D0610A5">
      <w:pPr>
        <w:widowControl/>
        <w:shd w:val="clear" w:color="auto" w:fill="FFFFFF"/>
        <w:spacing w:line="360" w:lineRule="auto"/>
        <w:jc w:val="center"/>
        <w:rPr>
          <w:rFonts w:cs="宋体" w:asciiTheme="minorEastAsia" w:hAnsiTheme="minorEastAsia" w:eastAsiaTheme="minorEastAsia"/>
          <w:b/>
          <w:color w:val="000000"/>
          <w:kern w:val="0"/>
          <w:sz w:val="32"/>
          <w:lang w:val="zh-CN"/>
        </w:rPr>
      </w:pPr>
      <w:bookmarkStart w:id="129" w:name="_Toc1195"/>
      <w:r>
        <w:rPr>
          <w:rFonts w:hint="eastAsia" w:cs="宋体" w:asciiTheme="minorEastAsia" w:hAnsiTheme="minorEastAsia" w:eastAsiaTheme="minorEastAsia"/>
          <w:b/>
          <w:color w:val="000000"/>
          <w:kern w:val="0"/>
          <w:sz w:val="32"/>
        </w:rPr>
        <w:t>安全生产责任保险条款</w:t>
      </w:r>
      <w:bookmarkEnd w:id="129"/>
    </w:p>
    <w:p w14:paraId="7798B3C8">
      <w:pPr>
        <w:jc w:val="center"/>
        <w:rPr>
          <w:rFonts w:asciiTheme="minorEastAsia" w:hAnsiTheme="minorEastAsia" w:eastAsiaTheme="minorEastAsia"/>
          <w:b/>
          <w:sz w:val="22"/>
          <w:szCs w:val="22"/>
          <w:lang w:val="zh-CN"/>
        </w:rPr>
      </w:pPr>
      <w:r>
        <w:rPr>
          <w:rFonts w:hint="eastAsia"/>
          <w:sz w:val="22"/>
          <w:szCs w:val="28"/>
          <w:highlight w:val="yellow"/>
          <w:lang w:val="en-US" w:eastAsia="zh-CN"/>
        </w:rPr>
        <w:t>（本协议为样本，仅供参考，将根据保险中标结果确定的承保公司内容予以调整）</w:t>
      </w:r>
    </w:p>
    <w:p w14:paraId="71041A58">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总则</w:t>
      </w:r>
    </w:p>
    <w:p w14:paraId="3D2B2D5F">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第一条  </w:t>
      </w:r>
      <w:r>
        <w:rPr>
          <w:rFonts w:hint="eastAsia" w:cs="宋体" w:asciiTheme="minorEastAsia" w:hAnsiTheme="minorEastAsia" w:eastAsiaTheme="minorEastAsia"/>
          <w:color w:val="000000"/>
          <w:kern w:val="0"/>
          <w:szCs w:val="21"/>
        </w:rPr>
        <w:t>本保险合同由保险条款、投保单、保险单、保险凭证以及批单组成。凡涉及本保险合同的约定，均应采用书面形式。</w:t>
      </w:r>
    </w:p>
    <w:p w14:paraId="01578AB6">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第二条</w:t>
      </w:r>
      <w:r>
        <w:rPr>
          <w:rFonts w:hint="eastAsia" w:cs="宋体" w:asciiTheme="minorEastAsia" w:hAnsiTheme="minorEastAsia" w:eastAsiaTheme="minorEastAsia"/>
          <w:color w:val="000000"/>
          <w:kern w:val="0"/>
          <w:szCs w:val="21"/>
        </w:rPr>
        <w:t xml:space="preserve">  凡经建设行政主管部门批准，取得相应资质证书并经工商行政管理部门登记注册，依法设立的建筑施工企业，均可作为本保险合同的被保险人。</w:t>
      </w:r>
    </w:p>
    <w:p w14:paraId="1EFE9656">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第三条</w:t>
      </w:r>
      <w:r>
        <w:rPr>
          <w:rFonts w:hint="eastAsia" w:cs="宋体" w:asciiTheme="minorEastAsia" w:hAnsiTheme="minorEastAsia" w:eastAsiaTheme="minorEastAsia"/>
          <w:color w:val="000000"/>
          <w:kern w:val="0"/>
          <w:szCs w:val="21"/>
        </w:rPr>
        <w:t xml:space="preserve">  本保险合同由总则、从业人员责任保险、第三者责任保险、救援费用保险、通用条款五部分组成。投保人可选择投保从业人员责任保险、第三者责任保险或救援费用保险，也可同时投保。</w:t>
      </w:r>
    </w:p>
    <w:p w14:paraId="4C09A78E">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第四条</w:t>
      </w:r>
      <w:r>
        <w:rPr>
          <w:rFonts w:hint="eastAsia" w:cs="宋体" w:asciiTheme="minorEastAsia" w:hAnsiTheme="minorEastAsia" w:eastAsiaTheme="minorEastAsia"/>
          <w:color w:val="000000"/>
          <w:kern w:val="0"/>
          <w:szCs w:val="21"/>
        </w:rPr>
        <w:t xml:space="preserve">  从业人员责任保险、第三者责任保险、救援费用保险的约定适用于该部分，总则和通用条款的约定适用于整个保险合同。</w:t>
      </w:r>
    </w:p>
    <w:p w14:paraId="0ECA2A30">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第一部分 从业人员责任保险</w:t>
      </w:r>
    </w:p>
    <w:p w14:paraId="093D0A84">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保险责任</w:t>
      </w:r>
    </w:p>
    <w:p w14:paraId="730C6B38">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第五条</w:t>
      </w:r>
      <w:r>
        <w:rPr>
          <w:rFonts w:hint="eastAsia" w:cs="宋体" w:asciiTheme="minorEastAsia" w:hAnsiTheme="minorEastAsia" w:eastAsiaTheme="minorEastAsia"/>
          <w:color w:val="000000"/>
          <w:kern w:val="0"/>
          <w:szCs w:val="21"/>
        </w:rPr>
        <w:t xml:space="preserve">  在保险期间内，被保险人的从业人员在保险单载明的施工地址内依法从事建筑施工及相关工作，因发生生产安全事故造成从业人员人身伤亡，依照中华人民共和国法律（不包括港、澳、台地区法律）应由被保险人承担的经济赔偿责任，保险人按本保险合同的约定负责赔偿。</w:t>
      </w:r>
    </w:p>
    <w:p w14:paraId="404E882E">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责任免除</w:t>
      </w:r>
    </w:p>
    <w:p w14:paraId="3773C947">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第六条  下列原因造成的损失、费用和责任，保险人不负责赔偿：</w:t>
      </w:r>
    </w:p>
    <w:p w14:paraId="486A07C0">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（一）从业人员在工作时间和工作场所内，因履行工作职责受到暴力伤害的；</w:t>
      </w:r>
    </w:p>
    <w:p w14:paraId="26D94D4C">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（二）从业人员在工作时间和工作岗位，突发疾病死亡或者在48小时之内经抢救无效死亡；</w:t>
      </w:r>
    </w:p>
    <w:p w14:paraId="0901B4A2">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（三）从业人员因工外出期间，由于工作原因受到伤害或者发生事故下落不明的；</w:t>
      </w:r>
    </w:p>
    <w:p w14:paraId="0E04005C">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（四）从业人员在上下班途中，受到非本人主要责任的交通事故或者城市轨道交通、客运轮渡、火车事故伤害的；</w:t>
      </w:r>
    </w:p>
    <w:p w14:paraId="6A14846E">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（五）从业人员在抢险救灾等维护国家利益、公共利益活动中受到伤害的；</w:t>
      </w:r>
    </w:p>
    <w:p w14:paraId="1C61D04D">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（六）从业人员的故意行为、犯罪行为，或自杀、自伤、醉酒、吸毒或受精神药品影响，造成自身人身伤亡。</w:t>
      </w:r>
    </w:p>
    <w:p w14:paraId="0C208540">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责任限额和免赔额（率）</w:t>
      </w:r>
    </w:p>
    <w:p w14:paraId="3E90C992">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第七条  从业人员责任保险部分的责任限额包括每次事故责任限额、每人伤亡责任限额、每人医疗费用责任限额。</w:t>
      </w:r>
    </w:p>
    <w:p w14:paraId="7FD296DB">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各项责任限额由投保人和保险人协商确定，并在保险单中载明。</w:t>
      </w:r>
    </w:p>
    <w:p w14:paraId="515E1977">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第八条  每人医疗费用免赔额（率）由投保人与保险人在签订保险合同时协商确定，并在保险单中载明。</w:t>
      </w:r>
    </w:p>
    <w:p w14:paraId="08EE69AD">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同时约定了免赔额和免赔率的，免赔金额以免赔额和按照免赔率计算的金额二者中的高者为准。</w:t>
      </w:r>
    </w:p>
    <w:p w14:paraId="12514060">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第二部分 第三者责任保险</w:t>
      </w:r>
    </w:p>
    <w:p w14:paraId="7951CD8D">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保险责任</w:t>
      </w:r>
    </w:p>
    <w:p w14:paraId="4ED9B825">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第九条</w:t>
      </w:r>
      <w:r>
        <w:rPr>
          <w:rFonts w:hint="eastAsia" w:cs="宋体" w:asciiTheme="minorEastAsia" w:hAnsiTheme="minorEastAsia" w:eastAsiaTheme="minorEastAsia"/>
          <w:color w:val="000000"/>
          <w:kern w:val="0"/>
          <w:szCs w:val="21"/>
        </w:rPr>
        <w:t xml:space="preserve">  在保险期间内，被保险人在保险单载明的施工地址内依法从事建筑施工及相关工作，因发生生产安全事故造成第三者人身伤亡，依照中华人民共和国法律（不包括港、澳、台地区法律）应由被保险人承担的经济赔偿责任，保险人按本保险合同的约定负责赔偿。</w:t>
      </w:r>
    </w:p>
    <w:p w14:paraId="2F7046F4">
      <w:pPr>
        <w:tabs>
          <w:tab w:val="left" w:pos="6045"/>
        </w:tabs>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责任免除</w:t>
      </w:r>
    </w:p>
    <w:p w14:paraId="2055A6E5">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bCs/>
          <w:szCs w:val="21"/>
        </w:rPr>
        <w:t xml:space="preserve">第十条  </w:t>
      </w:r>
      <w:r>
        <w:rPr>
          <w:rFonts w:hint="eastAsia" w:cs="宋体" w:asciiTheme="minorEastAsia" w:hAnsiTheme="minorEastAsia" w:eastAsiaTheme="minorEastAsia"/>
          <w:b/>
          <w:szCs w:val="21"/>
        </w:rPr>
        <w:t>下列损失、费用和责任，保险人不负责赔偿：</w:t>
      </w:r>
    </w:p>
    <w:p w14:paraId="1D1A2727">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（一）第三者遭受的各项财产损失；</w:t>
      </w:r>
    </w:p>
    <w:p w14:paraId="632637F5">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（二）本保险单未载明，但属于被保险人所有、占有或以其名义使用的任何牲畜、车辆、火车头、船只、飞机、电梯、升降机、自动梯、起重机、吊车或其他升降装置造成的损失；</w:t>
      </w:r>
    </w:p>
    <w:p w14:paraId="4878ED36">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（三）被保险人或其从业人员因从事医师、律师、会计师、设计师、建筑师、美容师或其他专门职业所发生的赔偿责任；</w:t>
      </w:r>
    </w:p>
    <w:p w14:paraId="56ABCF96">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（四）被保险人售出的商品、食物、饮料存在缺陷造成他人死亡或伤残所产生的责任。</w:t>
      </w:r>
    </w:p>
    <w:p w14:paraId="200DC2A6">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责任限额与免赔额（率）</w:t>
      </w:r>
    </w:p>
    <w:p w14:paraId="08F30CC4">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第十一条第三者责任保险部分的责任限额包括每次事故责任限额、每人伤亡责任限额、每人医疗费用责任限额。</w:t>
      </w:r>
    </w:p>
    <w:p w14:paraId="1E068D89">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各项责任限额由投保人和保险人协商确定，并在保险单中载明。</w:t>
      </w:r>
    </w:p>
    <w:p w14:paraId="57C08E36">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第十二条  每人医疗费用免赔额（率）由投保人与保险人在签订保险合同时协商确定，并在保险单中载明。</w:t>
      </w:r>
    </w:p>
    <w:p w14:paraId="6555E62E">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同时约定了免赔额和免赔率的，免赔金额以免赔额和按照免赔率计算的金额二者中的高者为准。</w:t>
      </w:r>
    </w:p>
    <w:p w14:paraId="0B1E2F6E">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第三部分 救援费用保险</w:t>
      </w:r>
    </w:p>
    <w:p w14:paraId="711770A4">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保险责任</w:t>
      </w:r>
    </w:p>
    <w:p w14:paraId="2B5B2983">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第十三条</w:t>
      </w:r>
      <w:r>
        <w:rPr>
          <w:rFonts w:hint="eastAsia" w:cs="宋体" w:asciiTheme="minorEastAsia" w:hAnsiTheme="minorEastAsia" w:eastAsiaTheme="minorEastAsia"/>
          <w:color w:val="000000"/>
          <w:kern w:val="0"/>
          <w:szCs w:val="21"/>
        </w:rPr>
        <w:t xml:space="preserve">  在保险期间内，被保险人在保险单载明的施工地址内因发生生产安全事故导致被保险人的从业人员或第三者发生意外，应由被保险人负担的因采取紧急抢险救援措施而支出的下列必要、合理的救援费用，保险人按照本保险合同约定负责赔偿：</w:t>
      </w:r>
    </w:p>
    <w:p w14:paraId="7F131D4C">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（一）抢险救援人员的劳务费用；</w:t>
      </w:r>
    </w:p>
    <w:p w14:paraId="1852752B">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（二）救援器材、设备的租赁、使用费用；</w:t>
      </w:r>
    </w:p>
    <w:p w14:paraId="2C0CCA40">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（三）单价低于200元人民币的救援工具购置费用；</w:t>
      </w:r>
    </w:p>
    <w:p w14:paraId="2DDC5C89">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（四）生产安全事故现场发生的医疗抢救费用。</w:t>
      </w:r>
    </w:p>
    <w:p w14:paraId="5B372E78">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责任免除</w:t>
      </w:r>
    </w:p>
    <w:p w14:paraId="789AB686">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第十四条  下列损失、费用和责任，保险人不负责赔偿：</w:t>
      </w:r>
    </w:p>
    <w:p w14:paraId="4948BFFF">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（一）清污费用；</w:t>
      </w:r>
    </w:p>
    <w:p w14:paraId="4E61FDB2">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（二）保险事故发生后，受伤人员被送往医院以后产生的医疗费用。</w:t>
      </w:r>
    </w:p>
    <w:p w14:paraId="5B8601E8">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责任限额与免赔额（率）</w:t>
      </w:r>
    </w:p>
    <w:p w14:paraId="5752B8F1">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第十五条救援费用保险部分的责任限额包括每次事故救援费用限额、每人救援费用限额。</w:t>
      </w:r>
    </w:p>
    <w:p w14:paraId="2C5BB13A">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各项责任限额，由投保人和保险人协商确定，并在保险单中载明。</w:t>
      </w:r>
    </w:p>
    <w:p w14:paraId="2BEDDD46">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第十六条每次事故救援费用免赔额（率）由投保人与保险人在签订保险合同时协商确定，并在保险单中载明。</w:t>
      </w:r>
    </w:p>
    <w:p w14:paraId="056C9E86">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同时约定了免赔额和免赔率的，免赔金额以免赔额和按照免赔率计算的金额二者中的高者为准。</w:t>
      </w:r>
    </w:p>
    <w:p w14:paraId="02105AE9">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第四部分 通用条款</w:t>
      </w:r>
    </w:p>
    <w:p w14:paraId="13818EF3">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保险责任</w:t>
      </w:r>
    </w:p>
    <w:p w14:paraId="52B385DA">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第十七条</w:t>
      </w:r>
      <w:r>
        <w:rPr>
          <w:rFonts w:hint="eastAsia" w:cs="宋体" w:asciiTheme="minorEastAsia" w:hAnsiTheme="minorEastAsia" w:eastAsiaTheme="minorEastAsia"/>
          <w:color w:val="000000"/>
          <w:kern w:val="0"/>
          <w:szCs w:val="21"/>
        </w:rPr>
        <w:t xml:space="preserve">  保险事故发生后，被保险人因保险事故而被提起仲裁或者诉讼的，对应由被保险人支付的仲裁或诉讼费用以及事先经保险人书面同意支付的其它必要的、合理的费用（以下简称“法律费用”），保险人按照本保险合同约定负责赔偿。</w:t>
      </w:r>
    </w:p>
    <w:p w14:paraId="4C01405D">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责任免除</w:t>
      </w:r>
    </w:p>
    <w:p w14:paraId="142BD3FE">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第十八条  下列原因造成的损失、费用和责任，保险人不负责赔偿：</w:t>
      </w:r>
    </w:p>
    <w:p w14:paraId="5D2E2229">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（一）投保人、被保险人的故意行为、犯罪行为；</w:t>
      </w:r>
    </w:p>
    <w:p w14:paraId="4771A2B6">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（二）战争、敌对行动、军事行为、武装冲突、罢工、暴动、民众骚乱、恐怖活动；</w:t>
      </w:r>
    </w:p>
    <w:p w14:paraId="5D9D0F78">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（三）行政行为或司法行为；</w:t>
      </w:r>
    </w:p>
    <w:p w14:paraId="66DF250F">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（四）大气污染、土地污染、水污染及其他各种污染；</w:t>
      </w:r>
    </w:p>
    <w:p w14:paraId="74DA214B">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（五）任何疾病，包括但不限于高原反应、妊娠、流产、分娩、药物过敏等；</w:t>
      </w:r>
    </w:p>
    <w:p w14:paraId="118A9A74">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（六）由于震动、移动或减弱支撑而造成的任何财产、土地、建筑物的损失及由此造成的任何人身伤亡和财产损失；</w:t>
      </w:r>
    </w:p>
    <w:p w14:paraId="202BBE91">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color w:val="000000"/>
          <w:kern w:val="0"/>
          <w:szCs w:val="21"/>
        </w:rPr>
        <w:t>（七）</w:t>
      </w:r>
      <w:r>
        <w:rPr>
          <w:rFonts w:hint="eastAsia" w:cs="宋体" w:asciiTheme="minorEastAsia" w:hAnsiTheme="minorEastAsia" w:eastAsiaTheme="minorEastAsia"/>
          <w:b/>
          <w:bCs/>
          <w:szCs w:val="21"/>
        </w:rPr>
        <w:t>地震及其次生灾害、雷电、暴雨、洪水、暴风、龙卷风、风暴潮、冰雹、台风、飓风、海啸、沙尘暴、暴雪、冰凌、突发性滑坡、崩塌、泥石流；</w:t>
      </w:r>
    </w:p>
    <w:p w14:paraId="1CB68A56">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（八）领有公共运输行驶执照的车辆、船舶、飞机造成的事故。</w:t>
      </w:r>
    </w:p>
    <w:p w14:paraId="70760A0C">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第十九条  下列情形下的损失、费用和责任，保险人不负责赔偿：</w:t>
      </w:r>
    </w:p>
    <w:p w14:paraId="3A5DE01C">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（一）被保险人在主管部门责令停产整顿期间擅自从事生产发生的事故，或被主管部门关闭后擅自恢复生产发生的事故；</w:t>
      </w:r>
    </w:p>
    <w:p w14:paraId="061B64FD">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（二）被保险人从事与保险单载明的经营范围不符的活动，或者被保险人违法违规经营的；</w:t>
      </w:r>
    </w:p>
    <w:p w14:paraId="38351AF0">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（三）被保险人许可证（照）不在有效期内，但因许可证（照）在办理延续许可手续期间等有正当理由的不在此列。</w:t>
      </w:r>
    </w:p>
    <w:p w14:paraId="65971976">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第二十条  下列损失、费用和责任，保险人也不负责赔偿：</w:t>
      </w:r>
    </w:p>
    <w:p w14:paraId="6E4FDC83">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（一）罚款、罚金及惩罚性赔偿；</w:t>
      </w:r>
    </w:p>
    <w:p w14:paraId="584FEA42">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（二）间接损失；</w:t>
      </w:r>
    </w:p>
    <w:p w14:paraId="62438C38">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（三）精神损害赔偿，但有法院判决的不在此限；</w:t>
      </w:r>
    </w:p>
    <w:p w14:paraId="2FE5FEEE">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（四）本保险单中载明的免赔额或按照本保险单中载明的免赔率计算的金额；</w:t>
      </w:r>
    </w:p>
    <w:p w14:paraId="602130F5">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（五）根据本条款其他部分内容中的相关约定，保险人应不承担或免除保险责任的各种情形下的损失、费用或责任，或保险人有权予以扣除、减少的部分。</w:t>
      </w:r>
    </w:p>
    <w:p w14:paraId="53EC76C6">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责任限额</w:t>
      </w:r>
    </w:p>
    <w:p w14:paraId="20E2F1DC">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第二十一条通用部分的责任限额包括每次事故法律费用责任限额及累计责任限额。</w:t>
      </w:r>
    </w:p>
    <w:p w14:paraId="6522AB40">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保险期间</w:t>
      </w:r>
    </w:p>
    <w:p w14:paraId="3118CD97">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第二十二条  </w:t>
      </w:r>
      <w:r>
        <w:rPr>
          <w:rFonts w:hint="eastAsia" w:cs="宋体" w:asciiTheme="minorEastAsia" w:hAnsiTheme="minorEastAsia" w:eastAsiaTheme="minorEastAsia"/>
          <w:color w:val="000000"/>
          <w:kern w:val="0"/>
          <w:szCs w:val="21"/>
        </w:rPr>
        <w:t>本保险合同自保险期间开始之日起，至签发工程项目完工验收证书或合格证书，或至上述工程项目建筑合同规定的施工期限结束的二十四时止，两者以先发生为准。但在任何情况下，保险期间的起始或终止不得超出保险单载明的生效日或终止日。</w:t>
      </w:r>
    </w:p>
    <w:p w14:paraId="474C5DE6">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保险人义务</w:t>
      </w:r>
    </w:p>
    <w:p w14:paraId="161FE449">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第二十三条  </w:t>
      </w:r>
      <w:r>
        <w:rPr>
          <w:rFonts w:hint="eastAsia" w:cs="宋体" w:asciiTheme="minorEastAsia" w:hAnsiTheme="minorEastAsia" w:eastAsiaTheme="minorEastAsia"/>
          <w:color w:val="000000"/>
          <w:kern w:val="0"/>
          <w:szCs w:val="21"/>
        </w:rPr>
        <w:t>本保险合同成立后，保险人应当及时向投保人签发保险单或其他保险凭证。</w:t>
      </w:r>
    </w:p>
    <w:p w14:paraId="3DE8A0DB">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第二十四条</w:t>
      </w:r>
      <w:r>
        <w:rPr>
          <w:rFonts w:hint="eastAsia" w:cs="宋体" w:asciiTheme="minorEastAsia" w:hAnsiTheme="minorEastAsia" w:eastAsiaTheme="minorEastAsia"/>
          <w:color w:val="000000"/>
          <w:kern w:val="0"/>
          <w:szCs w:val="21"/>
        </w:rPr>
        <w:t xml:space="preserve">  保险事故发生后，投保人、被保险人提供的有关索赔的证明和资料不完整的，保险人应当及时一次性通知投保人、被保险人补充提供。</w:t>
      </w:r>
    </w:p>
    <w:p w14:paraId="1341B28E">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第二十五条</w:t>
      </w:r>
      <w:r>
        <w:rPr>
          <w:rFonts w:hint="eastAsia" w:cs="宋体" w:asciiTheme="minorEastAsia" w:hAnsiTheme="minorEastAsia" w:eastAsiaTheme="minorEastAsia"/>
          <w:color w:val="000000"/>
          <w:kern w:val="0"/>
          <w:szCs w:val="21"/>
        </w:rPr>
        <w:t xml:space="preserve">  保险人收到被保险人的赔偿请求后，应当及时就是否属于保险责任作出核定，并将核定结果通知被保险人。</w:t>
      </w:r>
    </w:p>
    <w:p w14:paraId="42A19464">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投保人、被保险人义务</w:t>
      </w:r>
    </w:p>
    <w:p w14:paraId="207A6DE6">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第二十六条</w:t>
      </w:r>
      <w:r>
        <w:rPr>
          <w:rFonts w:hint="eastAsia" w:cs="宋体" w:asciiTheme="minorEastAsia" w:hAnsiTheme="minorEastAsia" w:eastAsiaTheme="minorEastAsia"/>
          <w:color w:val="000000"/>
          <w:kern w:val="0"/>
          <w:szCs w:val="21"/>
        </w:rPr>
        <w:t xml:space="preserve">  投保人应履行如实告知义务，如实回答保险人就被保险人安全管理、教育培训、风险状况方面以及被保险人的其他有关情况提出的询问，并如实填写投保单。</w:t>
      </w:r>
    </w:p>
    <w:p w14:paraId="7642D4D4">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第二十七条</w:t>
      </w:r>
      <w:r>
        <w:rPr>
          <w:rFonts w:hint="eastAsia" w:cs="宋体" w:asciiTheme="minorEastAsia" w:hAnsiTheme="minorEastAsia" w:eastAsiaTheme="minorEastAsia"/>
          <w:color w:val="000000"/>
          <w:kern w:val="0"/>
          <w:szCs w:val="21"/>
        </w:rPr>
        <w:t xml:space="preserve">  如未约定分期交付保险费的，投保人应当在保险合同成立时交清保险费，</w:t>
      </w:r>
      <w:r>
        <w:rPr>
          <w:rFonts w:hint="eastAsia" w:cs="宋体" w:asciiTheme="minorEastAsia" w:hAnsiTheme="minorEastAsia" w:eastAsiaTheme="minorEastAsia"/>
          <w:b/>
          <w:bCs/>
          <w:spacing w:val="-6"/>
          <w:szCs w:val="21"/>
        </w:rPr>
        <w:t>保险费交清前发生的保险事故，保险人不承担赔偿责任</w:t>
      </w:r>
      <w:r>
        <w:rPr>
          <w:rFonts w:hint="eastAsia" w:cs="宋体" w:asciiTheme="minorEastAsia" w:hAnsiTheme="minorEastAsia" w:eastAsiaTheme="minorEastAsia"/>
          <w:color w:val="000000"/>
          <w:kern w:val="0"/>
          <w:szCs w:val="21"/>
        </w:rPr>
        <w:t>。</w:t>
      </w:r>
    </w:p>
    <w:p w14:paraId="6B3B5EBB">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第二十八条</w:t>
      </w:r>
      <w:r>
        <w:rPr>
          <w:rFonts w:hint="eastAsia" w:cs="宋体" w:asciiTheme="minorEastAsia" w:hAnsiTheme="minorEastAsia" w:eastAsiaTheme="minorEastAsia"/>
          <w:color w:val="000000"/>
          <w:kern w:val="0"/>
          <w:szCs w:val="21"/>
        </w:rPr>
        <w:t xml:space="preserve">  被保险人应严格遵守《安全生产法》、《建筑法》以及国家及政府有关部门制定的其他相关法律、法规及规定，加强管理，采取合理的预防措施，尽力避免或减少责任事故的发生。</w:t>
      </w:r>
    </w:p>
    <w:p w14:paraId="36E38A6B">
      <w:pPr>
        <w:widowControl/>
        <w:shd w:val="clear" w:color="auto" w:fill="FFFFFF"/>
        <w:spacing w:line="360" w:lineRule="auto"/>
        <w:ind w:firstLine="420" w:firstLineChars="200"/>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第二十九条  在合同有效期内，如保险标的的危险程度显著增加的，被保险人应当按照合同的约定及时通知保险人，保险人可以按照合同约定增加保险费或者解除合同。</w:t>
      </w:r>
    </w:p>
    <w:p w14:paraId="428D069F">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第三十条</w:t>
      </w:r>
      <w:r>
        <w:rPr>
          <w:rFonts w:hint="eastAsia" w:cs="宋体" w:asciiTheme="minorEastAsia" w:hAnsiTheme="minorEastAsia" w:eastAsiaTheme="minorEastAsia"/>
          <w:color w:val="000000"/>
          <w:kern w:val="0"/>
          <w:szCs w:val="21"/>
        </w:rPr>
        <w:t xml:space="preserve">  保险事故发生时，被保险人应当尽力采取必要的措施，防止或者减少损失。投保人、被保险人知道保险事故发生后，应当及时通知保险人。</w:t>
      </w:r>
    </w:p>
    <w:p w14:paraId="70FD55D5">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第三十一条  </w:t>
      </w:r>
      <w:r>
        <w:rPr>
          <w:rFonts w:hint="eastAsia" w:cs="宋体" w:asciiTheme="minorEastAsia" w:hAnsiTheme="minorEastAsia" w:eastAsiaTheme="minorEastAsia"/>
          <w:color w:val="000000"/>
          <w:kern w:val="0"/>
          <w:szCs w:val="21"/>
        </w:rPr>
        <w:t>被保险人收到受害人的损害赔偿请求或得知可能产生损害赔偿时，应及时以书面形式通知保险人，并就损害赔偿请求与保险人进行协商。</w:t>
      </w:r>
    </w:p>
    <w:p w14:paraId="75A044B0">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第三十二条</w:t>
      </w:r>
      <w:r>
        <w:rPr>
          <w:rFonts w:hint="eastAsia" w:cs="宋体" w:asciiTheme="minorEastAsia" w:hAnsiTheme="minorEastAsia" w:eastAsiaTheme="minorEastAsia"/>
          <w:color w:val="000000"/>
          <w:kern w:val="0"/>
          <w:szCs w:val="21"/>
        </w:rPr>
        <w:t xml:space="preserve">  发生保险责任范围内的损失，应由有关责任方负责赔偿的，被保险人应行使或者保留向该责任方请求赔偿的权利。</w:t>
      </w:r>
    </w:p>
    <w:p w14:paraId="7C309B4C">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在保险人向有关责任方行使代位请求赔偿权利时，被保险人应当向保险人提供必要的文件和其所知道的有关情况。</w:t>
      </w:r>
    </w:p>
    <w:p w14:paraId="5D38624B">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第三十三条</w:t>
      </w:r>
      <w:r>
        <w:rPr>
          <w:rFonts w:hint="eastAsia" w:cs="宋体" w:asciiTheme="minorEastAsia" w:hAnsiTheme="minorEastAsia" w:eastAsiaTheme="minorEastAsia"/>
          <w:color w:val="000000"/>
          <w:kern w:val="0"/>
          <w:szCs w:val="21"/>
        </w:rPr>
        <w:t xml:space="preserve">  向保险人请求赔偿时，投保人、被保险人应提交以下索赔材料：</w:t>
      </w:r>
    </w:p>
    <w:p w14:paraId="38E02DE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（一）</w:t>
      </w:r>
      <w:r>
        <w:rPr>
          <w:rFonts w:hint="eastAsia" w:cs="宋体" w:asciiTheme="minorEastAsia" w:hAnsiTheme="minorEastAsia" w:eastAsiaTheme="minorEastAsia"/>
          <w:kern w:val="0"/>
          <w:szCs w:val="21"/>
        </w:rPr>
        <w:t>保险单、批单、投保清单、保费发票；</w:t>
      </w:r>
    </w:p>
    <w:p w14:paraId="0AA39BC3">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（二）县级以上（含）安全生产监督管理部门出具的事故证明；</w:t>
      </w:r>
    </w:p>
    <w:p w14:paraId="719E3189">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szCs w:val="21"/>
        </w:rPr>
        <w:t>（三）</w:t>
      </w:r>
      <w:r>
        <w:rPr>
          <w:rFonts w:hint="eastAsia" w:cs="宋体" w:asciiTheme="minorEastAsia" w:hAnsiTheme="minorEastAsia" w:eastAsiaTheme="minorEastAsia"/>
          <w:kern w:val="0"/>
          <w:szCs w:val="21"/>
        </w:rPr>
        <w:t>残疾还需提供：保险人认可的二级及以上医疗机构或司法机构出具的残疾等级证明；</w:t>
      </w:r>
    </w:p>
    <w:p w14:paraId="0AE7CE9C">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kern w:val="0"/>
          <w:szCs w:val="21"/>
        </w:rPr>
        <w:t>（四）死亡还需提供：医疗机构或公安部门出具的死亡证明，宣告死亡的需提供法院宣告死亡的证明；</w:t>
      </w:r>
    </w:p>
    <w:p w14:paraId="1782ADF7">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（五）伤亡人员的人事关系证明、身份证明、书面赔偿请求以及被保险人已经向伤亡人员或其代表支付赔偿金的书面证明材料；</w:t>
      </w:r>
    </w:p>
    <w:p w14:paraId="27FBAE5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（六）如存在救援情况下，被保险人支付的救援费用凭据；</w:t>
      </w:r>
    </w:p>
    <w:p w14:paraId="38D48A1C">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szCs w:val="21"/>
        </w:rPr>
        <w:t>（七）</w:t>
      </w:r>
      <w:r>
        <w:rPr>
          <w:rFonts w:hint="eastAsia" w:cs="宋体" w:asciiTheme="minorEastAsia" w:hAnsiTheme="minorEastAsia" w:eastAsiaTheme="minorEastAsia"/>
          <w:kern w:val="0"/>
          <w:szCs w:val="21"/>
        </w:rPr>
        <w:t>能够确定被保险人责任及赔偿金额的有关法律文书或经保险人同意，被保险人与受害人达成的赔偿协议及赔偿金支付凭据；</w:t>
      </w:r>
    </w:p>
    <w:p w14:paraId="202779EA">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kern w:val="0"/>
          <w:szCs w:val="21"/>
        </w:rPr>
        <w:t>（八）保险出险/索赔通知书；</w:t>
      </w:r>
    </w:p>
    <w:p w14:paraId="1EB6299A">
      <w:pPr>
        <w:pStyle w:val="13"/>
        <w:spacing w:after="0" w:line="360" w:lineRule="auto"/>
        <w:ind w:left="0" w:leftChars="0"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（九）投保人、被保险人所能提供的其他与确认保险事故性质、原因、损失程度等有关的证明和资料。</w:t>
      </w:r>
    </w:p>
    <w:p w14:paraId="07CE293D">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赔偿处理</w:t>
      </w:r>
    </w:p>
    <w:p w14:paraId="7567EAA4">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第三十四条  </w:t>
      </w:r>
      <w:r>
        <w:rPr>
          <w:rFonts w:hint="eastAsia" w:cs="宋体" w:asciiTheme="minorEastAsia" w:hAnsiTheme="minorEastAsia" w:eastAsiaTheme="minorEastAsia"/>
          <w:color w:val="000000"/>
          <w:kern w:val="0"/>
          <w:szCs w:val="21"/>
        </w:rPr>
        <w:t>保险人以下列方式之一确定的被保险人的赔偿责任为基础，按照保险合同的约定进行赔偿：</w:t>
      </w:r>
    </w:p>
    <w:p w14:paraId="41197F0A">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（一）被保险人和向其提出损害赔偿请求的受害人协商并经保险人确认； </w:t>
      </w:r>
    </w:p>
    <w:p w14:paraId="62DEA3D3">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（二）仲裁机构裁决；</w:t>
      </w:r>
    </w:p>
    <w:p w14:paraId="6963F757">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（三）人民法院判决；</w:t>
      </w:r>
    </w:p>
    <w:p w14:paraId="0302D5CD">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（四）保险人认可的其它方式。</w:t>
      </w:r>
    </w:p>
    <w:p w14:paraId="5F74EAD4">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第三十五条</w:t>
      </w:r>
      <w:r>
        <w:rPr>
          <w:rFonts w:hint="eastAsia" w:cs="宋体" w:asciiTheme="minorEastAsia" w:hAnsiTheme="minorEastAsia" w:eastAsiaTheme="minorEastAsia"/>
          <w:color w:val="000000"/>
          <w:kern w:val="0"/>
          <w:szCs w:val="21"/>
        </w:rPr>
        <w:t xml:space="preserve">  发生本保险合同第五条、第九条约定的保险事故时，被保险人对伤亡人员依法应承担的经济赔偿责任，保险人按照以下方式赔偿：</w:t>
      </w:r>
    </w:p>
    <w:p w14:paraId="51E584A2">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（一）发生人员死亡的，保险人在每人伤亡责任限额内赔偿；</w:t>
      </w:r>
    </w:p>
    <w:p w14:paraId="7DCB8164">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（二）发生人员残疾的，由二级以上(含)医疗机构或司法机构依据《职工工伤与职业病致残程度鉴定》（发生第五条约定的保险事故）或《</w:t>
      </w:r>
      <w:r>
        <w:rPr>
          <w:rFonts w:hint="eastAsia" w:cs="宋体" w:asciiTheme="minorEastAsia" w:hAnsiTheme="minorEastAsia" w:eastAsiaTheme="minorEastAsia"/>
          <w:b/>
          <w:szCs w:val="21"/>
        </w:rPr>
        <w:t>人体损伤致残程度分级</w:t>
      </w:r>
      <w:r>
        <w:rPr>
          <w:rFonts w:hint="eastAsia" w:cs="宋体" w:asciiTheme="minorEastAsia" w:hAnsiTheme="minorEastAsia" w:eastAsiaTheme="minorEastAsia"/>
          <w:b/>
          <w:color w:val="000000"/>
          <w:kern w:val="0"/>
          <w:szCs w:val="21"/>
        </w:rPr>
        <w:t>》（发生第九条约定的保险事故）标准鉴定残疾程度，保险人按照本保险合同所附残疾赔偿比例表规定的百分比，在每人伤亡责任限额内赔付；</w:t>
      </w:r>
    </w:p>
    <w:p w14:paraId="78B65210">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三）发生人员就医的，被保险人对其从业人员、第三者依法应承担的符合国家工伤保险待遇规定的标准（发生第五条约定的保险事故）或国家基本医疗保险规定的标准（发生第九条约定的保险事故）的下列医疗费用，保险人扣除每次事故每人医疗费用免赔额后在每人医疗费用责任限额内据实赔偿，医疗费用包括： </w:t>
      </w:r>
    </w:p>
    <w:p w14:paraId="60E10E29">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1.挂号费、治疗费、手术费、检查费、医药费；</w:t>
      </w:r>
    </w:p>
    <w:p w14:paraId="5C417AE9">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2.住院期间的床位费、陪护费、伙食费、取暖费、空调费；</w:t>
      </w:r>
    </w:p>
    <w:p w14:paraId="148C3EFA">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3.就（转）诊交通费、急救车费；</w:t>
      </w:r>
    </w:p>
    <w:p w14:paraId="1261F3CF">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4.安装假肢、假牙、假眼和残疾用具费用。</w:t>
      </w:r>
    </w:p>
    <w:p w14:paraId="6DE543D0">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除紧急抢救外，受伤工作人员均应在二级以上（含）医院或保险人认可的医疗机构就诊。</w:t>
      </w:r>
    </w:p>
    <w:p w14:paraId="54031B68">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四）受伤人员暂时丧失工作能力超过五天（不包括五天）的，经医院证明，保险人依据事故发生地政府公布的最低生活保障金标准，按照每人／天补偿误工费，医疗期满或确定残疾程度后停发，最长不超过1年；如最终鉴定为残疾的，保险人对残疾赔偿金及误工费的赔偿以第（二）款计算的责任限额为限；</w:t>
      </w:r>
    </w:p>
    <w:p w14:paraId="6291CA1E">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（五）对于每次事故造成的上述各项损失，保险人在每次事故责任限额内赔偿，其中从业人员与第三者不共用每次事故责任限额。</w:t>
      </w:r>
    </w:p>
    <w:p w14:paraId="482FF707">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第三十六条  </w:t>
      </w:r>
      <w:r>
        <w:rPr>
          <w:rFonts w:hint="eastAsia" w:cs="宋体" w:asciiTheme="minorEastAsia" w:hAnsiTheme="minorEastAsia" w:eastAsiaTheme="minorEastAsia"/>
          <w:color w:val="000000"/>
          <w:kern w:val="0"/>
          <w:szCs w:val="21"/>
        </w:rPr>
        <w:t>发生本保险合同第十二条约定的保险事故时，被保险人支付或承担的救援费用，保险人按照以下方式赔偿：</w:t>
      </w:r>
    </w:p>
    <w:p w14:paraId="3F1CA79D">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（一）保险人在扣除每次事故救援费用免赔额后，依照本条第（二）项进行赔偿；</w:t>
      </w:r>
    </w:p>
    <w:p w14:paraId="3AF0A9BA">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（二）对于每次事故造成的损失，保险人在每次事故救援费用限额内赔偿，对每人救援的费用，保险人在每人救援费用责任限额内赔偿。</w:t>
      </w:r>
    </w:p>
    <w:p w14:paraId="7BEA697A">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第三十七条被保险人因一次保险事故支出的法律费用，保险人在每次事故法律费用责任限额内赔偿。在保险期间内，保险人对多次事故各项损失的累计赔偿金额不超过累计责任限额。</w:t>
      </w:r>
    </w:p>
    <w:p w14:paraId="6FFC631D">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争议处理和法律适用</w:t>
      </w:r>
    </w:p>
    <w:p w14:paraId="5E430A21">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第三十八条  </w:t>
      </w:r>
      <w:r>
        <w:rPr>
          <w:rFonts w:hint="eastAsia" w:cs="宋体" w:asciiTheme="minorEastAsia" w:hAnsiTheme="minorEastAsia" w:eastAsiaTheme="minorEastAsia"/>
          <w:color w:val="000000"/>
          <w:kern w:val="0"/>
          <w:szCs w:val="21"/>
        </w:rPr>
        <w:t>因履行本保险合同发生的争议，由当事人协商解决。协商不成的，提交保险单载明的仲裁机构仲裁；保险单未载明仲裁机构且争议发生后未达成仲裁协议的，依法向人民法院起诉。</w:t>
      </w:r>
    </w:p>
    <w:p w14:paraId="026A0B20">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第三十九条</w:t>
      </w:r>
      <w:r>
        <w:rPr>
          <w:rFonts w:hint="eastAsia" w:cs="宋体" w:asciiTheme="minorEastAsia" w:hAnsiTheme="minorEastAsia" w:eastAsiaTheme="minorEastAsia"/>
          <w:color w:val="000000"/>
          <w:kern w:val="0"/>
          <w:szCs w:val="21"/>
        </w:rPr>
        <w:t xml:space="preserve">  与本保险合同有关的以及履行本保险合同产生的一切争议处理适用中华人民共和国法律（不包括港、澳、台地区法律）。</w:t>
      </w:r>
    </w:p>
    <w:p w14:paraId="26970D65">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其他事项</w:t>
      </w:r>
    </w:p>
    <w:p w14:paraId="7CB0DB77">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第四十条</w:t>
      </w:r>
      <w:r>
        <w:rPr>
          <w:rFonts w:hint="eastAsia" w:cs="宋体" w:asciiTheme="minorEastAsia" w:hAnsiTheme="minorEastAsia" w:eastAsiaTheme="minorEastAsia"/>
          <w:color w:val="000000"/>
          <w:kern w:val="0"/>
          <w:szCs w:val="21"/>
        </w:rPr>
        <w:t xml:space="preserve">  保险责任开始前，投保人要求解除保险合同的，</w:t>
      </w:r>
      <w:r>
        <w:rPr>
          <w:rFonts w:hint="eastAsia" w:cs="宋体" w:asciiTheme="minorEastAsia" w:hAnsiTheme="minorEastAsia" w:eastAsiaTheme="minorEastAsia"/>
          <w:b/>
          <w:color w:val="000000"/>
          <w:kern w:val="0"/>
          <w:szCs w:val="21"/>
        </w:rPr>
        <w:t>应当向保险人支付相当于保险费5%的退保手续费，保险人应当退还剩余部分保险费</w:t>
      </w:r>
      <w:r>
        <w:rPr>
          <w:rFonts w:hint="eastAsia" w:cs="宋体" w:asciiTheme="minorEastAsia" w:hAnsiTheme="minorEastAsia" w:eastAsiaTheme="minorEastAsia"/>
          <w:color w:val="000000"/>
          <w:kern w:val="0"/>
          <w:szCs w:val="21"/>
        </w:rPr>
        <w:t>。</w:t>
      </w:r>
    </w:p>
    <w:p w14:paraId="3326E718">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保险责任开始后，投保人要求解除保险合同的，自通知保险人之日起，保险合同解除，保险人按照保险责任开始之日起至合同解除之日止期间与保险期间的日比例计收保险费，并退还剩余部分保险费。</w:t>
      </w:r>
    </w:p>
    <w:p w14:paraId="73E6A860">
      <w:pPr>
        <w:widowControl/>
        <w:shd w:val="clear" w:color="auto" w:fill="FFFFFF"/>
        <w:spacing w:line="360" w:lineRule="auto"/>
        <w:ind w:firstLine="420" w:firstLineChars="200"/>
        <w:rPr>
          <w:rFonts w:hint="eastAsia" w:ascii="仿宋" w:hAnsi="仿宋" w:eastAsia="仿宋" w:cs="仿宋"/>
          <w:b/>
          <w:color w:val="000000"/>
          <w:sz w:val="28"/>
          <w:szCs w:val="28"/>
        </w:rPr>
      </w:pPr>
      <w:r>
        <w:rPr>
          <w:rFonts w:hint="eastAsia" w:cs="宋体" w:asciiTheme="minorEastAsia" w:hAnsiTheme="minorEastAsia" w:eastAsiaTheme="minorEastAsia"/>
          <w:b/>
          <w:color w:val="000000"/>
          <w:kern w:val="0"/>
          <w:szCs w:val="21"/>
        </w:rPr>
        <w:t xml:space="preserve">第四十一条  </w:t>
      </w:r>
      <w:r>
        <w:rPr>
          <w:rFonts w:hint="eastAsia" w:cs="宋体" w:asciiTheme="minorEastAsia" w:hAnsiTheme="minorEastAsia" w:eastAsiaTheme="minorEastAsia"/>
          <w:color w:val="000000"/>
          <w:kern w:val="0"/>
          <w:szCs w:val="21"/>
        </w:rPr>
        <w:t>本保险合同约定与《中华人民共和国保险法》等法律规定相悖之处，以法律规定为准。本保险合同未尽事宜，以法律规定为准。</w:t>
      </w:r>
    </w:p>
    <w:p w14:paraId="62E09AC8">
      <w:pPr>
        <w:pStyle w:val="20"/>
        <w:widowControl/>
        <w:spacing w:before="240" w:beforeAutospacing="0"/>
        <w:ind w:firstLine="643"/>
        <w:jc w:val="center"/>
        <w:rPr>
          <w:rFonts w:ascii="微软雅黑" w:hAnsi="微软雅黑" w:eastAsia="微软雅黑" w:cs="微软雅黑"/>
          <w:color w:val="000000"/>
          <w:sz w:val="28"/>
          <w:szCs w:val="28"/>
        </w:rPr>
      </w:pPr>
      <w:r>
        <w:rPr>
          <w:rFonts w:hint="eastAsia" w:ascii="仿宋" w:hAnsi="仿宋" w:eastAsia="仿宋" w:cs="仿宋"/>
          <w:b/>
          <w:color w:val="000000"/>
          <w:sz w:val="28"/>
          <w:szCs w:val="28"/>
        </w:rPr>
        <w:t>伤残赔偿比例表</w:t>
      </w:r>
    </w:p>
    <w:tbl>
      <w:tblPr>
        <w:tblStyle w:val="22"/>
        <w:tblW w:w="831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
      <w:tblGrid>
        <w:gridCol w:w="1206"/>
        <w:gridCol w:w="3479"/>
        <w:gridCol w:w="3627"/>
      </w:tblGrid>
      <w:tr w14:paraId="22DE8EB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33DA71">
            <w:pPr>
              <w:pStyle w:val="20"/>
              <w:widowControl/>
              <w:jc w:val="center"/>
              <w:rPr>
                <w:sz w:val="28"/>
                <w:szCs w:val="28"/>
              </w:rPr>
            </w:pPr>
            <w:r>
              <w:rPr>
                <w:rFonts w:hint="eastAsia" w:ascii="仿宋" w:hAnsi="仿宋" w:eastAsia="仿宋" w:cs="仿宋"/>
                <w:color w:val="000000"/>
                <w:sz w:val="28"/>
                <w:szCs w:val="28"/>
              </w:rPr>
              <w:t>项 目</w:t>
            </w:r>
          </w:p>
        </w:tc>
        <w:tc>
          <w:tcPr>
            <w:tcW w:w="347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E36299">
            <w:pPr>
              <w:pStyle w:val="20"/>
              <w:widowControl/>
              <w:jc w:val="center"/>
              <w:rPr>
                <w:sz w:val="28"/>
                <w:szCs w:val="28"/>
              </w:rPr>
            </w:pPr>
            <w:r>
              <w:rPr>
                <w:rFonts w:hint="eastAsia" w:ascii="仿宋" w:hAnsi="仿宋" w:eastAsia="仿宋" w:cs="仿宋"/>
                <w:color w:val="000000"/>
                <w:sz w:val="28"/>
                <w:szCs w:val="28"/>
              </w:rPr>
              <w:t>伤残等级</w:t>
            </w:r>
          </w:p>
        </w:tc>
        <w:tc>
          <w:tcPr>
            <w:tcW w:w="362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52E930">
            <w:pPr>
              <w:pStyle w:val="20"/>
              <w:widowControl/>
              <w:jc w:val="center"/>
              <w:rPr>
                <w:sz w:val="28"/>
                <w:szCs w:val="28"/>
              </w:rPr>
            </w:pPr>
            <w:r>
              <w:rPr>
                <w:rFonts w:hint="eastAsia" w:ascii="仿宋" w:hAnsi="仿宋" w:eastAsia="仿宋" w:cs="仿宋"/>
                <w:color w:val="000000"/>
                <w:sz w:val="28"/>
                <w:szCs w:val="28"/>
              </w:rPr>
              <w:t>赔偿比例</w:t>
            </w:r>
          </w:p>
        </w:tc>
      </w:tr>
      <w:tr w14:paraId="7956535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AC2AB9">
            <w:pPr>
              <w:pStyle w:val="20"/>
              <w:widowControl/>
              <w:jc w:val="center"/>
              <w:rPr>
                <w:sz w:val="28"/>
                <w:szCs w:val="28"/>
              </w:rPr>
            </w:pPr>
            <w:r>
              <w:rPr>
                <w:rFonts w:hint="eastAsia" w:ascii="仿宋" w:hAnsi="仿宋" w:eastAsia="仿宋" w:cs="仿宋"/>
                <w:color w:val="000000"/>
                <w:sz w:val="28"/>
                <w:szCs w:val="28"/>
              </w:rPr>
              <w:t>（一）</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7E9A36">
            <w:pPr>
              <w:pStyle w:val="20"/>
              <w:widowControl/>
              <w:jc w:val="center"/>
              <w:rPr>
                <w:sz w:val="28"/>
                <w:szCs w:val="28"/>
              </w:rPr>
            </w:pPr>
            <w:r>
              <w:rPr>
                <w:rFonts w:hint="eastAsia" w:ascii="仿宋" w:hAnsi="仿宋" w:eastAsia="仿宋" w:cs="仿宋"/>
                <w:color w:val="000000"/>
                <w:sz w:val="28"/>
                <w:szCs w:val="28"/>
              </w:rPr>
              <w:t>死亡</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287B1A">
            <w:pPr>
              <w:pStyle w:val="20"/>
              <w:widowControl/>
              <w:jc w:val="center"/>
              <w:rPr>
                <w:sz w:val="28"/>
                <w:szCs w:val="28"/>
              </w:rPr>
            </w:pPr>
            <w:r>
              <w:rPr>
                <w:rFonts w:hint="eastAsia" w:ascii="仿宋" w:hAnsi="仿宋" w:eastAsia="仿宋" w:cs="仿宋"/>
                <w:color w:val="000000"/>
                <w:sz w:val="28"/>
                <w:szCs w:val="28"/>
              </w:rPr>
              <w:t>100％</w:t>
            </w:r>
          </w:p>
        </w:tc>
      </w:tr>
      <w:tr w14:paraId="781D05E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151B7C">
            <w:pPr>
              <w:pStyle w:val="20"/>
              <w:widowControl/>
              <w:jc w:val="center"/>
              <w:rPr>
                <w:sz w:val="28"/>
                <w:szCs w:val="28"/>
              </w:rPr>
            </w:pPr>
            <w:r>
              <w:rPr>
                <w:rFonts w:hint="eastAsia" w:ascii="仿宋" w:hAnsi="仿宋" w:eastAsia="仿宋" w:cs="仿宋"/>
                <w:color w:val="000000"/>
                <w:sz w:val="28"/>
                <w:szCs w:val="28"/>
              </w:rPr>
              <w:t>（二）</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E5D786">
            <w:pPr>
              <w:pStyle w:val="20"/>
              <w:widowControl/>
              <w:jc w:val="center"/>
              <w:rPr>
                <w:sz w:val="28"/>
                <w:szCs w:val="28"/>
              </w:rPr>
            </w:pPr>
            <w:r>
              <w:rPr>
                <w:rFonts w:hint="eastAsia" w:ascii="仿宋" w:hAnsi="仿宋" w:eastAsia="仿宋" w:cs="仿宋"/>
                <w:color w:val="000000"/>
                <w:sz w:val="28"/>
                <w:szCs w:val="28"/>
              </w:rPr>
              <w:t>一级伤残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982C29">
            <w:pPr>
              <w:pStyle w:val="20"/>
              <w:widowControl/>
              <w:jc w:val="center"/>
              <w:rPr>
                <w:sz w:val="28"/>
                <w:szCs w:val="28"/>
              </w:rPr>
            </w:pPr>
            <w:r>
              <w:rPr>
                <w:rFonts w:hint="eastAsia" w:ascii="仿宋" w:hAnsi="仿宋" w:eastAsia="仿宋" w:cs="仿宋"/>
                <w:color w:val="000000"/>
                <w:sz w:val="28"/>
                <w:szCs w:val="28"/>
              </w:rPr>
              <w:t>100％</w:t>
            </w:r>
          </w:p>
        </w:tc>
      </w:tr>
      <w:tr w14:paraId="7DA349D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49980B">
            <w:pPr>
              <w:pStyle w:val="20"/>
              <w:widowControl/>
              <w:jc w:val="center"/>
              <w:rPr>
                <w:sz w:val="28"/>
                <w:szCs w:val="28"/>
              </w:rPr>
            </w:pPr>
            <w:r>
              <w:rPr>
                <w:rFonts w:hint="eastAsia" w:ascii="仿宋" w:hAnsi="仿宋" w:eastAsia="仿宋" w:cs="仿宋"/>
                <w:color w:val="000000"/>
                <w:sz w:val="28"/>
                <w:szCs w:val="28"/>
              </w:rPr>
              <w:t>（三）</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DB84E5">
            <w:pPr>
              <w:pStyle w:val="20"/>
              <w:widowControl/>
              <w:jc w:val="center"/>
              <w:rPr>
                <w:sz w:val="28"/>
                <w:szCs w:val="28"/>
              </w:rPr>
            </w:pPr>
            <w:r>
              <w:rPr>
                <w:rFonts w:hint="eastAsia" w:ascii="仿宋" w:hAnsi="仿宋" w:eastAsia="仿宋" w:cs="仿宋"/>
                <w:color w:val="000000"/>
                <w:sz w:val="28"/>
                <w:szCs w:val="28"/>
              </w:rPr>
              <w:t>二级伤残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4C9552">
            <w:pPr>
              <w:pStyle w:val="20"/>
              <w:widowControl/>
              <w:jc w:val="center"/>
              <w:rPr>
                <w:sz w:val="28"/>
                <w:szCs w:val="28"/>
              </w:rPr>
            </w:pPr>
            <w:r>
              <w:rPr>
                <w:rFonts w:hint="eastAsia" w:ascii="仿宋" w:hAnsi="仿宋" w:eastAsia="仿宋" w:cs="仿宋"/>
                <w:color w:val="000000"/>
                <w:sz w:val="28"/>
                <w:szCs w:val="28"/>
              </w:rPr>
              <w:t>80％</w:t>
            </w:r>
          </w:p>
        </w:tc>
      </w:tr>
      <w:tr w14:paraId="1E0BA06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4FF354">
            <w:pPr>
              <w:pStyle w:val="20"/>
              <w:widowControl/>
              <w:jc w:val="center"/>
              <w:rPr>
                <w:sz w:val="28"/>
                <w:szCs w:val="28"/>
              </w:rPr>
            </w:pPr>
            <w:r>
              <w:rPr>
                <w:rFonts w:hint="eastAsia" w:ascii="仿宋" w:hAnsi="仿宋" w:eastAsia="仿宋" w:cs="仿宋"/>
                <w:color w:val="000000"/>
                <w:sz w:val="28"/>
                <w:szCs w:val="28"/>
              </w:rPr>
              <w:t>（四）</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F428F5">
            <w:pPr>
              <w:pStyle w:val="20"/>
              <w:widowControl/>
              <w:jc w:val="center"/>
              <w:rPr>
                <w:sz w:val="28"/>
                <w:szCs w:val="28"/>
              </w:rPr>
            </w:pPr>
            <w:r>
              <w:rPr>
                <w:rFonts w:hint="eastAsia" w:ascii="仿宋" w:hAnsi="仿宋" w:eastAsia="仿宋" w:cs="仿宋"/>
                <w:color w:val="000000"/>
                <w:sz w:val="28"/>
                <w:szCs w:val="28"/>
              </w:rPr>
              <w:t>三级伤残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46C6A9">
            <w:pPr>
              <w:pStyle w:val="20"/>
              <w:widowControl/>
              <w:jc w:val="center"/>
              <w:rPr>
                <w:sz w:val="28"/>
                <w:szCs w:val="28"/>
              </w:rPr>
            </w:pPr>
            <w:r>
              <w:rPr>
                <w:rFonts w:hint="eastAsia" w:ascii="仿宋" w:hAnsi="仿宋" w:eastAsia="仿宋" w:cs="仿宋"/>
                <w:color w:val="000000"/>
                <w:sz w:val="28"/>
                <w:szCs w:val="28"/>
              </w:rPr>
              <w:t>70％</w:t>
            </w:r>
          </w:p>
        </w:tc>
      </w:tr>
      <w:tr w14:paraId="799A3A5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105C15">
            <w:pPr>
              <w:pStyle w:val="20"/>
              <w:widowControl/>
              <w:jc w:val="center"/>
              <w:rPr>
                <w:sz w:val="28"/>
                <w:szCs w:val="28"/>
              </w:rPr>
            </w:pPr>
            <w:r>
              <w:rPr>
                <w:rFonts w:hint="eastAsia" w:ascii="仿宋" w:hAnsi="仿宋" w:eastAsia="仿宋" w:cs="仿宋"/>
                <w:color w:val="000000"/>
                <w:sz w:val="28"/>
                <w:szCs w:val="28"/>
              </w:rPr>
              <w:t>（五）</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D4E623">
            <w:pPr>
              <w:pStyle w:val="20"/>
              <w:widowControl/>
              <w:jc w:val="center"/>
              <w:rPr>
                <w:sz w:val="28"/>
                <w:szCs w:val="28"/>
              </w:rPr>
            </w:pPr>
            <w:r>
              <w:rPr>
                <w:rFonts w:hint="eastAsia" w:ascii="仿宋" w:hAnsi="仿宋" w:eastAsia="仿宋" w:cs="仿宋"/>
                <w:color w:val="000000"/>
                <w:sz w:val="28"/>
                <w:szCs w:val="28"/>
              </w:rPr>
              <w:t>四级伤残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3DC09F">
            <w:pPr>
              <w:pStyle w:val="20"/>
              <w:widowControl/>
              <w:jc w:val="center"/>
              <w:rPr>
                <w:sz w:val="28"/>
                <w:szCs w:val="28"/>
              </w:rPr>
            </w:pPr>
            <w:r>
              <w:rPr>
                <w:rFonts w:hint="eastAsia" w:ascii="仿宋" w:hAnsi="仿宋" w:eastAsia="仿宋" w:cs="仿宋"/>
                <w:color w:val="000000"/>
                <w:sz w:val="28"/>
                <w:szCs w:val="28"/>
              </w:rPr>
              <w:t>60％</w:t>
            </w:r>
          </w:p>
        </w:tc>
      </w:tr>
      <w:tr w14:paraId="2B8D096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DDA953">
            <w:pPr>
              <w:pStyle w:val="20"/>
              <w:widowControl/>
              <w:jc w:val="center"/>
              <w:rPr>
                <w:sz w:val="28"/>
                <w:szCs w:val="28"/>
              </w:rPr>
            </w:pPr>
            <w:r>
              <w:rPr>
                <w:rFonts w:hint="eastAsia" w:ascii="仿宋" w:hAnsi="仿宋" w:eastAsia="仿宋" w:cs="仿宋"/>
                <w:color w:val="000000"/>
                <w:sz w:val="28"/>
                <w:szCs w:val="28"/>
              </w:rPr>
              <w:t>（六）</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6DD38C">
            <w:pPr>
              <w:pStyle w:val="20"/>
              <w:widowControl/>
              <w:jc w:val="center"/>
              <w:rPr>
                <w:sz w:val="28"/>
                <w:szCs w:val="28"/>
              </w:rPr>
            </w:pPr>
            <w:r>
              <w:rPr>
                <w:rFonts w:hint="eastAsia" w:ascii="仿宋" w:hAnsi="仿宋" w:eastAsia="仿宋" w:cs="仿宋"/>
                <w:color w:val="000000"/>
                <w:sz w:val="28"/>
                <w:szCs w:val="28"/>
              </w:rPr>
              <w:t>五级伤残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7981E6">
            <w:pPr>
              <w:pStyle w:val="20"/>
              <w:widowControl/>
              <w:jc w:val="center"/>
              <w:rPr>
                <w:sz w:val="28"/>
                <w:szCs w:val="28"/>
              </w:rPr>
            </w:pPr>
            <w:r>
              <w:rPr>
                <w:rFonts w:hint="eastAsia" w:ascii="仿宋" w:hAnsi="仿宋" w:eastAsia="仿宋" w:cs="仿宋"/>
                <w:color w:val="000000"/>
                <w:sz w:val="28"/>
                <w:szCs w:val="28"/>
              </w:rPr>
              <w:t>40％</w:t>
            </w:r>
          </w:p>
        </w:tc>
      </w:tr>
      <w:tr w14:paraId="204441D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EB33F7">
            <w:pPr>
              <w:pStyle w:val="20"/>
              <w:widowControl/>
              <w:jc w:val="center"/>
              <w:rPr>
                <w:sz w:val="28"/>
                <w:szCs w:val="28"/>
              </w:rPr>
            </w:pPr>
            <w:r>
              <w:rPr>
                <w:rFonts w:hint="eastAsia" w:ascii="仿宋" w:hAnsi="仿宋" w:eastAsia="仿宋" w:cs="仿宋"/>
                <w:color w:val="000000"/>
                <w:sz w:val="28"/>
                <w:szCs w:val="28"/>
              </w:rPr>
              <w:t>（七）</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6E8059">
            <w:pPr>
              <w:pStyle w:val="20"/>
              <w:widowControl/>
              <w:jc w:val="center"/>
              <w:rPr>
                <w:sz w:val="28"/>
                <w:szCs w:val="28"/>
              </w:rPr>
            </w:pPr>
            <w:r>
              <w:rPr>
                <w:rFonts w:hint="eastAsia" w:ascii="仿宋" w:hAnsi="仿宋" w:eastAsia="仿宋" w:cs="仿宋"/>
                <w:color w:val="000000"/>
                <w:sz w:val="28"/>
                <w:szCs w:val="28"/>
              </w:rPr>
              <w:t>六级伤残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D93380">
            <w:pPr>
              <w:pStyle w:val="20"/>
              <w:widowControl/>
              <w:jc w:val="center"/>
              <w:rPr>
                <w:sz w:val="28"/>
                <w:szCs w:val="28"/>
              </w:rPr>
            </w:pPr>
            <w:r>
              <w:rPr>
                <w:rFonts w:hint="eastAsia" w:ascii="仿宋" w:hAnsi="仿宋" w:eastAsia="仿宋" w:cs="仿宋"/>
                <w:color w:val="000000"/>
                <w:sz w:val="28"/>
                <w:szCs w:val="28"/>
              </w:rPr>
              <w:t>30％</w:t>
            </w:r>
          </w:p>
        </w:tc>
      </w:tr>
      <w:tr w14:paraId="4C0E3BD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6D28C1">
            <w:pPr>
              <w:pStyle w:val="20"/>
              <w:widowControl/>
              <w:jc w:val="center"/>
              <w:rPr>
                <w:sz w:val="28"/>
                <w:szCs w:val="28"/>
              </w:rPr>
            </w:pPr>
            <w:r>
              <w:rPr>
                <w:rFonts w:hint="eastAsia" w:ascii="仿宋" w:hAnsi="仿宋" w:eastAsia="仿宋" w:cs="仿宋"/>
                <w:color w:val="000000"/>
                <w:sz w:val="28"/>
                <w:szCs w:val="28"/>
              </w:rPr>
              <w:t>（八）</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05DDF0">
            <w:pPr>
              <w:pStyle w:val="20"/>
              <w:widowControl/>
              <w:jc w:val="center"/>
              <w:rPr>
                <w:sz w:val="28"/>
                <w:szCs w:val="28"/>
              </w:rPr>
            </w:pPr>
            <w:r>
              <w:rPr>
                <w:rFonts w:hint="eastAsia" w:ascii="仿宋" w:hAnsi="仿宋" w:eastAsia="仿宋" w:cs="仿宋"/>
                <w:color w:val="000000"/>
                <w:sz w:val="28"/>
                <w:szCs w:val="28"/>
              </w:rPr>
              <w:t>七级伤残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196C4F">
            <w:pPr>
              <w:pStyle w:val="20"/>
              <w:widowControl/>
              <w:jc w:val="center"/>
              <w:rPr>
                <w:sz w:val="28"/>
                <w:szCs w:val="28"/>
              </w:rPr>
            </w:pPr>
            <w:r>
              <w:rPr>
                <w:rFonts w:hint="eastAsia" w:ascii="仿宋" w:hAnsi="仿宋" w:eastAsia="仿宋" w:cs="仿宋"/>
                <w:color w:val="000000"/>
                <w:sz w:val="28"/>
                <w:szCs w:val="28"/>
              </w:rPr>
              <w:t>20％</w:t>
            </w:r>
          </w:p>
        </w:tc>
      </w:tr>
      <w:tr w14:paraId="3680EBB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941477">
            <w:pPr>
              <w:pStyle w:val="20"/>
              <w:widowControl/>
              <w:jc w:val="center"/>
              <w:rPr>
                <w:sz w:val="28"/>
                <w:szCs w:val="28"/>
              </w:rPr>
            </w:pPr>
            <w:r>
              <w:rPr>
                <w:rFonts w:hint="eastAsia" w:ascii="仿宋" w:hAnsi="仿宋" w:eastAsia="仿宋" w:cs="仿宋"/>
                <w:color w:val="000000"/>
                <w:sz w:val="28"/>
                <w:szCs w:val="28"/>
              </w:rPr>
              <w:t>（九）</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1B6943">
            <w:pPr>
              <w:pStyle w:val="20"/>
              <w:widowControl/>
              <w:jc w:val="center"/>
              <w:rPr>
                <w:sz w:val="28"/>
                <w:szCs w:val="28"/>
              </w:rPr>
            </w:pPr>
            <w:r>
              <w:rPr>
                <w:rFonts w:hint="eastAsia" w:ascii="仿宋" w:hAnsi="仿宋" w:eastAsia="仿宋" w:cs="仿宋"/>
                <w:color w:val="000000"/>
                <w:sz w:val="28"/>
                <w:szCs w:val="28"/>
              </w:rPr>
              <w:t>八级伤残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0C350E">
            <w:pPr>
              <w:pStyle w:val="20"/>
              <w:widowControl/>
              <w:jc w:val="center"/>
              <w:rPr>
                <w:sz w:val="28"/>
                <w:szCs w:val="28"/>
              </w:rPr>
            </w:pPr>
            <w:r>
              <w:rPr>
                <w:rFonts w:hint="eastAsia" w:ascii="仿宋" w:hAnsi="仿宋" w:eastAsia="仿宋" w:cs="仿宋"/>
                <w:color w:val="000000"/>
                <w:sz w:val="28"/>
                <w:szCs w:val="28"/>
              </w:rPr>
              <w:t>15％</w:t>
            </w:r>
          </w:p>
        </w:tc>
      </w:tr>
      <w:tr w14:paraId="40D17F1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7F8B63">
            <w:pPr>
              <w:pStyle w:val="20"/>
              <w:widowControl/>
              <w:jc w:val="center"/>
              <w:rPr>
                <w:sz w:val="28"/>
                <w:szCs w:val="28"/>
              </w:rPr>
            </w:pPr>
            <w:r>
              <w:rPr>
                <w:rFonts w:hint="eastAsia" w:ascii="仿宋" w:hAnsi="仿宋" w:eastAsia="仿宋" w:cs="仿宋"/>
                <w:color w:val="000000"/>
                <w:sz w:val="28"/>
                <w:szCs w:val="28"/>
              </w:rPr>
              <w:t>（十）</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3C3A84">
            <w:pPr>
              <w:pStyle w:val="20"/>
              <w:widowControl/>
              <w:jc w:val="center"/>
              <w:rPr>
                <w:sz w:val="28"/>
                <w:szCs w:val="28"/>
              </w:rPr>
            </w:pPr>
            <w:r>
              <w:rPr>
                <w:rFonts w:hint="eastAsia" w:ascii="仿宋" w:hAnsi="仿宋" w:eastAsia="仿宋" w:cs="仿宋"/>
                <w:color w:val="000000"/>
                <w:sz w:val="28"/>
                <w:szCs w:val="28"/>
              </w:rPr>
              <w:t>九级伤残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9856C5">
            <w:pPr>
              <w:pStyle w:val="20"/>
              <w:widowControl/>
              <w:jc w:val="center"/>
              <w:rPr>
                <w:sz w:val="28"/>
                <w:szCs w:val="28"/>
              </w:rPr>
            </w:pPr>
            <w:r>
              <w:rPr>
                <w:rFonts w:hint="eastAsia" w:ascii="仿宋" w:hAnsi="仿宋" w:eastAsia="仿宋" w:cs="仿宋"/>
                <w:color w:val="000000"/>
                <w:sz w:val="28"/>
                <w:szCs w:val="28"/>
              </w:rPr>
              <w:t>7％</w:t>
            </w:r>
          </w:p>
        </w:tc>
      </w:tr>
      <w:tr w14:paraId="1FF4066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363F4A">
            <w:pPr>
              <w:pStyle w:val="20"/>
              <w:widowControl/>
              <w:jc w:val="center"/>
              <w:rPr>
                <w:sz w:val="28"/>
                <w:szCs w:val="28"/>
              </w:rPr>
            </w:pPr>
            <w:r>
              <w:rPr>
                <w:rFonts w:hint="eastAsia" w:ascii="仿宋" w:hAnsi="仿宋" w:eastAsia="仿宋" w:cs="仿宋"/>
                <w:color w:val="000000"/>
                <w:sz w:val="28"/>
                <w:szCs w:val="28"/>
              </w:rPr>
              <w:t>（十一）</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0D9911">
            <w:pPr>
              <w:pStyle w:val="20"/>
              <w:widowControl/>
              <w:jc w:val="center"/>
              <w:rPr>
                <w:sz w:val="28"/>
                <w:szCs w:val="28"/>
              </w:rPr>
            </w:pPr>
            <w:r>
              <w:rPr>
                <w:rFonts w:hint="eastAsia" w:ascii="仿宋" w:hAnsi="仿宋" w:eastAsia="仿宋" w:cs="仿宋"/>
                <w:color w:val="000000"/>
                <w:sz w:val="28"/>
                <w:szCs w:val="28"/>
              </w:rPr>
              <w:t>十级伤残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4C9DF1">
            <w:pPr>
              <w:pStyle w:val="20"/>
              <w:widowControl/>
              <w:jc w:val="center"/>
              <w:rPr>
                <w:sz w:val="28"/>
                <w:szCs w:val="28"/>
              </w:rPr>
            </w:pPr>
            <w:r>
              <w:rPr>
                <w:rFonts w:hint="eastAsia" w:ascii="仿宋" w:hAnsi="仿宋" w:eastAsia="仿宋" w:cs="仿宋"/>
                <w:color w:val="000000"/>
                <w:sz w:val="28"/>
                <w:szCs w:val="28"/>
              </w:rPr>
              <w:t>5％</w:t>
            </w:r>
          </w:p>
        </w:tc>
      </w:tr>
    </w:tbl>
    <w:p w14:paraId="61DAE9E5">
      <w:pPr>
        <w:pStyle w:val="20"/>
        <w:widowControl/>
        <w:ind w:firstLine="640"/>
        <w:jc w:val="both"/>
        <w:rPr>
          <w:rFonts w:ascii="微软雅黑" w:hAnsi="微软雅黑" w:eastAsia="微软雅黑" w:cs="微软雅黑"/>
          <w:color w:val="000000"/>
          <w:sz w:val="28"/>
          <w:szCs w:val="28"/>
        </w:rPr>
      </w:pPr>
      <w:r>
        <w:rPr>
          <w:rFonts w:hint="eastAsia" w:ascii="仿宋" w:hAnsi="仿宋" w:eastAsia="仿宋" w:cs="仿宋"/>
          <w:color w:val="000000"/>
          <w:sz w:val="28"/>
          <w:szCs w:val="28"/>
        </w:rPr>
        <w:t>本表所列伤残级别与国家标准《劳动能力鉴定 职工工伤与职业病致残等级》（GB/T 16180-2014）中所列标准一致。</w:t>
      </w:r>
    </w:p>
    <w:bookmarkEnd w:id="116"/>
    <w:bookmarkEnd w:id="117"/>
    <w:bookmarkEnd w:id="118"/>
    <w:bookmarkEnd w:id="119"/>
    <w:bookmarkEnd w:id="120"/>
    <w:p w14:paraId="53FB404B">
      <w:r>
        <w:rPr>
          <w:rFonts w:hint="eastAsia"/>
          <w:b/>
          <w:sz w:val="36"/>
          <w:szCs w:val="36"/>
        </w:rPr>
        <w:t xml:space="preserve">            </w:t>
      </w:r>
    </w:p>
    <w:sectPr>
      <w:footerReference r:id="rId8" w:type="first"/>
      <w:footerReference r:id="rId7" w:type="default"/>
      <w:pgSz w:w="11906" w:h="16838"/>
      <w:pgMar w:top="1418" w:right="1418" w:bottom="1021"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martSimSun">
    <w:panose1 w:val="02010600030101010101"/>
    <w:charset w:val="86"/>
    <w:family w:val="auto"/>
    <w:pitch w:val="default"/>
    <w:sig w:usb0="00000003" w:usb1="080E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32E9E">
    <w:pPr>
      <w:pStyle w:val="15"/>
      <w:tabs>
        <w:tab w:val="center" w:pos="453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08419">
    <w:pPr>
      <w:pStyle w:val="15"/>
      <w:tabs>
        <w:tab w:val="center" w:pos="4535"/>
        <w:tab w:val="clear" w:pos="4153"/>
      </w:tabs>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3342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6133429">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AC564">
    <w:pPr>
      <w:pStyle w:val="15"/>
      <w:tabs>
        <w:tab w:val="center" w:pos="4535"/>
        <w:tab w:val="clear" w:pos="4153"/>
      </w:tabs>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31DE3">
                          <w:pPr>
                            <w:pStyle w:val="1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5331DE3">
                    <w:pPr>
                      <w:pStyle w:val="1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BF3EA">
    <w:pPr>
      <w:pStyle w:val="15"/>
      <w:tabs>
        <w:tab w:val="center" w:pos="4535"/>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BBCAA">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6EBBCAA">
                    <w:pPr>
                      <w:pStyle w:val="15"/>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66E6B">
    <w:pPr>
      <w:pStyle w:val="15"/>
      <w:tabs>
        <w:tab w:val="center" w:pos="4535"/>
        <w:tab w:val="clear" w:pos="4153"/>
      </w:tabs>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3699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863699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C6872">
    <w:pPr>
      <w:pStyle w:val="15"/>
      <w:jc w:val="both"/>
      <w:rPr>
        <w:rFonts w:hint="default"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9A4D4">
                          <w:pPr>
                            <w:pStyle w:val="1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769A4D4">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17EF1"/>
    <w:multiLevelType w:val="singleLevel"/>
    <w:tmpl w:val="F7917EF1"/>
    <w:lvl w:ilvl="0" w:tentative="0">
      <w:start w:val="3"/>
      <w:numFmt w:val="decimal"/>
      <w:suff w:val="nothing"/>
      <w:lvlText w:val="%1、"/>
      <w:lvlJc w:val="left"/>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abstractNum w:abstractNumId="2">
    <w:nsid w:val="00000005"/>
    <w:multiLevelType w:val="multilevel"/>
    <w:tmpl w:val="00000005"/>
    <w:lvl w:ilvl="0" w:tentative="0">
      <w:start w:val="1"/>
      <w:numFmt w:val="chineseCountingThousand"/>
      <w:lvlText w:val="第%1条"/>
      <w:lvlJc w:val="left"/>
      <w:pPr>
        <w:tabs>
          <w:tab w:val="left" w:pos="958"/>
        </w:tabs>
        <w:ind w:left="0" w:firstLine="567"/>
      </w:pPr>
      <w:rPr>
        <w:rFonts w:hint="eastAsia" w:ascii="宋体" w:hAnsi="宋体" w:eastAsia="宋体"/>
        <w:b/>
        <w:i w:val="0"/>
        <w:sz w:val="21"/>
        <w:szCs w:val="21"/>
        <w:lang w:val="en-US"/>
      </w:rPr>
    </w:lvl>
    <w:lvl w:ilvl="1" w:tentative="0">
      <w:start w:val="1"/>
      <w:numFmt w:val="decimal"/>
      <w:lvlText w:val="%2."/>
      <w:lvlJc w:val="left"/>
      <w:pPr>
        <w:tabs>
          <w:tab w:val="left" w:pos="840"/>
        </w:tabs>
        <w:ind w:left="840" w:hanging="420"/>
      </w:pPr>
      <w:rPr>
        <w:rFonts w:hint="eastAsia"/>
        <w:b/>
      </w:rPr>
    </w:lvl>
    <w:lvl w:ilvl="2" w:tentative="0">
      <w:start w:val="3"/>
      <w:numFmt w:val="japaneseCounting"/>
      <w:lvlText w:val="第%3条"/>
      <w:lvlJc w:val="left"/>
      <w:pPr>
        <w:tabs>
          <w:tab w:val="left" w:pos="2115"/>
        </w:tabs>
        <w:ind w:left="2115" w:hanging="1275"/>
      </w:pPr>
      <w:rPr>
        <w:rFonts w:hint="default"/>
        <w:b/>
        <w:sz w:val="32"/>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7"/>
    <w:multiLevelType w:val="multilevel"/>
    <w:tmpl w:val="00000007"/>
    <w:lvl w:ilvl="0" w:tentative="0">
      <w:start w:val="1"/>
      <w:numFmt w:val="chineseCountingThousand"/>
      <w:lvlText w:val="(%1)"/>
      <w:lvlJc w:val="left"/>
      <w:pPr>
        <w:tabs>
          <w:tab w:val="left" w:pos="980"/>
        </w:tabs>
        <w:ind w:left="0" w:firstLine="5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9AFB18"/>
    <w:multiLevelType w:val="singleLevel"/>
    <w:tmpl w:val="009AFB18"/>
    <w:lvl w:ilvl="0" w:tentative="0">
      <w:start w:val="1"/>
      <w:numFmt w:val="decimal"/>
      <w:suff w:val="nothing"/>
      <w:lvlText w:val="（%1）"/>
      <w:lvlJc w:val="left"/>
    </w:lvl>
  </w:abstractNum>
  <w:abstractNum w:abstractNumId="5">
    <w:nsid w:val="0FB544A0"/>
    <w:multiLevelType w:val="singleLevel"/>
    <w:tmpl w:val="0FB544A0"/>
    <w:lvl w:ilvl="0" w:tentative="0">
      <w:start w:val="2"/>
      <w:numFmt w:val="decimal"/>
      <w:suff w:val="nothing"/>
      <w:lvlText w:val="（%1）"/>
      <w:lvlJc w:val="left"/>
    </w:lvl>
  </w:abstractNum>
  <w:abstractNum w:abstractNumId="6">
    <w:nsid w:val="243427F5"/>
    <w:multiLevelType w:val="singleLevel"/>
    <w:tmpl w:val="243427F5"/>
    <w:lvl w:ilvl="0" w:tentative="0">
      <w:start w:val="4"/>
      <w:numFmt w:val="chineseCounting"/>
      <w:suff w:val="nothing"/>
      <w:lvlText w:val="%1、"/>
      <w:lvlJc w:val="left"/>
      <w:rPr>
        <w:rFonts w:hint="eastAsia"/>
        <w:b/>
        <w:bCs/>
      </w:rPr>
    </w:lvl>
  </w:abstractNum>
  <w:abstractNum w:abstractNumId="7">
    <w:nsid w:val="45C154E6"/>
    <w:multiLevelType w:val="singleLevel"/>
    <w:tmpl w:val="45C154E6"/>
    <w:lvl w:ilvl="0" w:tentative="0">
      <w:start w:val="3"/>
      <w:numFmt w:val="chineseCounting"/>
      <w:suff w:val="space"/>
      <w:lvlText w:val="第%1章"/>
      <w:lvlJc w:val="left"/>
      <w:rPr>
        <w:rFonts w:hint="eastAsia"/>
      </w:rPr>
    </w:lvl>
  </w:abstractNum>
  <w:num w:numId="1">
    <w:abstractNumId w:val="1"/>
  </w:num>
  <w:num w:numId="2">
    <w:abstractNumId w:val="6"/>
  </w:num>
  <w:num w:numId="3">
    <w:abstractNumId w:val="5"/>
  </w:num>
  <w:num w:numId="4">
    <w:abstractNumId w:val="0"/>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yNGY0Yjg5MjVmNTAyMDVlZjcxMjBmYTQ3Y2JmNmEifQ=="/>
  </w:docVars>
  <w:rsids>
    <w:rsidRoot w:val="00724915"/>
    <w:rsid w:val="000003A6"/>
    <w:rsid w:val="0000051E"/>
    <w:rsid w:val="0000324E"/>
    <w:rsid w:val="00003366"/>
    <w:rsid w:val="00007D98"/>
    <w:rsid w:val="00013E33"/>
    <w:rsid w:val="00020545"/>
    <w:rsid w:val="0002229C"/>
    <w:rsid w:val="00024664"/>
    <w:rsid w:val="00025736"/>
    <w:rsid w:val="0003148D"/>
    <w:rsid w:val="000426AD"/>
    <w:rsid w:val="00043429"/>
    <w:rsid w:val="00044F4A"/>
    <w:rsid w:val="00051209"/>
    <w:rsid w:val="00055DBB"/>
    <w:rsid w:val="00056611"/>
    <w:rsid w:val="00060856"/>
    <w:rsid w:val="000667E7"/>
    <w:rsid w:val="00070FAF"/>
    <w:rsid w:val="00074C34"/>
    <w:rsid w:val="00075254"/>
    <w:rsid w:val="00081751"/>
    <w:rsid w:val="00086BD8"/>
    <w:rsid w:val="00087D6B"/>
    <w:rsid w:val="00092BB5"/>
    <w:rsid w:val="000949B1"/>
    <w:rsid w:val="000A1C74"/>
    <w:rsid w:val="000A68C2"/>
    <w:rsid w:val="000B1AD1"/>
    <w:rsid w:val="000B2D80"/>
    <w:rsid w:val="000B46BA"/>
    <w:rsid w:val="000B5720"/>
    <w:rsid w:val="000B5E50"/>
    <w:rsid w:val="000C0989"/>
    <w:rsid w:val="000D4DE5"/>
    <w:rsid w:val="000E003F"/>
    <w:rsid w:val="000F2A55"/>
    <w:rsid w:val="000F5D26"/>
    <w:rsid w:val="000F7B12"/>
    <w:rsid w:val="001001DB"/>
    <w:rsid w:val="00113A0D"/>
    <w:rsid w:val="00113B9D"/>
    <w:rsid w:val="00115D7C"/>
    <w:rsid w:val="00117FDB"/>
    <w:rsid w:val="00127F84"/>
    <w:rsid w:val="00130438"/>
    <w:rsid w:val="00134A0A"/>
    <w:rsid w:val="00141071"/>
    <w:rsid w:val="00151F7D"/>
    <w:rsid w:val="00154834"/>
    <w:rsid w:val="001552C4"/>
    <w:rsid w:val="00156423"/>
    <w:rsid w:val="00161A52"/>
    <w:rsid w:val="0016449D"/>
    <w:rsid w:val="00180006"/>
    <w:rsid w:val="001804F7"/>
    <w:rsid w:val="00180FCA"/>
    <w:rsid w:val="00184C52"/>
    <w:rsid w:val="00185BEA"/>
    <w:rsid w:val="001909C5"/>
    <w:rsid w:val="00193AAA"/>
    <w:rsid w:val="001A4329"/>
    <w:rsid w:val="001B0AED"/>
    <w:rsid w:val="001B3221"/>
    <w:rsid w:val="001B645D"/>
    <w:rsid w:val="001B7F77"/>
    <w:rsid w:val="001C06F7"/>
    <w:rsid w:val="001C0B2E"/>
    <w:rsid w:val="001C59CB"/>
    <w:rsid w:val="001D0D4A"/>
    <w:rsid w:val="001D4321"/>
    <w:rsid w:val="001D6174"/>
    <w:rsid w:val="001F0D75"/>
    <w:rsid w:val="001F3239"/>
    <w:rsid w:val="001F6774"/>
    <w:rsid w:val="00207725"/>
    <w:rsid w:val="00212C5F"/>
    <w:rsid w:val="00214CB1"/>
    <w:rsid w:val="00215290"/>
    <w:rsid w:val="00221D04"/>
    <w:rsid w:val="0022519E"/>
    <w:rsid w:val="00230E79"/>
    <w:rsid w:val="002311E8"/>
    <w:rsid w:val="00237B10"/>
    <w:rsid w:val="0024294F"/>
    <w:rsid w:val="00244C87"/>
    <w:rsid w:val="00253910"/>
    <w:rsid w:val="00254D37"/>
    <w:rsid w:val="00255A21"/>
    <w:rsid w:val="00273B7D"/>
    <w:rsid w:val="00283E2A"/>
    <w:rsid w:val="002840CD"/>
    <w:rsid w:val="00287336"/>
    <w:rsid w:val="002927D1"/>
    <w:rsid w:val="002A12BB"/>
    <w:rsid w:val="002A1EC8"/>
    <w:rsid w:val="002A45E5"/>
    <w:rsid w:val="002A4890"/>
    <w:rsid w:val="002A5402"/>
    <w:rsid w:val="002A696C"/>
    <w:rsid w:val="002A69AC"/>
    <w:rsid w:val="002B6C33"/>
    <w:rsid w:val="002C1A61"/>
    <w:rsid w:val="002C1DFE"/>
    <w:rsid w:val="002C6341"/>
    <w:rsid w:val="002D079A"/>
    <w:rsid w:val="002D0AF0"/>
    <w:rsid w:val="002D2AF9"/>
    <w:rsid w:val="002D5636"/>
    <w:rsid w:val="002E1703"/>
    <w:rsid w:val="002E6AA4"/>
    <w:rsid w:val="002E7311"/>
    <w:rsid w:val="002E7E1C"/>
    <w:rsid w:val="002F0A5A"/>
    <w:rsid w:val="002F661C"/>
    <w:rsid w:val="002F76B7"/>
    <w:rsid w:val="003026C1"/>
    <w:rsid w:val="00302EFA"/>
    <w:rsid w:val="003065ED"/>
    <w:rsid w:val="00306F8F"/>
    <w:rsid w:val="00311144"/>
    <w:rsid w:val="0031563D"/>
    <w:rsid w:val="0031626B"/>
    <w:rsid w:val="00317F70"/>
    <w:rsid w:val="0032137F"/>
    <w:rsid w:val="00327375"/>
    <w:rsid w:val="00327E84"/>
    <w:rsid w:val="0033363B"/>
    <w:rsid w:val="0033794C"/>
    <w:rsid w:val="00350C47"/>
    <w:rsid w:val="00360A96"/>
    <w:rsid w:val="00360CCB"/>
    <w:rsid w:val="00361D68"/>
    <w:rsid w:val="00367146"/>
    <w:rsid w:val="003726CE"/>
    <w:rsid w:val="003729BD"/>
    <w:rsid w:val="003738FA"/>
    <w:rsid w:val="003779BA"/>
    <w:rsid w:val="003830E6"/>
    <w:rsid w:val="00385101"/>
    <w:rsid w:val="00385A8C"/>
    <w:rsid w:val="00390E90"/>
    <w:rsid w:val="00394057"/>
    <w:rsid w:val="0039603F"/>
    <w:rsid w:val="003A143B"/>
    <w:rsid w:val="003A3736"/>
    <w:rsid w:val="003A3DEC"/>
    <w:rsid w:val="003A5D32"/>
    <w:rsid w:val="003B7421"/>
    <w:rsid w:val="003C68DC"/>
    <w:rsid w:val="003D0B52"/>
    <w:rsid w:val="003D3BBE"/>
    <w:rsid w:val="003D4890"/>
    <w:rsid w:val="003E1E68"/>
    <w:rsid w:val="003E26E0"/>
    <w:rsid w:val="003F7D3A"/>
    <w:rsid w:val="0041176C"/>
    <w:rsid w:val="004200D0"/>
    <w:rsid w:val="00430953"/>
    <w:rsid w:val="00431263"/>
    <w:rsid w:val="00431C98"/>
    <w:rsid w:val="00440784"/>
    <w:rsid w:val="00440CDB"/>
    <w:rsid w:val="0044481B"/>
    <w:rsid w:val="004467BE"/>
    <w:rsid w:val="004618B4"/>
    <w:rsid w:val="00462F46"/>
    <w:rsid w:val="00462FC7"/>
    <w:rsid w:val="004633F1"/>
    <w:rsid w:val="00465A2B"/>
    <w:rsid w:val="00467F69"/>
    <w:rsid w:val="00473DF0"/>
    <w:rsid w:val="00493B85"/>
    <w:rsid w:val="00497078"/>
    <w:rsid w:val="004A038D"/>
    <w:rsid w:val="004A0DB2"/>
    <w:rsid w:val="004A263F"/>
    <w:rsid w:val="004A571A"/>
    <w:rsid w:val="004A755F"/>
    <w:rsid w:val="004B1253"/>
    <w:rsid w:val="004B3075"/>
    <w:rsid w:val="004B32F6"/>
    <w:rsid w:val="004B6BD2"/>
    <w:rsid w:val="004C03D4"/>
    <w:rsid w:val="004C2725"/>
    <w:rsid w:val="004C2A0E"/>
    <w:rsid w:val="004D6155"/>
    <w:rsid w:val="004E21F9"/>
    <w:rsid w:val="004E2B93"/>
    <w:rsid w:val="004E6013"/>
    <w:rsid w:val="004F0BEF"/>
    <w:rsid w:val="004F7804"/>
    <w:rsid w:val="00500B62"/>
    <w:rsid w:val="00500C71"/>
    <w:rsid w:val="00501C1F"/>
    <w:rsid w:val="005051D5"/>
    <w:rsid w:val="005146C2"/>
    <w:rsid w:val="005165DD"/>
    <w:rsid w:val="00516601"/>
    <w:rsid w:val="005275A9"/>
    <w:rsid w:val="00527DEE"/>
    <w:rsid w:val="00530E1B"/>
    <w:rsid w:val="00532138"/>
    <w:rsid w:val="005324CD"/>
    <w:rsid w:val="005367E9"/>
    <w:rsid w:val="005419D4"/>
    <w:rsid w:val="00542150"/>
    <w:rsid w:val="005438FF"/>
    <w:rsid w:val="0055610F"/>
    <w:rsid w:val="005565CE"/>
    <w:rsid w:val="00560932"/>
    <w:rsid w:val="00563F2D"/>
    <w:rsid w:val="00567F3C"/>
    <w:rsid w:val="005719FA"/>
    <w:rsid w:val="005748F4"/>
    <w:rsid w:val="00580C24"/>
    <w:rsid w:val="00583FEF"/>
    <w:rsid w:val="005872F9"/>
    <w:rsid w:val="00592D6A"/>
    <w:rsid w:val="0059485C"/>
    <w:rsid w:val="005B1E9B"/>
    <w:rsid w:val="005B7183"/>
    <w:rsid w:val="005C0B2E"/>
    <w:rsid w:val="005C20DC"/>
    <w:rsid w:val="005C6579"/>
    <w:rsid w:val="005D1301"/>
    <w:rsid w:val="005D77B2"/>
    <w:rsid w:val="005E1F31"/>
    <w:rsid w:val="005E52D0"/>
    <w:rsid w:val="005F3BA5"/>
    <w:rsid w:val="005F3D45"/>
    <w:rsid w:val="005F7C2E"/>
    <w:rsid w:val="00602ECA"/>
    <w:rsid w:val="006045C2"/>
    <w:rsid w:val="006102AD"/>
    <w:rsid w:val="00610B29"/>
    <w:rsid w:val="0061343A"/>
    <w:rsid w:val="00621DDC"/>
    <w:rsid w:val="006324DA"/>
    <w:rsid w:val="00634E8D"/>
    <w:rsid w:val="00637524"/>
    <w:rsid w:val="00640053"/>
    <w:rsid w:val="006400F5"/>
    <w:rsid w:val="00640D47"/>
    <w:rsid w:val="0064578A"/>
    <w:rsid w:val="00654F65"/>
    <w:rsid w:val="00657A4B"/>
    <w:rsid w:val="00664BD5"/>
    <w:rsid w:val="00667FEC"/>
    <w:rsid w:val="00672A62"/>
    <w:rsid w:val="0067606E"/>
    <w:rsid w:val="006827FF"/>
    <w:rsid w:val="006863B1"/>
    <w:rsid w:val="006A1A05"/>
    <w:rsid w:val="006A23C2"/>
    <w:rsid w:val="006A3EA3"/>
    <w:rsid w:val="006A421E"/>
    <w:rsid w:val="006A593E"/>
    <w:rsid w:val="006B4320"/>
    <w:rsid w:val="006B4685"/>
    <w:rsid w:val="006B536C"/>
    <w:rsid w:val="006C089A"/>
    <w:rsid w:val="006C3F80"/>
    <w:rsid w:val="006C468B"/>
    <w:rsid w:val="006C6EC2"/>
    <w:rsid w:val="006C79BB"/>
    <w:rsid w:val="006D1303"/>
    <w:rsid w:val="006D17C4"/>
    <w:rsid w:val="006D6F27"/>
    <w:rsid w:val="006D7382"/>
    <w:rsid w:val="006E078A"/>
    <w:rsid w:val="006E4584"/>
    <w:rsid w:val="006E76D1"/>
    <w:rsid w:val="006E7B43"/>
    <w:rsid w:val="006F1809"/>
    <w:rsid w:val="006F413A"/>
    <w:rsid w:val="006F70B2"/>
    <w:rsid w:val="00700715"/>
    <w:rsid w:val="0070074E"/>
    <w:rsid w:val="0072125B"/>
    <w:rsid w:val="00724915"/>
    <w:rsid w:val="00727C79"/>
    <w:rsid w:val="007347CB"/>
    <w:rsid w:val="00736539"/>
    <w:rsid w:val="00742C3A"/>
    <w:rsid w:val="00754CEE"/>
    <w:rsid w:val="00755CFC"/>
    <w:rsid w:val="00761578"/>
    <w:rsid w:val="00762C91"/>
    <w:rsid w:val="0076409D"/>
    <w:rsid w:val="00767D25"/>
    <w:rsid w:val="00767E84"/>
    <w:rsid w:val="00770A79"/>
    <w:rsid w:val="00772906"/>
    <w:rsid w:val="00774F1D"/>
    <w:rsid w:val="00776455"/>
    <w:rsid w:val="00777A7E"/>
    <w:rsid w:val="007819A3"/>
    <w:rsid w:val="00782938"/>
    <w:rsid w:val="00783A5F"/>
    <w:rsid w:val="00786CB4"/>
    <w:rsid w:val="0079229E"/>
    <w:rsid w:val="00793F1C"/>
    <w:rsid w:val="007A1519"/>
    <w:rsid w:val="007A3D13"/>
    <w:rsid w:val="007B2EAD"/>
    <w:rsid w:val="007B4CD1"/>
    <w:rsid w:val="007C2DA3"/>
    <w:rsid w:val="007C2E8F"/>
    <w:rsid w:val="007C7FB6"/>
    <w:rsid w:val="007D30A6"/>
    <w:rsid w:val="007D7D48"/>
    <w:rsid w:val="007E50AB"/>
    <w:rsid w:val="007E7B38"/>
    <w:rsid w:val="007F3188"/>
    <w:rsid w:val="007F603B"/>
    <w:rsid w:val="008021D2"/>
    <w:rsid w:val="008030AE"/>
    <w:rsid w:val="008210D2"/>
    <w:rsid w:val="00825347"/>
    <w:rsid w:val="00830922"/>
    <w:rsid w:val="00834011"/>
    <w:rsid w:val="00834B5A"/>
    <w:rsid w:val="00835089"/>
    <w:rsid w:val="00835939"/>
    <w:rsid w:val="00841EDE"/>
    <w:rsid w:val="00843AFE"/>
    <w:rsid w:val="00845A48"/>
    <w:rsid w:val="00845FF2"/>
    <w:rsid w:val="00846231"/>
    <w:rsid w:val="008504EC"/>
    <w:rsid w:val="00850DE3"/>
    <w:rsid w:val="0086369E"/>
    <w:rsid w:val="00865D09"/>
    <w:rsid w:val="00867815"/>
    <w:rsid w:val="00870DBC"/>
    <w:rsid w:val="00871404"/>
    <w:rsid w:val="00875CDF"/>
    <w:rsid w:val="008768DB"/>
    <w:rsid w:val="00876D55"/>
    <w:rsid w:val="00876E34"/>
    <w:rsid w:val="00882E9C"/>
    <w:rsid w:val="00883B60"/>
    <w:rsid w:val="00890814"/>
    <w:rsid w:val="00891172"/>
    <w:rsid w:val="0089268F"/>
    <w:rsid w:val="00893616"/>
    <w:rsid w:val="00895941"/>
    <w:rsid w:val="00895DA9"/>
    <w:rsid w:val="008A29B2"/>
    <w:rsid w:val="008A2A1F"/>
    <w:rsid w:val="008A325B"/>
    <w:rsid w:val="008A5608"/>
    <w:rsid w:val="008A7E2E"/>
    <w:rsid w:val="008B72F1"/>
    <w:rsid w:val="008B7F9B"/>
    <w:rsid w:val="008C2E26"/>
    <w:rsid w:val="008D07F7"/>
    <w:rsid w:val="008D284B"/>
    <w:rsid w:val="008D54A3"/>
    <w:rsid w:val="008E18A1"/>
    <w:rsid w:val="008E349D"/>
    <w:rsid w:val="008E57DE"/>
    <w:rsid w:val="008F0CCE"/>
    <w:rsid w:val="008F5961"/>
    <w:rsid w:val="00907071"/>
    <w:rsid w:val="009075CE"/>
    <w:rsid w:val="0091026F"/>
    <w:rsid w:val="00915A10"/>
    <w:rsid w:val="0092015E"/>
    <w:rsid w:val="009205C1"/>
    <w:rsid w:val="00925359"/>
    <w:rsid w:val="00930401"/>
    <w:rsid w:val="00935568"/>
    <w:rsid w:val="009359A3"/>
    <w:rsid w:val="00936B34"/>
    <w:rsid w:val="009415A4"/>
    <w:rsid w:val="0095342E"/>
    <w:rsid w:val="00955AB6"/>
    <w:rsid w:val="00955C5D"/>
    <w:rsid w:val="009611FD"/>
    <w:rsid w:val="00962794"/>
    <w:rsid w:val="00962FE0"/>
    <w:rsid w:val="009666B1"/>
    <w:rsid w:val="00967793"/>
    <w:rsid w:val="00970C2D"/>
    <w:rsid w:val="00973692"/>
    <w:rsid w:val="00975C55"/>
    <w:rsid w:val="00976FDD"/>
    <w:rsid w:val="00980AF6"/>
    <w:rsid w:val="009818B9"/>
    <w:rsid w:val="00982355"/>
    <w:rsid w:val="00984071"/>
    <w:rsid w:val="0099088B"/>
    <w:rsid w:val="00993B83"/>
    <w:rsid w:val="009944EA"/>
    <w:rsid w:val="00995FDA"/>
    <w:rsid w:val="009A0AD3"/>
    <w:rsid w:val="009A1C59"/>
    <w:rsid w:val="009A2DC0"/>
    <w:rsid w:val="009A3186"/>
    <w:rsid w:val="009A38D0"/>
    <w:rsid w:val="009B5947"/>
    <w:rsid w:val="009B68D8"/>
    <w:rsid w:val="009B75CC"/>
    <w:rsid w:val="009C08BD"/>
    <w:rsid w:val="009D6E91"/>
    <w:rsid w:val="009E10C3"/>
    <w:rsid w:val="009E195B"/>
    <w:rsid w:val="009E41E6"/>
    <w:rsid w:val="009E4CD0"/>
    <w:rsid w:val="009E5519"/>
    <w:rsid w:val="009E7D38"/>
    <w:rsid w:val="009F0166"/>
    <w:rsid w:val="009F29AB"/>
    <w:rsid w:val="009F5AA5"/>
    <w:rsid w:val="009F5B74"/>
    <w:rsid w:val="009F6E63"/>
    <w:rsid w:val="009F73F0"/>
    <w:rsid w:val="00A023A0"/>
    <w:rsid w:val="00A02A7A"/>
    <w:rsid w:val="00A108B6"/>
    <w:rsid w:val="00A22973"/>
    <w:rsid w:val="00A23EC8"/>
    <w:rsid w:val="00A32C66"/>
    <w:rsid w:val="00A33E46"/>
    <w:rsid w:val="00A35DEF"/>
    <w:rsid w:val="00A409F0"/>
    <w:rsid w:val="00A4220A"/>
    <w:rsid w:val="00A423CA"/>
    <w:rsid w:val="00A42C74"/>
    <w:rsid w:val="00A44706"/>
    <w:rsid w:val="00A46881"/>
    <w:rsid w:val="00A4797D"/>
    <w:rsid w:val="00A5103E"/>
    <w:rsid w:val="00A52764"/>
    <w:rsid w:val="00A528BF"/>
    <w:rsid w:val="00A57478"/>
    <w:rsid w:val="00A602BE"/>
    <w:rsid w:val="00A61F21"/>
    <w:rsid w:val="00A626F7"/>
    <w:rsid w:val="00A64646"/>
    <w:rsid w:val="00A65F64"/>
    <w:rsid w:val="00A738A0"/>
    <w:rsid w:val="00A747D7"/>
    <w:rsid w:val="00A77164"/>
    <w:rsid w:val="00A77EB7"/>
    <w:rsid w:val="00A81985"/>
    <w:rsid w:val="00A924B7"/>
    <w:rsid w:val="00A92E20"/>
    <w:rsid w:val="00A9353F"/>
    <w:rsid w:val="00A97AE3"/>
    <w:rsid w:val="00A97E8C"/>
    <w:rsid w:val="00AA60F1"/>
    <w:rsid w:val="00AA62AF"/>
    <w:rsid w:val="00AA6779"/>
    <w:rsid w:val="00AA6911"/>
    <w:rsid w:val="00AB1205"/>
    <w:rsid w:val="00AC069B"/>
    <w:rsid w:val="00AD2870"/>
    <w:rsid w:val="00AD4E6A"/>
    <w:rsid w:val="00AE4974"/>
    <w:rsid w:val="00AF22FB"/>
    <w:rsid w:val="00AF5222"/>
    <w:rsid w:val="00AF5AD3"/>
    <w:rsid w:val="00AF6705"/>
    <w:rsid w:val="00B01DE7"/>
    <w:rsid w:val="00B0263D"/>
    <w:rsid w:val="00B0471B"/>
    <w:rsid w:val="00B1469E"/>
    <w:rsid w:val="00B16A6A"/>
    <w:rsid w:val="00B16D12"/>
    <w:rsid w:val="00B175F0"/>
    <w:rsid w:val="00B252F2"/>
    <w:rsid w:val="00B30E8C"/>
    <w:rsid w:val="00B32696"/>
    <w:rsid w:val="00B33D07"/>
    <w:rsid w:val="00B34BF5"/>
    <w:rsid w:val="00B35B82"/>
    <w:rsid w:val="00B413EB"/>
    <w:rsid w:val="00B4446E"/>
    <w:rsid w:val="00B53A46"/>
    <w:rsid w:val="00B542F2"/>
    <w:rsid w:val="00B5658E"/>
    <w:rsid w:val="00B6032D"/>
    <w:rsid w:val="00B6400D"/>
    <w:rsid w:val="00B65B6F"/>
    <w:rsid w:val="00B65DB5"/>
    <w:rsid w:val="00B73915"/>
    <w:rsid w:val="00B75C2F"/>
    <w:rsid w:val="00B8738C"/>
    <w:rsid w:val="00B91858"/>
    <w:rsid w:val="00B92466"/>
    <w:rsid w:val="00B92667"/>
    <w:rsid w:val="00B9375B"/>
    <w:rsid w:val="00B940AF"/>
    <w:rsid w:val="00BA1F79"/>
    <w:rsid w:val="00BA39A0"/>
    <w:rsid w:val="00BA7A09"/>
    <w:rsid w:val="00BB337F"/>
    <w:rsid w:val="00BB4370"/>
    <w:rsid w:val="00BC1C4C"/>
    <w:rsid w:val="00BC46B6"/>
    <w:rsid w:val="00BC7A2B"/>
    <w:rsid w:val="00BD39CF"/>
    <w:rsid w:val="00BD3E66"/>
    <w:rsid w:val="00BD527F"/>
    <w:rsid w:val="00BE0CEC"/>
    <w:rsid w:val="00BE3542"/>
    <w:rsid w:val="00BF219C"/>
    <w:rsid w:val="00BF2D88"/>
    <w:rsid w:val="00C0294B"/>
    <w:rsid w:val="00C13760"/>
    <w:rsid w:val="00C25650"/>
    <w:rsid w:val="00C259B5"/>
    <w:rsid w:val="00C31C65"/>
    <w:rsid w:val="00C40AF2"/>
    <w:rsid w:val="00C44BE3"/>
    <w:rsid w:val="00C46A7A"/>
    <w:rsid w:val="00C56337"/>
    <w:rsid w:val="00C61B05"/>
    <w:rsid w:val="00C731B3"/>
    <w:rsid w:val="00C83078"/>
    <w:rsid w:val="00C90CFD"/>
    <w:rsid w:val="00C93BE4"/>
    <w:rsid w:val="00C964AC"/>
    <w:rsid w:val="00C97DAD"/>
    <w:rsid w:val="00CA01A9"/>
    <w:rsid w:val="00CA0362"/>
    <w:rsid w:val="00CA2E1F"/>
    <w:rsid w:val="00CB5942"/>
    <w:rsid w:val="00CB66F7"/>
    <w:rsid w:val="00CC0C27"/>
    <w:rsid w:val="00CC158C"/>
    <w:rsid w:val="00CC57DD"/>
    <w:rsid w:val="00CD1D55"/>
    <w:rsid w:val="00CD28A0"/>
    <w:rsid w:val="00CD29E0"/>
    <w:rsid w:val="00CD2B2D"/>
    <w:rsid w:val="00CD4591"/>
    <w:rsid w:val="00CE4006"/>
    <w:rsid w:val="00CE4DB2"/>
    <w:rsid w:val="00CE64DA"/>
    <w:rsid w:val="00CF5A89"/>
    <w:rsid w:val="00D02BCE"/>
    <w:rsid w:val="00D0557F"/>
    <w:rsid w:val="00D10B46"/>
    <w:rsid w:val="00D11FE2"/>
    <w:rsid w:val="00D218C7"/>
    <w:rsid w:val="00D31F55"/>
    <w:rsid w:val="00D37EA9"/>
    <w:rsid w:val="00D40AF6"/>
    <w:rsid w:val="00D4212E"/>
    <w:rsid w:val="00D427A5"/>
    <w:rsid w:val="00D504F1"/>
    <w:rsid w:val="00D52657"/>
    <w:rsid w:val="00D6034E"/>
    <w:rsid w:val="00D60F4A"/>
    <w:rsid w:val="00D65E8D"/>
    <w:rsid w:val="00D668BA"/>
    <w:rsid w:val="00D75DAB"/>
    <w:rsid w:val="00D81122"/>
    <w:rsid w:val="00D82567"/>
    <w:rsid w:val="00D837A0"/>
    <w:rsid w:val="00D866FB"/>
    <w:rsid w:val="00D902FE"/>
    <w:rsid w:val="00DA26B6"/>
    <w:rsid w:val="00DA32E1"/>
    <w:rsid w:val="00DA3A08"/>
    <w:rsid w:val="00DA4E74"/>
    <w:rsid w:val="00DA51CD"/>
    <w:rsid w:val="00DA70CF"/>
    <w:rsid w:val="00DA7399"/>
    <w:rsid w:val="00DB33BA"/>
    <w:rsid w:val="00DB58CE"/>
    <w:rsid w:val="00DC00D2"/>
    <w:rsid w:val="00DC7CC9"/>
    <w:rsid w:val="00DD336F"/>
    <w:rsid w:val="00DE1A13"/>
    <w:rsid w:val="00DE7AB7"/>
    <w:rsid w:val="00DF1C81"/>
    <w:rsid w:val="00DF6EBF"/>
    <w:rsid w:val="00DF705B"/>
    <w:rsid w:val="00E0639B"/>
    <w:rsid w:val="00E12CCA"/>
    <w:rsid w:val="00E14BA8"/>
    <w:rsid w:val="00E16B5D"/>
    <w:rsid w:val="00E170CC"/>
    <w:rsid w:val="00E17F97"/>
    <w:rsid w:val="00E236FC"/>
    <w:rsid w:val="00E23ACD"/>
    <w:rsid w:val="00E2675F"/>
    <w:rsid w:val="00E31F60"/>
    <w:rsid w:val="00E325D0"/>
    <w:rsid w:val="00E44045"/>
    <w:rsid w:val="00E47A23"/>
    <w:rsid w:val="00E579EE"/>
    <w:rsid w:val="00E64994"/>
    <w:rsid w:val="00E64DED"/>
    <w:rsid w:val="00E67F3B"/>
    <w:rsid w:val="00E70C87"/>
    <w:rsid w:val="00E72E74"/>
    <w:rsid w:val="00E73397"/>
    <w:rsid w:val="00E7381A"/>
    <w:rsid w:val="00E7466B"/>
    <w:rsid w:val="00E75F15"/>
    <w:rsid w:val="00E76A41"/>
    <w:rsid w:val="00E80121"/>
    <w:rsid w:val="00E832F2"/>
    <w:rsid w:val="00E93CA7"/>
    <w:rsid w:val="00E9569D"/>
    <w:rsid w:val="00E979AC"/>
    <w:rsid w:val="00EA7C6D"/>
    <w:rsid w:val="00EB413E"/>
    <w:rsid w:val="00EB7AEF"/>
    <w:rsid w:val="00EC27DE"/>
    <w:rsid w:val="00EC39FD"/>
    <w:rsid w:val="00ED142F"/>
    <w:rsid w:val="00ED1683"/>
    <w:rsid w:val="00ED468A"/>
    <w:rsid w:val="00ED4B3E"/>
    <w:rsid w:val="00ED6CBD"/>
    <w:rsid w:val="00EE0106"/>
    <w:rsid w:val="00EE1814"/>
    <w:rsid w:val="00EE469B"/>
    <w:rsid w:val="00EE5705"/>
    <w:rsid w:val="00EF0333"/>
    <w:rsid w:val="00EF104A"/>
    <w:rsid w:val="00F03BFF"/>
    <w:rsid w:val="00F04133"/>
    <w:rsid w:val="00F06534"/>
    <w:rsid w:val="00F133D4"/>
    <w:rsid w:val="00F17987"/>
    <w:rsid w:val="00F22EE1"/>
    <w:rsid w:val="00F23DF6"/>
    <w:rsid w:val="00F23E1D"/>
    <w:rsid w:val="00F23F9D"/>
    <w:rsid w:val="00F25A26"/>
    <w:rsid w:val="00F354FB"/>
    <w:rsid w:val="00F35784"/>
    <w:rsid w:val="00F35919"/>
    <w:rsid w:val="00F37145"/>
    <w:rsid w:val="00F37BE9"/>
    <w:rsid w:val="00F41057"/>
    <w:rsid w:val="00F478D6"/>
    <w:rsid w:val="00F51992"/>
    <w:rsid w:val="00F54547"/>
    <w:rsid w:val="00F54ABF"/>
    <w:rsid w:val="00F57D0E"/>
    <w:rsid w:val="00F604D4"/>
    <w:rsid w:val="00F67094"/>
    <w:rsid w:val="00F67BA3"/>
    <w:rsid w:val="00F7078A"/>
    <w:rsid w:val="00F74E24"/>
    <w:rsid w:val="00F754D5"/>
    <w:rsid w:val="00F7556A"/>
    <w:rsid w:val="00F7646D"/>
    <w:rsid w:val="00F77762"/>
    <w:rsid w:val="00F874E3"/>
    <w:rsid w:val="00F923AF"/>
    <w:rsid w:val="00F9419A"/>
    <w:rsid w:val="00F956EB"/>
    <w:rsid w:val="00F975A5"/>
    <w:rsid w:val="00FA20B9"/>
    <w:rsid w:val="00FA477F"/>
    <w:rsid w:val="00FB08C9"/>
    <w:rsid w:val="00FB147C"/>
    <w:rsid w:val="00FB38D0"/>
    <w:rsid w:val="00FB3ADC"/>
    <w:rsid w:val="00FB4F5B"/>
    <w:rsid w:val="00FB54D6"/>
    <w:rsid w:val="00FC1DBC"/>
    <w:rsid w:val="00FC225C"/>
    <w:rsid w:val="00FC7EB1"/>
    <w:rsid w:val="00FE29AE"/>
    <w:rsid w:val="00FE55B9"/>
    <w:rsid w:val="00FE7127"/>
    <w:rsid w:val="00FE7537"/>
    <w:rsid w:val="00FE7E5E"/>
    <w:rsid w:val="00FF7322"/>
    <w:rsid w:val="00FF74DC"/>
    <w:rsid w:val="00FF773D"/>
    <w:rsid w:val="01187446"/>
    <w:rsid w:val="011C626C"/>
    <w:rsid w:val="01283295"/>
    <w:rsid w:val="013F259C"/>
    <w:rsid w:val="017D5A58"/>
    <w:rsid w:val="01B83E2F"/>
    <w:rsid w:val="01D465A4"/>
    <w:rsid w:val="01D55AD3"/>
    <w:rsid w:val="02033DFA"/>
    <w:rsid w:val="021F731A"/>
    <w:rsid w:val="02210C06"/>
    <w:rsid w:val="026474EE"/>
    <w:rsid w:val="026F45A7"/>
    <w:rsid w:val="02F95D79"/>
    <w:rsid w:val="03806F86"/>
    <w:rsid w:val="0393416B"/>
    <w:rsid w:val="03ED51F7"/>
    <w:rsid w:val="03F31577"/>
    <w:rsid w:val="042233B1"/>
    <w:rsid w:val="04231491"/>
    <w:rsid w:val="04252E63"/>
    <w:rsid w:val="043471CC"/>
    <w:rsid w:val="04A4175F"/>
    <w:rsid w:val="04C66C1A"/>
    <w:rsid w:val="05062CC2"/>
    <w:rsid w:val="051B1B9F"/>
    <w:rsid w:val="05514E3E"/>
    <w:rsid w:val="05687CD1"/>
    <w:rsid w:val="05720E24"/>
    <w:rsid w:val="058B39C0"/>
    <w:rsid w:val="05D0740A"/>
    <w:rsid w:val="05E44808"/>
    <w:rsid w:val="05F91229"/>
    <w:rsid w:val="060F2843"/>
    <w:rsid w:val="062C58F9"/>
    <w:rsid w:val="06307187"/>
    <w:rsid w:val="067B29CE"/>
    <w:rsid w:val="06AC5F82"/>
    <w:rsid w:val="073C4C17"/>
    <w:rsid w:val="07687181"/>
    <w:rsid w:val="079159A1"/>
    <w:rsid w:val="08740015"/>
    <w:rsid w:val="087D3A94"/>
    <w:rsid w:val="08AF5C17"/>
    <w:rsid w:val="08DB4BA8"/>
    <w:rsid w:val="090F7940"/>
    <w:rsid w:val="09236DC5"/>
    <w:rsid w:val="094A591E"/>
    <w:rsid w:val="097F6FAE"/>
    <w:rsid w:val="09EA163E"/>
    <w:rsid w:val="0A416970"/>
    <w:rsid w:val="0A765D15"/>
    <w:rsid w:val="0A786C09"/>
    <w:rsid w:val="0A850353"/>
    <w:rsid w:val="0AB60A3E"/>
    <w:rsid w:val="0AB64743"/>
    <w:rsid w:val="0ABB08A3"/>
    <w:rsid w:val="0AC736EC"/>
    <w:rsid w:val="0AD651A1"/>
    <w:rsid w:val="0ADA2692"/>
    <w:rsid w:val="0AF949AE"/>
    <w:rsid w:val="0B063EE6"/>
    <w:rsid w:val="0B104B15"/>
    <w:rsid w:val="0B161B3C"/>
    <w:rsid w:val="0B1E4930"/>
    <w:rsid w:val="0B2D2B37"/>
    <w:rsid w:val="0B617938"/>
    <w:rsid w:val="0B922BD0"/>
    <w:rsid w:val="0B951E36"/>
    <w:rsid w:val="0B9A07FC"/>
    <w:rsid w:val="0BB93D26"/>
    <w:rsid w:val="0BEB57DF"/>
    <w:rsid w:val="0BF25F1E"/>
    <w:rsid w:val="0C036249"/>
    <w:rsid w:val="0C605BA6"/>
    <w:rsid w:val="0CC55A18"/>
    <w:rsid w:val="0D2164C5"/>
    <w:rsid w:val="0D387EA7"/>
    <w:rsid w:val="0D3E2172"/>
    <w:rsid w:val="0D4151CC"/>
    <w:rsid w:val="0D6A287C"/>
    <w:rsid w:val="0D926985"/>
    <w:rsid w:val="0D9C30EB"/>
    <w:rsid w:val="0DD203DE"/>
    <w:rsid w:val="0DFE522F"/>
    <w:rsid w:val="0E0F540F"/>
    <w:rsid w:val="0E112E0A"/>
    <w:rsid w:val="0E2D3866"/>
    <w:rsid w:val="0E306C9E"/>
    <w:rsid w:val="0E3552AF"/>
    <w:rsid w:val="0E4427A9"/>
    <w:rsid w:val="0E833DCE"/>
    <w:rsid w:val="0E9D70ED"/>
    <w:rsid w:val="0EBB7EDC"/>
    <w:rsid w:val="0EBC653B"/>
    <w:rsid w:val="0EDD15F6"/>
    <w:rsid w:val="0EED4F91"/>
    <w:rsid w:val="0F037D8A"/>
    <w:rsid w:val="0F19203C"/>
    <w:rsid w:val="0F406633"/>
    <w:rsid w:val="0F4E304F"/>
    <w:rsid w:val="0F526473"/>
    <w:rsid w:val="0F623D0B"/>
    <w:rsid w:val="0F9B1F41"/>
    <w:rsid w:val="0FC1695C"/>
    <w:rsid w:val="0FDC015F"/>
    <w:rsid w:val="10076A7F"/>
    <w:rsid w:val="101747CE"/>
    <w:rsid w:val="1030763E"/>
    <w:rsid w:val="10881212"/>
    <w:rsid w:val="108C3DC5"/>
    <w:rsid w:val="10BC0215"/>
    <w:rsid w:val="10CE1CC4"/>
    <w:rsid w:val="11FB3C6D"/>
    <w:rsid w:val="125E645C"/>
    <w:rsid w:val="125F31C5"/>
    <w:rsid w:val="12A13D28"/>
    <w:rsid w:val="12AB1520"/>
    <w:rsid w:val="12B42F20"/>
    <w:rsid w:val="12CC1D8F"/>
    <w:rsid w:val="137B08F6"/>
    <w:rsid w:val="142C39B8"/>
    <w:rsid w:val="142E1CD0"/>
    <w:rsid w:val="14502A59"/>
    <w:rsid w:val="14A27CFE"/>
    <w:rsid w:val="14AF76CB"/>
    <w:rsid w:val="14B647CD"/>
    <w:rsid w:val="15030BDD"/>
    <w:rsid w:val="15630FC0"/>
    <w:rsid w:val="158C170B"/>
    <w:rsid w:val="15C03E02"/>
    <w:rsid w:val="15EB42F1"/>
    <w:rsid w:val="161C2B3E"/>
    <w:rsid w:val="161E12A7"/>
    <w:rsid w:val="1661096E"/>
    <w:rsid w:val="168B1A72"/>
    <w:rsid w:val="16924BAE"/>
    <w:rsid w:val="16996421"/>
    <w:rsid w:val="16F46D27"/>
    <w:rsid w:val="16FC7E71"/>
    <w:rsid w:val="171E6772"/>
    <w:rsid w:val="174A673C"/>
    <w:rsid w:val="17FE0021"/>
    <w:rsid w:val="184E3F65"/>
    <w:rsid w:val="188C5456"/>
    <w:rsid w:val="18B057C0"/>
    <w:rsid w:val="18B4224D"/>
    <w:rsid w:val="190D15D1"/>
    <w:rsid w:val="19317882"/>
    <w:rsid w:val="19460B99"/>
    <w:rsid w:val="195633B5"/>
    <w:rsid w:val="19D61256"/>
    <w:rsid w:val="19D91F41"/>
    <w:rsid w:val="19D96B46"/>
    <w:rsid w:val="1A91261D"/>
    <w:rsid w:val="1AFB7074"/>
    <w:rsid w:val="1AFD1B4B"/>
    <w:rsid w:val="1B214753"/>
    <w:rsid w:val="1B2C09B3"/>
    <w:rsid w:val="1B2E348B"/>
    <w:rsid w:val="1B326960"/>
    <w:rsid w:val="1B5F00C5"/>
    <w:rsid w:val="1B6B022C"/>
    <w:rsid w:val="1BEA514D"/>
    <w:rsid w:val="1BF81F4D"/>
    <w:rsid w:val="1C154EDE"/>
    <w:rsid w:val="1C2302B3"/>
    <w:rsid w:val="1C950D42"/>
    <w:rsid w:val="1CD30133"/>
    <w:rsid w:val="1CE617B0"/>
    <w:rsid w:val="1D246E3D"/>
    <w:rsid w:val="1D293A6E"/>
    <w:rsid w:val="1D472A99"/>
    <w:rsid w:val="1D7454E4"/>
    <w:rsid w:val="1DA76EE7"/>
    <w:rsid w:val="1DC90A37"/>
    <w:rsid w:val="1DFA7FB2"/>
    <w:rsid w:val="1DFE521F"/>
    <w:rsid w:val="1E0D1F6D"/>
    <w:rsid w:val="1E255266"/>
    <w:rsid w:val="1E3B788C"/>
    <w:rsid w:val="1E7D51AC"/>
    <w:rsid w:val="1E8963F2"/>
    <w:rsid w:val="1E906EE4"/>
    <w:rsid w:val="1ED34268"/>
    <w:rsid w:val="1EFE4140"/>
    <w:rsid w:val="1F111512"/>
    <w:rsid w:val="1F51412B"/>
    <w:rsid w:val="1F7543FA"/>
    <w:rsid w:val="1F963268"/>
    <w:rsid w:val="1FB00FC7"/>
    <w:rsid w:val="1FB23CB9"/>
    <w:rsid w:val="1FF874DF"/>
    <w:rsid w:val="202A4B84"/>
    <w:rsid w:val="204638BE"/>
    <w:rsid w:val="206B04C1"/>
    <w:rsid w:val="20820CAD"/>
    <w:rsid w:val="20964898"/>
    <w:rsid w:val="20F31CA9"/>
    <w:rsid w:val="20F61030"/>
    <w:rsid w:val="20F71718"/>
    <w:rsid w:val="211014F1"/>
    <w:rsid w:val="21232287"/>
    <w:rsid w:val="21393401"/>
    <w:rsid w:val="21494A03"/>
    <w:rsid w:val="215C64E4"/>
    <w:rsid w:val="215F656B"/>
    <w:rsid w:val="2163106E"/>
    <w:rsid w:val="21AF080B"/>
    <w:rsid w:val="21C82A4D"/>
    <w:rsid w:val="21E5041F"/>
    <w:rsid w:val="21E707D6"/>
    <w:rsid w:val="221140A1"/>
    <w:rsid w:val="224401DC"/>
    <w:rsid w:val="22704C39"/>
    <w:rsid w:val="22721D38"/>
    <w:rsid w:val="22CB4246"/>
    <w:rsid w:val="22E20C6B"/>
    <w:rsid w:val="22EB3FC4"/>
    <w:rsid w:val="23040255"/>
    <w:rsid w:val="230512D0"/>
    <w:rsid w:val="230C40A7"/>
    <w:rsid w:val="235E3DF2"/>
    <w:rsid w:val="23633E82"/>
    <w:rsid w:val="236440F0"/>
    <w:rsid w:val="2372726B"/>
    <w:rsid w:val="239006C7"/>
    <w:rsid w:val="24045847"/>
    <w:rsid w:val="24322222"/>
    <w:rsid w:val="244E4916"/>
    <w:rsid w:val="24831FDA"/>
    <w:rsid w:val="24883A94"/>
    <w:rsid w:val="24B77627"/>
    <w:rsid w:val="24DD05AC"/>
    <w:rsid w:val="250A3632"/>
    <w:rsid w:val="2549755C"/>
    <w:rsid w:val="25CE4E4B"/>
    <w:rsid w:val="25D0095F"/>
    <w:rsid w:val="25F74B93"/>
    <w:rsid w:val="267023F7"/>
    <w:rsid w:val="26C568DA"/>
    <w:rsid w:val="26DD66EE"/>
    <w:rsid w:val="274609A9"/>
    <w:rsid w:val="275A3337"/>
    <w:rsid w:val="275D3BB9"/>
    <w:rsid w:val="275E104E"/>
    <w:rsid w:val="27893EC7"/>
    <w:rsid w:val="27910EB2"/>
    <w:rsid w:val="27941CFF"/>
    <w:rsid w:val="27F75BEF"/>
    <w:rsid w:val="28177DC2"/>
    <w:rsid w:val="281B106D"/>
    <w:rsid w:val="28551EE0"/>
    <w:rsid w:val="28776836"/>
    <w:rsid w:val="28902F18"/>
    <w:rsid w:val="28F811E9"/>
    <w:rsid w:val="290D0C94"/>
    <w:rsid w:val="294C7245"/>
    <w:rsid w:val="296C6A09"/>
    <w:rsid w:val="297E5E51"/>
    <w:rsid w:val="29AC12B4"/>
    <w:rsid w:val="29BA109E"/>
    <w:rsid w:val="29C54E43"/>
    <w:rsid w:val="29F47AFC"/>
    <w:rsid w:val="29FA5F08"/>
    <w:rsid w:val="2AAA1BB0"/>
    <w:rsid w:val="2AE76A01"/>
    <w:rsid w:val="2B3F7F48"/>
    <w:rsid w:val="2B77609F"/>
    <w:rsid w:val="2B901C85"/>
    <w:rsid w:val="2BAC504F"/>
    <w:rsid w:val="2BAD76C1"/>
    <w:rsid w:val="2BBE7D9C"/>
    <w:rsid w:val="2BDE22FD"/>
    <w:rsid w:val="2BE87470"/>
    <w:rsid w:val="2BEF546E"/>
    <w:rsid w:val="2BF53250"/>
    <w:rsid w:val="2C060A3E"/>
    <w:rsid w:val="2C18689A"/>
    <w:rsid w:val="2C267886"/>
    <w:rsid w:val="2C271DE5"/>
    <w:rsid w:val="2C2A2FF0"/>
    <w:rsid w:val="2C5F527C"/>
    <w:rsid w:val="2CC06F3C"/>
    <w:rsid w:val="2CE916B2"/>
    <w:rsid w:val="2D262D0F"/>
    <w:rsid w:val="2D2D43D2"/>
    <w:rsid w:val="2D654495"/>
    <w:rsid w:val="2D7E0911"/>
    <w:rsid w:val="2D9B2143"/>
    <w:rsid w:val="2DAD2CC4"/>
    <w:rsid w:val="2DE966DA"/>
    <w:rsid w:val="2E0F19C7"/>
    <w:rsid w:val="2E5F4EFD"/>
    <w:rsid w:val="2E6C1D31"/>
    <w:rsid w:val="2E7B5C02"/>
    <w:rsid w:val="2EB5240C"/>
    <w:rsid w:val="2EBC257E"/>
    <w:rsid w:val="2F300C12"/>
    <w:rsid w:val="2F57653D"/>
    <w:rsid w:val="2F73680E"/>
    <w:rsid w:val="2F754015"/>
    <w:rsid w:val="2F795209"/>
    <w:rsid w:val="2F9B758A"/>
    <w:rsid w:val="2FAC3DB4"/>
    <w:rsid w:val="2FF14CFB"/>
    <w:rsid w:val="304B2C99"/>
    <w:rsid w:val="306D437C"/>
    <w:rsid w:val="30A51685"/>
    <w:rsid w:val="30BD4333"/>
    <w:rsid w:val="30CC4D09"/>
    <w:rsid w:val="30D82A80"/>
    <w:rsid w:val="30E42053"/>
    <w:rsid w:val="31343915"/>
    <w:rsid w:val="314712AD"/>
    <w:rsid w:val="315D44DD"/>
    <w:rsid w:val="3170692B"/>
    <w:rsid w:val="319B2302"/>
    <w:rsid w:val="320B2801"/>
    <w:rsid w:val="321D2A63"/>
    <w:rsid w:val="325C2E18"/>
    <w:rsid w:val="32E263D0"/>
    <w:rsid w:val="33120759"/>
    <w:rsid w:val="331F182B"/>
    <w:rsid w:val="333E16CD"/>
    <w:rsid w:val="33422808"/>
    <w:rsid w:val="334F28D3"/>
    <w:rsid w:val="337B4EF0"/>
    <w:rsid w:val="33844C55"/>
    <w:rsid w:val="33884F17"/>
    <w:rsid w:val="33B83654"/>
    <w:rsid w:val="33BB121F"/>
    <w:rsid w:val="340603BA"/>
    <w:rsid w:val="340B2214"/>
    <w:rsid w:val="34A2774B"/>
    <w:rsid w:val="34A95C2B"/>
    <w:rsid w:val="34BB756E"/>
    <w:rsid w:val="351F18AB"/>
    <w:rsid w:val="354303DC"/>
    <w:rsid w:val="355C3543"/>
    <w:rsid w:val="35674FAD"/>
    <w:rsid w:val="35714DC7"/>
    <w:rsid w:val="359750C8"/>
    <w:rsid w:val="35A770FE"/>
    <w:rsid w:val="35B31902"/>
    <w:rsid w:val="35B5088A"/>
    <w:rsid w:val="35C6684B"/>
    <w:rsid w:val="35F73B70"/>
    <w:rsid w:val="362234A5"/>
    <w:rsid w:val="362E4A4C"/>
    <w:rsid w:val="362E53FC"/>
    <w:rsid w:val="36453593"/>
    <w:rsid w:val="3666655F"/>
    <w:rsid w:val="36670BE6"/>
    <w:rsid w:val="36BB10C8"/>
    <w:rsid w:val="36BD22BD"/>
    <w:rsid w:val="36F558B9"/>
    <w:rsid w:val="371D0F29"/>
    <w:rsid w:val="376637C1"/>
    <w:rsid w:val="37D44BCF"/>
    <w:rsid w:val="38575800"/>
    <w:rsid w:val="38612E62"/>
    <w:rsid w:val="387E4B3B"/>
    <w:rsid w:val="38874FB3"/>
    <w:rsid w:val="388F2857"/>
    <w:rsid w:val="38A07FD8"/>
    <w:rsid w:val="39102AF4"/>
    <w:rsid w:val="3922613E"/>
    <w:rsid w:val="39C56E2D"/>
    <w:rsid w:val="39C65ADF"/>
    <w:rsid w:val="39E92812"/>
    <w:rsid w:val="39F37E96"/>
    <w:rsid w:val="39FE3121"/>
    <w:rsid w:val="3A184B85"/>
    <w:rsid w:val="3A5A54BA"/>
    <w:rsid w:val="3A722701"/>
    <w:rsid w:val="3A79445D"/>
    <w:rsid w:val="3A8B592D"/>
    <w:rsid w:val="3A966D07"/>
    <w:rsid w:val="3AAD6F57"/>
    <w:rsid w:val="3ABB6F06"/>
    <w:rsid w:val="3AC304F7"/>
    <w:rsid w:val="3B1E08A3"/>
    <w:rsid w:val="3BA037CE"/>
    <w:rsid w:val="3BCD02B3"/>
    <w:rsid w:val="3C0A1DF7"/>
    <w:rsid w:val="3C4B6C12"/>
    <w:rsid w:val="3C9F05FA"/>
    <w:rsid w:val="3CFE26EE"/>
    <w:rsid w:val="3D2D020D"/>
    <w:rsid w:val="3D45390C"/>
    <w:rsid w:val="3D600CB3"/>
    <w:rsid w:val="3D6A0606"/>
    <w:rsid w:val="3D7A7002"/>
    <w:rsid w:val="3DBA7C20"/>
    <w:rsid w:val="3DE633A4"/>
    <w:rsid w:val="3E143AEF"/>
    <w:rsid w:val="3E2A3039"/>
    <w:rsid w:val="3E4F7471"/>
    <w:rsid w:val="3E7A3FF6"/>
    <w:rsid w:val="3E95711C"/>
    <w:rsid w:val="3EB9038A"/>
    <w:rsid w:val="3ED76960"/>
    <w:rsid w:val="3F145FAD"/>
    <w:rsid w:val="3F3161E4"/>
    <w:rsid w:val="3F94681B"/>
    <w:rsid w:val="3FA677FC"/>
    <w:rsid w:val="3FF1463D"/>
    <w:rsid w:val="401432FE"/>
    <w:rsid w:val="40170C11"/>
    <w:rsid w:val="40197335"/>
    <w:rsid w:val="40370155"/>
    <w:rsid w:val="4076360E"/>
    <w:rsid w:val="40866223"/>
    <w:rsid w:val="408961BB"/>
    <w:rsid w:val="408D07A3"/>
    <w:rsid w:val="40910204"/>
    <w:rsid w:val="40C813D0"/>
    <w:rsid w:val="40D82A90"/>
    <w:rsid w:val="40E4327F"/>
    <w:rsid w:val="410D72A3"/>
    <w:rsid w:val="41285D80"/>
    <w:rsid w:val="414C3A28"/>
    <w:rsid w:val="419C3073"/>
    <w:rsid w:val="41AA258E"/>
    <w:rsid w:val="41AF045B"/>
    <w:rsid w:val="423B7849"/>
    <w:rsid w:val="42927B60"/>
    <w:rsid w:val="42AE61F3"/>
    <w:rsid w:val="43006F6B"/>
    <w:rsid w:val="433A4FFB"/>
    <w:rsid w:val="433F37FA"/>
    <w:rsid w:val="436A142C"/>
    <w:rsid w:val="43AF1499"/>
    <w:rsid w:val="440320CC"/>
    <w:rsid w:val="441B5933"/>
    <w:rsid w:val="4447075E"/>
    <w:rsid w:val="444C01E3"/>
    <w:rsid w:val="44AE49FA"/>
    <w:rsid w:val="44C10289"/>
    <w:rsid w:val="452A34E8"/>
    <w:rsid w:val="459C7FB6"/>
    <w:rsid w:val="45CA7240"/>
    <w:rsid w:val="45E02BB8"/>
    <w:rsid w:val="45ED27F5"/>
    <w:rsid w:val="45F3785C"/>
    <w:rsid w:val="462A540D"/>
    <w:rsid w:val="462D5E7D"/>
    <w:rsid w:val="46420762"/>
    <w:rsid w:val="46980646"/>
    <w:rsid w:val="46B1257F"/>
    <w:rsid w:val="46BE272F"/>
    <w:rsid w:val="472471F5"/>
    <w:rsid w:val="47354FD7"/>
    <w:rsid w:val="47794E4B"/>
    <w:rsid w:val="4796216E"/>
    <w:rsid w:val="47AB452B"/>
    <w:rsid w:val="47DC6CDE"/>
    <w:rsid w:val="48861F15"/>
    <w:rsid w:val="48AB1D8E"/>
    <w:rsid w:val="48C637F3"/>
    <w:rsid w:val="48DB338A"/>
    <w:rsid w:val="48E45F89"/>
    <w:rsid w:val="491A2F73"/>
    <w:rsid w:val="493872F8"/>
    <w:rsid w:val="493D634C"/>
    <w:rsid w:val="493E2177"/>
    <w:rsid w:val="495A0BC8"/>
    <w:rsid w:val="49C53482"/>
    <w:rsid w:val="49F92059"/>
    <w:rsid w:val="49F94346"/>
    <w:rsid w:val="49FD76B5"/>
    <w:rsid w:val="49FF2FED"/>
    <w:rsid w:val="4A030100"/>
    <w:rsid w:val="4A225F83"/>
    <w:rsid w:val="4AA05F4A"/>
    <w:rsid w:val="4AC86DC2"/>
    <w:rsid w:val="4B045D59"/>
    <w:rsid w:val="4B0D06CC"/>
    <w:rsid w:val="4B372608"/>
    <w:rsid w:val="4B4F2BC1"/>
    <w:rsid w:val="4BA330A9"/>
    <w:rsid w:val="4BB254CC"/>
    <w:rsid w:val="4BD97779"/>
    <w:rsid w:val="4BF4135B"/>
    <w:rsid w:val="4C1B582F"/>
    <w:rsid w:val="4C3D2024"/>
    <w:rsid w:val="4CE753A9"/>
    <w:rsid w:val="4D9B4CC4"/>
    <w:rsid w:val="4D9D40E2"/>
    <w:rsid w:val="4DB601EB"/>
    <w:rsid w:val="4DD001A6"/>
    <w:rsid w:val="4DD21759"/>
    <w:rsid w:val="4DD67367"/>
    <w:rsid w:val="4E7463E7"/>
    <w:rsid w:val="4E790579"/>
    <w:rsid w:val="4EA11089"/>
    <w:rsid w:val="4EA9484A"/>
    <w:rsid w:val="4EDC7213"/>
    <w:rsid w:val="4EE77D9B"/>
    <w:rsid w:val="4EFB5844"/>
    <w:rsid w:val="4FD02B19"/>
    <w:rsid w:val="502838B2"/>
    <w:rsid w:val="504A7806"/>
    <w:rsid w:val="508235A6"/>
    <w:rsid w:val="50A33062"/>
    <w:rsid w:val="50E853D3"/>
    <w:rsid w:val="50FD6AED"/>
    <w:rsid w:val="51003F81"/>
    <w:rsid w:val="51130D4B"/>
    <w:rsid w:val="51351D15"/>
    <w:rsid w:val="51401043"/>
    <w:rsid w:val="514912BA"/>
    <w:rsid w:val="51682FC2"/>
    <w:rsid w:val="5258175C"/>
    <w:rsid w:val="528771EB"/>
    <w:rsid w:val="52B539AF"/>
    <w:rsid w:val="52C87173"/>
    <w:rsid w:val="52D446F0"/>
    <w:rsid w:val="52FF1C0F"/>
    <w:rsid w:val="531D7612"/>
    <w:rsid w:val="532742F5"/>
    <w:rsid w:val="53AB0A82"/>
    <w:rsid w:val="53AE15D6"/>
    <w:rsid w:val="53B61E52"/>
    <w:rsid w:val="53CB0691"/>
    <w:rsid w:val="53D303E3"/>
    <w:rsid w:val="54065283"/>
    <w:rsid w:val="54084111"/>
    <w:rsid w:val="540938D5"/>
    <w:rsid w:val="54203EB1"/>
    <w:rsid w:val="542D0BD1"/>
    <w:rsid w:val="543E008A"/>
    <w:rsid w:val="546C718F"/>
    <w:rsid w:val="5486504B"/>
    <w:rsid w:val="548F0958"/>
    <w:rsid w:val="54C02294"/>
    <w:rsid w:val="54E85A08"/>
    <w:rsid w:val="55376D11"/>
    <w:rsid w:val="555F7423"/>
    <w:rsid w:val="557776F2"/>
    <w:rsid w:val="55AF6532"/>
    <w:rsid w:val="55D03AA2"/>
    <w:rsid w:val="55E21467"/>
    <w:rsid w:val="55F36710"/>
    <w:rsid w:val="56293A3C"/>
    <w:rsid w:val="56395079"/>
    <w:rsid w:val="56660E2B"/>
    <w:rsid w:val="566956E2"/>
    <w:rsid w:val="569E667C"/>
    <w:rsid w:val="56F84025"/>
    <w:rsid w:val="570B7EC2"/>
    <w:rsid w:val="572847D5"/>
    <w:rsid w:val="57303A54"/>
    <w:rsid w:val="57430191"/>
    <w:rsid w:val="575C02FE"/>
    <w:rsid w:val="578F2598"/>
    <w:rsid w:val="579A6F61"/>
    <w:rsid w:val="57F20D57"/>
    <w:rsid w:val="58047FBA"/>
    <w:rsid w:val="58154BE7"/>
    <w:rsid w:val="58306AD3"/>
    <w:rsid w:val="58862B32"/>
    <w:rsid w:val="58C3085E"/>
    <w:rsid w:val="58C75EEC"/>
    <w:rsid w:val="590A2A4F"/>
    <w:rsid w:val="594806CF"/>
    <w:rsid w:val="59C4289D"/>
    <w:rsid w:val="59E3084A"/>
    <w:rsid w:val="5A163F42"/>
    <w:rsid w:val="5A167004"/>
    <w:rsid w:val="5A4C2893"/>
    <w:rsid w:val="5AB87341"/>
    <w:rsid w:val="5ABD3738"/>
    <w:rsid w:val="5AC95C92"/>
    <w:rsid w:val="5B1722FF"/>
    <w:rsid w:val="5B21310B"/>
    <w:rsid w:val="5B435A44"/>
    <w:rsid w:val="5C2E5ABD"/>
    <w:rsid w:val="5C716FAA"/>
    <w:rsid w:val="5C761F86"/>
    <w:rsid w:val="5C9411B4"/>
    <w:rsid w:val="5CD81774"/>
    <w:rsid w:val="5D0C00B7"/>
    <w:rsid w:val="5D363899"/>
    <w:rsid w:val="5D924DD9"/>
    <w:rsid w:val="5D9A216C"/>
    <w:rsid w:val="5DBA018B"/>
    <w:rsid w:val="5E337BCE"/>
    <w:rsid w:val="5E451496"/>
    <w:rsid w:val="5E6C52B2"/>
    <w:rsid w:val="5E7C0BC0"/>
    <w:rsid w:val="5E8B5853"/>
    <w:rsid w:val="5EB629D1"/>
    <w:rsid w:val="5EDC3CC2"/>
    <w:rsid w:val="5F012D6B"/>
    <w:rsid w:val="5F033761"/>
    <w:rsid w:val="5F2E1A1A"/>
    <w:rsid w:val="5F64576A"/>
    <w:rsid w:val="5F694209"/>
    <w:rsid w:val="5F7230B4"/>
    <w:rsid w:val="5F82235F"/>
    <w:rsid w:val="5F891A94"/>
    <w:rsid w:val="5F8F700F"/>
    <w:rsid w:val="5FAF5614"/>
    <w:rsid w:val="600430FE"/>
    <w:rsid w:val="60086481"/>
    <w:rsid w:val="602816AC"/>
    <w:rsid w:val="603B7706"/>
    <w:rsid w:val="604C67E4"/>
    <w:rsid w:val="606D5642"/>
    <w:rsid w:val="60901BA7"/>
    <w:rsid w:val="60A3477B"/>
    <w:rsid w:val="60A92D64"/>
    <w:rsid w:val="60CE11AD"/>
    <w:rsid w:val="614941EB"/>
    <w:rsid w:val="6155202D"/>
    <w:rsid w:val="61B84E22"/>
    <w:rsid w:val="61CA3003"/>
    <w:rsid w:val="621B3277"/>
    <w:rsid w:val="62335B17"/>
    <w:rsid w:val="626C104E"/>
    <w:rsid w:val="62862AB7"/>
    <w:rsid w:val="62915BC1"/>
    <w:rsid w:val="62941BF7"/>
    <w:rsid w:val="629C3A1E"/>
    <w:rsid w:val="62DE04EE"/>
    <w:rsid w:val="62EA7E57"/>
    <w:rsid w:val="62ED08B8"/>
    <w:rsid w:val="631C44D8"/>
    <w:rsid w:val="632E30D0"/>
    <w:rsid w:val="633D2E0E"/>
    <w:rsid w:val="636A6DF3"/>
    <w:rsid w:val="638024DF"/>
    <w:rsid w:val="63C37195"/>
    <w:rsid w:val="63F4054F"/>
    <w:rsid w:val="644D348F"/>
    <w:rsid w:val="6470717E"/>
    <w:rsid w:val="64A73D01"/>
    <w:rsid w:val="65A25A5D"/>
    <w:rsid w:val="65A97B5E"/>
    <w:rsid w:val="65AE3D7F"/>
    <w:rsid w:val="65B17511"/>
    <w:rsid w:val="65E52776"/>
    <w:rsid w:val="663503D1"/>
    <w:rsid w:val="664F146B"/>
    <w:rsid w:val="66801540"/>
    <w:rsid w:val="66860FC3"/>
    <w:rsid w:val="668D18E2"/>
    <w:rsid w:val="669473B3"/>
    <w:rsid w:val="66967370"/>
    <w:rsid w:val="66973E45"/>
    <w:rsid w:val="66FF3A15"/>
    <w:rsid w:val="675D5089"/>
    <w:rsid w:val="676E366B"/>
    <w:rsid w:val="677C3509"/>
    <w:rsid w:val="6799169C"/>
    <w:rsid w:val="679B4C51"/>
    <w:rsid w:val="67B55127"/>
    <w:rsid w:val="67BB3D0D"/>
    <w:rsid w:val="67C25F42"/>
    <w:rsid w:val="67C36EA9"/>
    <w:rsid w:val="67D17126"/>
    <w:rsid w:val="67FF2CF3"/>
    <w:rsid w:val="685161D3"/>
    <w:rsid w:val="688B31BF"/>
    <w:rsid w:val="68931942"/>
    <w:rsid w:val="68ED3493"/>
    <w:rsid w:val="69116EF4"/>
    <w:rsid w:val="69291120"/>
    <w:rsid w:val="6938776C"/>
    <w:rsid w:val="69A95C4F"/>
    <w:rsid w:val="6A050368"/>
    <w:rsid w:val="6A0740E0"/>
    <w:rsid w:val="6A1B7B8C"/>
    <w:rsid w:val="6A406BD9"/>
    <w:rsid w:val="6A7E1191"/>
    <w:rsid w:val="6AC00E5F"/>
    <w:rsid w:val="6AFB5BA3"/>
    <w:rsid w:val="6B4F4556"/>
    <w:rsid w:val="6B570461"/>
    <w:rsid w:val="6B755D3E"/>
    <w:rsid w:val="6BB64593"/>
    <w:rsid w:val="6BDF4029"/>
    <w:rsid w:val="6BF47849"/>
    <w:rsid w:val="6C191640"/>
    <w:rsid w:val="6C4B1942"/>
    <w:rsid w:val="6C733992"/>
    <w:rsid w:val="6C7A503E"/>
    <w:rsid w:val="6CB5787A"/>
    <w:rsid w:val="6D2E358B"/>
    <w:rsid w:val="6D343F93"/>
    <w:rsid w:val="6D3F71A1"/>
    <w:rsid w:val="6DAB16D8"/>
    <w:rsid w:val="6DBD1686"/>
    <w:rsid w:val="6E1D7CFF"/>
    <w:rsid w:val="6E296D1B"/>
    <w:rsid w:val="6E3D06AF"/>
    <w:rsid w:val="6E6E0BD2"/>
    <w:rsid w:val="6E7120F8"/>
    <w:rsid w:val="6E810905"/>
    <w:rsid w:val="6EBD3C73"/>
    <w:rsid w:val="6ED24CBD"/>
    <w:rsid w:val="6EF56BFD"/>
    <w:rsid w:val="6F6A78CA"/>
    <w:rsid w:val="6FA64F9D"/>
    <w:rsid w:val="6FA775C6"/>
    <w:rsid w:val="6FCC3D44"/>
    <w:rsid w:val="6FD233CB"/>
    <w:rsid w:val="701E6A64"/>
    <w:rsid w:val="705B5186"/>
    <w:rsid w:val="707E1814"/>
    <w:rsid w:val="70C64CF5"/>
    <w:rsid w:val="70F943CB"/>
    <w:rsid w:val="710339BF"/>
    <w:rsid w:val="71170DA2"/>
    <w:rsid w:val="71461D2D"/>
    <w:rsid w:val="7156190C"/>
    <w:rsid w:val="715A71EC"/>
    <w:rsid w:val="71877BAC"/>
    <w:rsid w:val="71891325"/>
    <w:rsid w:val="71934DC7"/>
    <w:rsid w:val="71FE4BEA"/>
    <w:rsid w:val="72050C3C"/>
    <w:rsid w:val="720A6E64"/>
    <w:rsid w:val="720F5389"/>
    <w:rsid w:val="72214077"/>
    <w:rsid w:val="72231CD3"/>
    <w:rsid w:val="722B668F"/>
    <w:rsid w:val="72495B34"/>
    <w:rsid w:val="73394290"/>
    <w:rsid w:val="737208E1"/>
    <w:rsid w:val="73C1212E"/>
    <w:rsid w:val="73E84F83"/>
    <w:rsid w:val="741D6C0E"/>
    <w:rsid w:val="741F22E5"/>
    <w:rsid w:val="74391E01"/>
    <w:rsid w:val="74412D7C"/>
    <w:rsid w:val="74462B03"/>
    <w:rsid w:val="744F43B3"/>
    <w:rsid w:val="749903AE"/>
    <w:rsid w:val="74C376E9"/>
    <w:rsid w:val="74F03209"/>
    <w:rsid w:val="74FD75DD"/>
    <w:rsid w:val="74FF39CA"/>
    <w:rsid w:val="75175B20"/>
    <w:rsid w:val="75185A19"/>
    <w:rsid w:val="7595486B"/>
    <w:rsid w:val="759E1951"/>
    <w:rsid w:val="759F6D8C"/>
    <w:rsid w:val="75E95679"/>
    <w:rsid w:val="762124A6"/>
    <w:rsid w:val="762753A1"/>
    <w:rsid w:val="763C2BE3"/>
    <w:rsid w:val="76563C0C"/>
    <w:rsid w:val="76AA29C3"/>
    <w:rsid w:val="76F727BA"/>
    <w:rsid w:val="77033775"/>
    <w:rsid w:val="771238F1"/>
    <w:rsid w:val="771B5582"/>
    <w:rsid w:val="77397934"/>
    <w:rsid w:val="774921DC"/>
    <w:rsid w:val="77B77146"/>
    <w:rsid w:val="78142BA1"/>
    <w:rsid w:val="783058EB"/>
    <w:rsid w:val="78427C92"/>
    <w:rsid w:val="78550AA1"/>
    <w:rsid w:val="787046CE"/>
    <w:rsid w:val="78B10039"/>
    <w:rsid w:val="78C52E49"/>
    <w:rsid w:val="78E31489"/>
    <w:rsid w:val="79001BE7"/>
    <w:rsid w:val="7901431F"/>
    <w:rsid w:val="792974C9"/>
    <w:rsid w:val="7950273F"/>
    <w:rsid w:val="797131C7"/>
    <w:rsid w:val="79DF4C29"/>
    <w:rsid w:val="79F418FA"/>
    <w:rsid w:val="79FC2B32"/>
    <w:rsid w:val="7A0F730E"/>
    <w:rsid w:val="7A217312"/>
    <w:rsid w:val="7A3E5C57"/>
    <w:rsid w:val="7A6979A2"/>
    <w:rsid w:val="7A7B65ED"/>
    <w:rsid w:val="7A9114DA"/>
    <w:rsid w:val="7A981F2C"/>
    <w:rsid w:val="7ADB3972"/>
    <w:rsid w:val="7AE76E96"/>
    <w:rsid w:val="7AFD7008"/>
    <w:rsid w:val="7B387F12"/>
    <w:rsid w:val="7B645909"/>
    <w:rsid w:val="7BAC06D7"/>
    <w:rsid w:val="7BB45714"/>
    <w:rsid w:val="7C7A6D1D"/>
    <w:rsid w:val="7CB742F1"/>
    <w:rsid w:val="7CC90205"/>
    <w:rsid w:val="7CD246AB"/>
    <w:rsid w:val="7D0F6265"/>
    <w:rsid w:val="7D121F07"/>
    <w:rsid w:val="7D387EA3"/>
    <w:rsid w:val="7D3947B3"/>
    <w:rsid w:val="7D866AC8"/>
    <w:rsid w:val="7D8C4BD1"/>
    <w:rsid w:val="7D9D293A"/>
    <w:rsid w:val="7DAB3E14"/>
    <w:rsid w:val="7E2C20A9"/>
    <w:rsid w:val="7E52504E"/>
    <w:rsid w:val="7E5B722F"/>
    <w:rsid w:val="7E6F0726"/>
    <w:rsid w:val="7EB67EAF"/>
    <w:rsid w:val="7EC565E5"/>
    <w:rsid w:val="7EEF3B80"/>
    <w:rsid w:val="7EFC37C7"/>
    <w:rsid w:val="7F330A6C"/>
    <w:rsid w:val="7F794D1A"/>
    <w:rsid w:val="7FC33C7F"/>
    <w:rsid w:val="7FEE4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30"/>
    <w:autoRedefine/>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autoRedefine/>
    <w:qFormat/>
    <w:uiPriority w:val="0"/>
    <w:pPr>
      <w:keepNext/>
      <w:keepLines/>
      <w:spacing w:before="260" w:after="260" w:line="413" w:lineRule="auto"/>
      <w:outlineLvl w:val="2"/>
    </w:pPr>
    <w:rPr>
      <w:b/>
      <w:sz w:val="32"/>
    </w:rPr>
  </w:style>
  <w:style w:type="paragraph" w:styleId="5">
    <w:name w:val="heading 4"/>
    <w:basedOn w:val="1"/>
    <w:next w:val="1"/>
    <w:autoRedefine/>
    <w:unhideWhenUsed/>
    <w:qFormat/>
    <w:uiPriority w:val="0"/>
    <w:pPr>
      <w:keepNext/>
      <w:keepLines/>
      <w:adjustRightInd w:val="0"/>
      <w:snapToGrid w:val="0"/>
      <w:spacing w:beforeLines="50" w:afterLines="50"/>
      <w:ind w:firstLine="200" w:firstLineChars="200"/>
      <w:outlineLvl w:val="3"/>
    </w:pPr>
    <w:rPr>
      <w:b/>
      <w:bCs/>
      <w:snapToGrid w:val="0"/>
      <w:color w:val="000000" w:themeColor="text1"/>
      <w:kern w:val="0"/>
      <w:szCs w:val="28"/>
      <w:lang w:val="sq-AL"/>
      <w14:textFill>
        <w14:solidFill>
          <w14:schemeClr w14:val="tx1"/>
        </w14:solidFill>
      </w14:textFill>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adjustRightInd w:val="0"/>
      <w:spacing w:line="312" w:lineRule="atLeast"/>
      <w:ind w:firstLine="420"/>
      <w:textAlignment w:val="baseline"/>
    </w:pPr>
    <w:rPr>
      <w:sz w:val="21"/>
      <w:szCs w:val="20"/>
      <w:lang w:eastAsia="zh-CN" w:bidi="ar-SA"/>
    </w:rPr>
  </w:style>
  <w:style w:type="paragraph" w:styleId="7">
    <w:name w:val="Body Text First Indent 2"/>
    <w:basedOn w:val="8"/>
    <w:next w:val="9"/>
    <w:autoRedefine/>
    <w:qFormat/>
    <w:uiPriority w:val="0"/>
    <w:pPr>
      <w:ind w:firstLine="420"/>
    </w:pPr>
  </w:style>
  <w:style w:type="paragraph" w:styleId="8">
    <w:name w:val="Body Text Indent"/>
    <w:basedOn w:val="1"/>
    <w:next w:val="9"/>
    <w:autoRedefine/>
    <w:qFormat/>
    <w:uiPriority w:val="0"/>
    <w:pPr>
      <w:spacing w:line="480" w:lineRule="exact"/>
      <w:ind w:firstLine="560" w:firstLineChars="200"/>
    </w:pPr>
    <w:rPr>
      <w:kern w:val="2"/>
      <w:sz w:val="21"/>
      <w:szCs w:val="24"/>
      <w:lang w:bidi="ar-SA"/>
    </w:rPr>
  </w:style>
  <w:style w:type="paragraph" w:styleId="9">
    <w:name w:val="Body Text"/>
    <w:basedOn w:val="1"/>
    <w:link w:val="31"/>
    <w:autoRedefine/>
    <w:qFormat/>
    <w:uiPriority w:val="0"/>
    <w:pPr>
      <w:adjustRightInd w:val="0"/>
      <w:snapToGrid w:val="0"/>
      <w:spacing w:line="360" w:lineRule="auto"/>
      <w:ind w:firstLine="200" w:firstLineChars="200"/>
    </w:pPr>
    <w:rPr>
      <w:rFonts w:ascii="Calibri" w:hAnsi="Calibri"/>
      <w:kern w:val="0"/>
      <w:sz w:val="24"/>
      <w:szCs w:val="20"/>
      <w:lang w:val="zh-CN"/>
    </w:rPr>
  </w:style>
  <w:style w:type="paragraph" w:styleId="10">
    <w:name w:val="annotation text"/>
    <w:basedOn w:val="1"/>
    <w:link w:val="42"/>
    <w:autoRedefine/>
    <w:unhideWhenUsed/>
    <w:qFormat/>
    <w:uiPriority w:val="99"/>
    <w:pPr>
      <w:jc w:val="left"/>
    </w:pPr>
  </w:style>
  <w:style w:type="paragraph" w:styleId="11">
    <w:name w:val="Plain Text"/>
    <w:basedOn w:val="1"/>
    <w:autoRedefine/>
    <w:qFormat/>
    <w:uiPriority w:val="0"/>
    <w:rPr>
      <w:rFonts w:ascii="宋体" w:hAnsi="Courier New"/>
      <w:szCs w:val="20"/>
    </w:rPr>
  </w:style>
  <w:style w:type="paragraph" w:styleId="12">
    <w:name w:val="Date"/>
    <w:basedOn w:val="1"/>
    <w:next w:val="1"/>
    <w:autoRedefine/>
    <w:qFormat/>
    <w:uiPriority w:val="0"/>
    <w:pPr>
      <w:ind w:left="100" w:leftChars="2500"/>
    </w:pPr>
  </w:style>
  <w:style w:type="paragraph" w:styleId="13">
    <w:name w:val="Body Text Indent 2"/>
    <w:basedOn w:val="1"/>
    <w:autoRedefine/>
    <w:qFormat/>
    <w:uiPriority w:val="0"/>
    <w:pPr>
      <w:spacing w:before="0" w:after="120" w:line="480" w:lineRule="auto"/>
      <w:ind w:left="420" w:leftChars="200" w:right="0"/>
    </w:pPr>
    <w:rPr>
      <w:rFonts w:ascii="Calibri" w:hAnsi="Calibri" w:eastAsia="宋体" w:cs="Times New Roman"/>
      <w:kern w:val="2"/>
      <w:sz w:val="21"/>
      <w:szCs w:val="24"/>
      <w:lang w:bidi="ar-SA"/>
    </w:rPr>
  </w:style>
  <w:style w:type="paragraph" w:styleId="14">
    <w:name w:val="Balloon Text"/>
    <w:basedOn w:val="1"/>
    <w:autoRedefine/>
    <w:semiHidden/>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toc 2"/>
    <w:basedOn w:val="1"/>
    <w:next w:val="1"/>
    <w:autoRedefine/>
    <w:qFormat/>
    <w:uiPriority w:val="0"/>
    <w:pPr>
      <w:ind w:left="420" w:leftChars="200"/>
    </w:pPr>
  </w:style>
  <w:style w:type="paragraph" w:styleId="19">
    <w:name w:val="Body Text 2"/>
    <w:basedOn w:val="1"/>
    <w:autoRedefine/>
    <w:qFormat/>
    <w:uiPriority w:val="0"/>
    <w:pPr>
      <w:spacing w:after="120" w:afterLines="0" w:line="480" w:lineRule="auto"/>
    </w:pPr>
    <w:rPr>
      <w:kern w:val="2"/>
      <w:sz w:val="21"/>
      <w:szCs w:val="24"/>
      <w:lang w:bidi="ar-SA"/>
    </w:rPr>
  </w:style>
  <w:style w:type="paragraph" w:styleId="20">
    <w:name w:val="Normal (Web)"/>
    <w:basedOn w:val="1"/>
    <w:autoRedefine/>
    <w:qFormat/>
    <w:uiPriority w:val="0"/>
    <w:rPr>
      <w:sz w:val="24"/>
    </w:rPr>
  </w:style>
  <w:style w:type="paragraph" w:styleId="21">
    <w:name w:val="annotation subject"/>
    <w:basedOn w:val="10"/>
    <w:next w:val="10"/>
    <w:link w:val="43"/>
    <w:autoRedefine/>
    <w:qFormat/>
    <w:uiPriority w:val="0"/>
    <w:rPr>
      <w:b/>
      <w:bCs/>
    </w:rPr>
  </w:style>
  <w:style w:type="table" w:styleId="23">
    <w:name w:val="Table Grid"/>
    <w:basedOn w:val="2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autoRedefine/>
    <w:qFormat/>
    <w:uiPriority w:val="0"/>
    <w:rPr>
      <w:b/>
    </w:rPr>
  </w:style>
  <w:style w:type="character" w:styleId="26">
    <w:name w:val="page number"/>
    <w:basedOn w:val="24"/>
    <w:autoRedefine/>
    <w:qFormat/>
    <w:uiPriority w:val="0"/>
  </w:style>
  <w:style w:type="character" w:styleId="27">
    <w:name w:val="Hyperlink"/>
    <w:autoRedefine/>
    <w:unhideWhenUsed/>
    <w:qFormat/>
    <w:uiPriority w:val="99"/>
    <w:rPr>
      <w:color w:val="0563C1"/>
      <w:u w:val="single"/>
    </w:rPr>
  </w:style>
  <w:style w:type="character" w:styleId="28">
    <w:name w:val="annotation reference"/>
    <w:basedOn w:val="24"/>
    <w:autoRedefine/>
    <w:unhideWhenUsed/>
    <w:qFormat/>
    <w:uiPriority w:val="99"/>
    <w:rPr>
      <w:sz w:val="21"/>
      <w:szCs w:val="21"/>
    </w:rPr>
  </w:style>
  <w:style w:type="paragraph" w:customStyle="1" w:styleId="29">
    <w:name w:val="Default"/>
    <w:autoRedefine/>
    <w:qFormat/>
    <w:uiPriority w:val="0"/>
    <w:pPr>
      <w:widowControl w:val="0"/>
      <w:autoSpaceDE w:val="0"/>
      <w:autoSpaceDN w:val="0"/>
    </w:pPr>
    <w:rPr>
      <w:rFonts w:ascii="宋体" w:hAnsi="宋体" w:eastAsia="宋体" w:cs="Times New Roman"/>
      <w:color w:val="000000"/>
      <w:kern w:val="0"/>
      <w:sz w:val="24"/>
      <w:szCs w:val="20"/>
      <w:lang w:val="en-US" w:eastAsia="zh-CN" w:bidi="ar-SA"/>
    </w:rPr>
  </w:style>
  <w:style w:type="character" w:customStyle="1" w:styleId="30">
    <w:name w:val="标题 2 字符"/>
    <w:link w:val="4"/>
    <w:autoRedefine/>
    <w:qFormat/>
    <w:uiPriority w:val="0"/>
    <w:rPr>
      <w:rFonts w:ascii="Arial" w:hAnsi="Arial" w:eastAsia="黑体"/>
      <w:b/>
      <w:bCs/>
      <w:kern w:val="2"/>
      <w:sz w:val="32"/>
      <w:szCs w:val="32"/>
      <w:lang w:val="en-US" w:eastAsia="zh-CN" w:bidi="ar-SA"/>
    </w:rPr>
  </w:style>
  <w:style w:type="character" w:customStyle="1" w:styleId="31">
    <w:name w:val="正文文本 字符"/>
    <w:link w:val="9"/>
    <w:autoRedefine/>
    <w:qFormat/>
    <w:uiPriority w:val="0"/>
    <w:rPr>
      <w:rFonts w:ascii="Calibri" w:hAnsi="Calibri"/>
      <w:sz w:val="24"/>
    </w:rPr>
  </w:style>
  <w:style w:type="paragraph" w:customStyle="1" w:styleId="32">
    <w:name w:val="目录 11"/>
    <w:basedOn w:val="1"/>
    <w:next w:val="1"/>
    <w:autoRedefine/>
    <w:qFormat/>
    <w:uiPriority w:val="0"/>
  </w:style>
  <w:style w:type="paragraph" w:customStyle="1" w:styleId="33">
    <w:name w:val="目录 21"/>
    <w:basedOn w:val="1"/>
    <w:next w:val="1"/>
    <w:autoRedefine/>
    <w:qFormat/>
    <w:uiPriority w:val="0"/>
    <w:pPr>
      <w:ind w:left="420" w:leftChars="200"/>
    </w:pPr>
  </w:style>
  <w:style w:type="character" w:customStyle="1" w:styleId="34">
    <w:name w:val="标题 2 Char1"/>
    <w:autoRedefine/>
    <w:qFormat/>
    <w:uiPriority w:val="0"/>
    <w:rPr>
      <w:rFonts w:ascii="Arial" w:hAnsi="Arial" w:eastAsia="黑体" w:cs="Times New Roman"/>
      <w:bCs/>
      <w:kern w:val="0"/>
      <w:sz w:val="28"/>
      <w:szCs w:val="32"/>
    </w:rPr>
  </w:style>
  <w:style w:type="character" w:customStyle="1" w:styleId="35">
    <w:name w:val="正文文本 Char1"/>
    <w:autoRedefine/>
    <w:qFormat/>
    <w:uiPriority w:val="0"/>
    <w:rPr>
      <w:kern w:val="2"/>
      <w:sz w:val="21"/>
      <w:szCs w:val="24"/>
    </w:rPr>
  </w:style>
  <w:style w:type="paragraph" w:customStyle="1" w:styleId="36">
    <w:name w:val="Char Char Char Char"/>
    <w:basedOn w:val="1"/>
    <w:autoRedefine/>
    <w:qFormat/>
    <w:uiPriority w:val="0"/>
    <w:pPr>
      <w:spacing w:line="360" w:lineRule="auto"/>
      <w:ind w:firstLine="200" w:firstLineChars="200"/>
    </w:pPr>
    <w:rPr>
      <w:rFonts w:ascii="宋体" w:hAnsi="宋体" w:cs="宋体"/>
      <w:sz w:val="24"/>
    </w:rPr>
  </w:style>
  <w:style w:type="paragraph" w:customStyle="1" w:styleId="37">
    <w:name w:val="WPSOffice手动目录 1"/>
    <w:autoRedefine/>
    <w:qFormat/>
    <w:uiPriority w:val="0"/>
    <w:rPr>
      <w:rFonts w:ascii="Times New Roman" w:hAnsi="Times New Roman" w:eastAsia="宋体" w:cs="Times New Roman"/>
      <w:lang w:val="en-US" w:eastAsia="zh-CN" w:bidi="ar-SA"/>
    </w:rPr>
  </w:style>
  <w:style w:type="paragraph" w:customStyle="1" w:styleId="3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
    <w:name w:val="章、篇名"/>
    <w:basedOn w:val="1"/>
    <w:next w:val="1"/>
    <w:autoRedefine/>
    <w:qFormat/>
    <w:uiPriority w:val="0"/>
    <w:pPr>
      <w:spacing w:before="480" w:after="360" w:line="560" w:lineRule="exact"/>
      <w:jc w:val="center"/>
    </w:pPr>
    <w:rPr>
      <w:rFonts w:eastAsia="文鼎大标宋简"/>
      <w:b/>
      <w:sz w:val="36"/>
      <w:szCs w:val="20"/>
    </w:rPr>
  </w:style>
  <w:style w:type="character" w:customStyle="1" w:styleId="40">
    <w:name w:val="font61"/>
    <w:basedOn w:val="24"/>
    <w:autoRedefine/>
    <w:qFormat/>
    <w:uiPriority w:val="0"/>
    <w:rPr>
      <w:rFonts w:hint="eastAsia" w:ascii="宋体" w:hAnsi="宋体" w:eastAsia="宋体" w:cs="宋体"/>
      <w:color w:val="auto"/>
      <w:sz w:val="24"/>
      <w:szCs w:val="24"/>
      <w:u w:val="none"/>
    </w:rPr>
  </w:style>
  <w:style w:type="character" w:customStyle="1" w:styleId="41">
    <w:name w:val="font01"/>
    <w:basedOn w:val="24"/>
    <w:autoRedefine/>
    <w:qFormat/>
    <w:uiPriority w:val="0"/>
    <w:rPr>
      <w:rFonts w:hint="eastAsia" w:ascii="宋体" w:hAnsi="宋体" w:eastAsia="宋体" w:cs="宋体"/>
      <w:color w:val="auto"/>
      <w:sz w:val="24"/>
      <w:szCs w:val="24"/>
      <w:u w:val="none"/>
    </w:rPr>
  </w:style>
  <w:style w:type="character" w:customStyle="1" w:styleId="42">
    <w:name w:val="批注文字 字符"/>
    <w:basedOn w:val="24"/>
    <w:link w:val="10"/>
    <w:autoRedefine/>
    <w:qFormat/>
    <w:uiPriority w:val="99"/>
    <w:rPr>
      <w:kern w:val="2"/>
      <w:sz w:val="21"/>
      <w:szCs w:val="24"/>
    </w:rPr>
  </w:style>
  <w:style w:type="character" w:customStyle="1" w:styleId="43">
    <w:name w:val="批注主题 字符"/>
    <w:basedOn w:val="42"/>
    <w:link w:val="21"/>
    <w:autoRedefine/>
    <w:qFormat/>
    <w:uiPriority w:val="0"/>
    <w:rPr>
      <w:b/>
      <w:bCs/>
      <w:kern w:val="2"/>
      <w:sz w:val="21"/>
      <w:szCs w:val="24"/>
    </w:rPr>
  </w:style>
  <w:style w:type="table" w:customStyle="1" w:styleId="44">
    <w:name w:val="Table Normal"/>
    <w:autoRedefine/>
    <w:unhideWhenUsed/>
    <w:qFormat/>
    <w:uiPriority w:val="0"/>
    <w:tblPr>
      <w:tblCellMar>
        <w:top w:w="0" w:type="dxa"/>
        <w:left w:w="0" w:type="dxa"/>
        <w:bottom w:w="0" w:type="dxa"/>
        <w:right w:w="0" w:type="dxa"/>
      </w:tblCellMar>
    </w:tblPr>
  </w:style>
  <w:style w:type="paragraph" w:customStyle="1" w:styleId="45">
    <w:name w:val="Table Text"/>
    <w:basedOn w:val="1"/>
    <w:autoRedefine/>
    <w:semiHidden/>
    <w:qFormat/>
    <w:uiPriority w:val="0"/>
    <w:rPr>
      <w:rFonts w:ascii="仿宋" w:hAnsi="仿宋" w:eastAsia="仿宋" w:cs="仿宋"/>
      <w:sz w:val="24"/>
      <w:szCs w:val="24"/>
      <w:lang w:val="en-US" w:eastAsia="en-US" w:bidi="ar-SA"/>
    </w:rPr>
  </w:style>
  <w:style w:type="paragraph" w:customStyle="1" w:styleId="46">
    <w:name w:val="正文1"/>
    <w:basedOn w:val="1"/>
    <w:autoRedefine/>
    <w:qFormat/>
    <w:uiPriority w:val="0"/>
    <w:pPr>
      <w:spacing w:line="480" w:lineRule="exact"/>
      <w:ind w:firstLine="480" w:firstLineChars="200"/>
    </w:pPr>
    <w:rPr>
      <w:rFonts w:ascii="宋体"/>
      <w:kern w:val="2"/>
      <w:sz w:val="24"/>
      <w:szCs w:val="20"/>
      <w:lang w:eastAsia="zh-CN" w:bidi="ar-SA"/>
    </w:rPr>
  </w:style>
  <w:style w:type="paragraph" w:customStyle="1" w:styleId="47">
    <w:name w:val="xl35"/>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Calibri" w:hAnsi="Calibri" w:eastAsia="宋体" w:cs="Times New Roman"/>
      <w:kern w:val="0"/>
      <w:sz w:val="24"/>
      <w:szCs w:val="20"/>
    </w:rPr>
  </w:style>
  <w:style w:type="paragraph" w:customStyle="1" w:styleId="48">
    <w:name w:val="p0"/>
    <w:basedOn w:val="1"/>
    <w:autoRedefine/>
    <w:qFormat/>
    <w:uiPriority w:val="0"/>
    <w:pPr>
      <w:widowControl/>
      <w:jc w:val="left"/>
    </w:pPr>
    <w:rPr>
      <w:rFonts w:ascii="Calibri" w:hAnsi="Calibri" w:eastAsia="宋体" w:cs="Times New Roman"/>
      <w:kern w:val="0"/>
      <w:sz w:val="24"/>
      <w:szCs w:val="21"/>
      <w:lang w:eastAsia="en-US" w:bidi="en-US"/>
    </w:rPr>
  </w:style>
  <w:style w:type="paragraph" w:customStyle="1" w:styleId="49">
    <w:name w:val="p15"/>
    <w:basedOn w:val="1"/>
    <w:autoRedefine/>
    <w:qFormat/>
    <w:uiPriority w:val="0"/>
    <w:pPr>
      <w:widowControl/>
      <w:snapToGrid w:val="0"/>
      <w:spacing w:line="312" w:lineRule="atLeast"/>
      <w:ind w:firstLine="420"/>
    </w:pPr>
    <w:rPr>
      <w:kern w:val="0"/>
      <w:szCs w:val="21"/>
    </w:rPr>
  </w:style>
  <w:style w:type="paragraph" w:customStyle="1" w:styleId="50">
    <w:name w:val="_Style 3"/>
    <w:basedOn w:val="1"/>
    <w:autoRedefine/>
    <w:qFormat/>
    <w:uiPriority w:val="0"/>
    <w:pPr>
      <w:spacing w:line="360" w:lineRule="auto"/>
      <w:ind w:firstLine="480" w:firstLineChars="200"/>
      <w:jc w:val="center"/>
    </w:pPr>
    <w:rPr>
      <w:rFonts w:ascii="仿宋_GB2312" w:hAnsi="宋体" w:eastAsia="仿宋_GB2312"/>
      <w:sz w:val="24"/>
      <w:szCs w:val="20"/>
    </w:rPr>
  </w:style>
  <w:style w:type="character" w:customStyle="1" w:styleId="51">
    <w:name w:val="apple-style-span"/>
    <w:autoRedefine/>
    <w:qFormat/>
    <w:uiPriority w:val="0"/>
    <w:rPr>
      <w:rFonts w:ascii="Calibri" w:hAnsi="Calibri" w:eastAsia="宋体" w:cs="Times New Roman"/>
    </w:rPr>
  </w:style>
  <w:style w:type="character" w:customStyle="1" w:styleId="52">
    <w:name w:val="apple-converted-space"/>
    <w:autoRedefine/>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1299</Words>
  <Characters>1822</Characters>
  <Lines>18</Lines>
  <Paragraphs>11</Paragraphs>
  <TotalTime>9</TotalTime>
  <ScaleCrop>false</ScaleCrop>
  <LinksUpToDate>false</LinksUpToDate>
  <CharactersWithSpaces>1831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2022-09-13T08:05:00Z</dcterms:created>
  <dc:creator>User</dc:creator>
  <cp:lastModifiedBy>勿忘心安</cp:lastModifiedBy>
  <cp:lastPrinted>2025-06-18T09:31:00Z</cp:lastPrinted>
  <dcterms:modified xsi:type="dcterms:W3CDTF">2025-06-24T08:46:55Z</dcterms:modified>
  <dc:title>关于收费大棚铝塑板更换工程说明</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31C5D547ADDC4E6595AE450369BFEF55_13</vt:lpwstr>
  </property>
  <property fmtid="{D5CDD505-2E9C-101B-9397-08002B2CF9AE}" pid="4" name="KSOTemplateDocerSaveRecord">
    <vt:lpwstr>eyJoZGlkIjoiNmY3ZjAxNjkyMTdlZGFhMjJmNDJmOGYzNTg4ZWQyMmEiLCJ1c2VySWQiOiI1OTIzNDI5NDcifQ==</vt:lpwstr>
  </property>
</Properties>
</file>