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7213B">
      <w:pPr>
        <w:jc w:val="center"/>
        <w:rPr>
          <w:b/>
          <w:sz w:val="36"/>
          <w:szCs w:val="36"/>
        </w:rPr>
      </w:pPr>
    </w:p>
    <w:p w14:paraId="6DF795C2">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赣州高速和畅运营管理公司龙南所配电房双电源切换柜改造项目</w:t>
      </w:r>
    </w:p>
    <w:p w14:paraId="7A6D8D50">
      <w:pPr>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询</w:t>
      </w:r>
    </w:p>
    <w:p w14:paraId="373FCECB">
      <w:pPr>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价</w:t>
      </w:r>
    </w:p>
    <w:p w14:paraId="5191F07C">
      <w:pPr>
        <w:jc w:val="center"/>
        <w:rPr>
          <w:rFonts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文</w:t>
      </w:r>
    </w:p>
    <w:p w14:paraId="10EB12D2">
      <w:pPr>
        <w:jc w:val="center"/>
        <w:rPr>
          <w:b/>
          <w:sz w:val="52"/>
          <w:szCs w:val="52"/>
        </w:rPr>
      </w:pPr>
      <w:r>
        <w:rPr>
          <w:rFonts w:hint="eastAsia" w:ascii="方正小标宋简体" w:hAnsi="方正小标宋简体" w:eastAsia="方正小标宋简体" w:cs="方正小标宋简体"/>
          <w:bCs/>
          <w:sz w:val="72"/>
          <w:szCs w:val="72"/>
        </w:rPr>
        <w:t>件</w:t>
      </w:r>
    </w:p>
    <w:p w14:paraId="151567AD">
      <w:pPr>
        <w:jc w:val="center"/>
        <w:rPr>
          <w:b/>
          <w:sz w:val="36"/>
          <w:szCs w:val="36"/>
        </w:rPr>
      </w:pPr>
    </w:p>
    <w:p w14:paraId="06BFA4CA">
      <w:pPr>
        <w:pStyle w:val="3"/>
      </w:pPr>
    </w:p>
    <w:p w14:paraId="5BF7481A"/>
    <w:p w14:paraId="1C66BF4D">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赣州高速和畅运营管理公司</w:t>
      </w:r>
    </w:p>
    <w:p w14:paraId="2CE992EF">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2024年</w:t>
      </w:r>
      <w:r>
        <w:rPr>
          <w:rFonts w:hint="eastAsia" w:ascii="方正小标宋简体" w:hAnsi="方正小标宋简体" w:eastAsia="方正小标宋简体" w:cs="方正小标宋简体"/>
          <w:bCs/>
          <w:sz w:val="36"/>
          <w:szCs w:val="36"/>
          <w:lang w:val="en-US" w:eastAsia="zh-CN"/>
        </w:rPr>
        <w:t>10</w:t>
      </w:r>
      <w:r>
        <w:rPr>
          <w:rFonts w:hint="eastAsia" w:ascii="方正小标宋简体" w:hAnsi="方正小标宋简体" w:eastAsia="方正小标宋简体" w:cs="方正小标宋简体"/>
          <w:bCs/>
          <w:sz w:val="36"/>
          <w:szCs w:val="36"/>
        </w:rPr>
        <w:t>月</w:t>
      </w:r>
    </w:p>
    <w:p w14:paraId="7CEBDD7F">
      <w:pPr>
        <w:spacing w:line="460" w:lineRule="exact"/>
        <w:jc w:val="center"/>
        <w:rPr>
          <w:rFonts w:ascii="方正小标宋简体" w:hAnsi="方正小标宋简体" w:eastAsia="方正小标宋简体" w:cs="方正小标宋简体"/>
          <w:bCs/>
          <w:sz w:val="44"/>
          <w:szCs w:val="44"/>
        </w:rPr>
        <w:sectPr>
          <w:headerReference r:id="rId3" w:type="default"/>
          <w:pgSz w:w="11906" w:h="16838"/>
          <w:pgMar w:top="2098" w:right="1587" w:bottom="2098" w:left="1587" w:header="851" w:footer="1701" w:gutter="0"/>
          <w:pgNumType w:fmt="numberInDash"/>
          <w:cols w:space="425" w:num="1"/>
          <w:docGrid w:type="lines" w:linePitch="312" w:charSpace="0"/>
        </w:sectPr>
      </w:pPr>
    </w:p>
    <w:p w14:paraId="71533F36">
      <w:pPr>
        <w:widowControl/>
        <w:spacing w:line="560" w:lineRule="exact"/>
        <w:ind w:firstLine="883" w:firstLineChars="200"/>
        <w:jc w:val="center"/>
        <w:rPr>
          <w:rFonts w:ascii="方正小标宋_GBK" w:hAnsi="黑体" w:eastAsia="方正小标宋_GBK" w:cs="黑体"/>
          <w:b/>
          <w:bCs/>
          <w:kern w:val="0"/>
          <w:sz w:val="44"/>
          <w:szCs w:val="44"/>
        </w:rPr>
      </w:pPr>
      <w:r>
        <w:rPr>
          <w:rFonts w:hint="eastAsia" w:ascii="方正小标宋_GBK" w:hAnsi="黑体" w:eastAsia="方正小标宋_GBK" w:cs="黑体"/>
          <w:b/>
          <w:bCs/>
          <w:kern w:val="0"/>
          <w:sz w:val="44"/>
          <w:szCs w:val="44"/>
        </w:rPr>
        <w:t xml:space="preserve">第一章 </w:t>
      </w:r>
      <w:r>
        <w:rPr>
          <w:rFonts w:hint="eastAsia" w:ascii="方正小标宋_GBK" w:hAnsi="黑体" w:eastAsia="方正小标宋_GBK" w:cs="黑体"/>
          <w:bCs/>
          <w:kern w:val="0"/>
          <w:sz w:val="44"/>
          <w:szCs w:val="44"/>
        </w:rPr>
        <w:t>询价公告</w:t>
      </w:r>
    </w:p>
    <w:p w14:paraId="0A16DBB4">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一、询价条件</w:t>
      </w:r>
    </w:p>
    <w:p w14:paraId="3D713108">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本次询价项目名称：</w:t>
      </w:r>
      <w:r>
        <w:rPr>
          <w:rFonts w:hint="eastAsia" w:ascii="仿宋" w:hAnsi="仿宋" w:eastAsia="仿宋" w:cs="仿宋"/>
          <w:bCs/>
          <w:sz w:val="28"/>
          <w:szCs w:val="28"/>
        </w:rPr>
        <w:t>赣州高速和畅运营管理公司龙南所配电房双电源切换柜改造</w:t>
      </w:r>
      <w:r>
        <w:rPr>
          <w:rFonts w:hint="eastAsia" w:ascii="仿宋" w:hAnsi="仿宋" w:eastAsia="仿宋" w:cs="仿宋"/>
          <w:bCs/>
          <w:kern w:val="0"/>
          <w:sz w:val="28"/>
          <w:szCs w:val="28"/>
        </w:rPr>
        <w:t>。</w:t>
      </w:r>
      <w:r>
        <w:rPr>
          <w:rFonts w:hint="eastAsia" w:ascii="仿宋" w:hAnsi="仿宋" w:eastAsia="仿宋" w:cs="仿宋"/>
          <w:kern w:val="0"/>
          <w:sz w:val="28"/>
          <w:szCs w:val="28"/>
        </w:rPr>
        <w:t>资金来源为自有资金，该项目已具备实施条件，现对该项目进行公开询价。</w:t>
      </w:r>
    </w:p>
    <w:p w14:paraId="67647ACC">
      <w:pPr>
        <w:widowControl/>
        <w:spacing w:line="560" w:lineRule="exact"/>
        <w:ind w:firstLine="480"/>
        <w:jc w:val="left"/>
        <w:rPr>
          <w:rFonts w:ascii="仿宋" w:hAnsi="仿宋" w:eastAsia="仿宋" w:cs="仿宋"/>
          <w:kern w:val="0"/>
          <w:sz w:val="28"/>
          <w:szCs w:val="28"/>
        </w:rPr>
      </w:pPr>
      <w:r>
        <w:rPr>
          <w:rFonts w:hint="eastAsia" w:ascii="仿宋" w:hAnsi="仿宋" w:eastAsia="仿宋" w:cs="仿宋"/>
          <w:kern w:val="0"/>
          <w:sz w:val="28"/>
          <w:szCs w:val="28"/>
        </w:rPr>
        <w:t>采购方：赣州高速和畅运营管理公司。</w:t>
      </w:r>
    </w:p>
    <w:p w14:paraId="242E24AD">
      <w:pPr>
        <w:widowControl/>
        <w:spacing w:line="560" w:lineRule="exact"/>
        <w:ind w:firstLine="480"/>
        <w:jc w:val="left"/>
        <w:rPr>
          <w:rFonts w:hint="eastAsia" w:ascii="仿宋" w:hAnsi="仿宋" w:eastAsia="仿宋" w:cs="仿宋"/>
          <w:sz w:val="28"/>
          <w:szCs w:val="28"/>
          <w:lang w:eastAsia="zh-CN"/>
        </w:rPr>
      </w:pPr>
      <w:r>
        <w:rPr>
          <w:rFonts w:hint="eastAsia" w:ascii="仿宋" w:hAnsi="仿宋" w:eastAsia="仿宋" w:cs="仿宋"/>
          <w:kern w:val="0"/>
          <w:sz w:val="28"/>
          <w:szCs w:val="28"/>
        </w:rPr>
        <w:t>项目概况：赣州高速和畅运营管理公司所管辖的</w:t>
      </w:r>
      <w:r>
        <w:rPr>
          <w:rFonts w:hint="eastAsia" w:ascii="仿宋" w:hAnsi="仿宋" w:eastAsia="仿宋" w:cs="仿宋"/>
          <w:kern w:val="0"/>
          <w:sz w:val="28"/>
          <w:szCs w:val="28"/>
          <w:lang w:eastAsia="zh-CN"/>
        </w:rPr>
        <w:t>龙南所配电房</w:t>
      </w:r>
      <w:r>
        <w:rPr>
          <w:rFonts w:hint="eastAsia" w:ascii="仿宋" w:hAnsi="仿宋" w:eastAsia="仿宋" w:cs="仿宋"/>
          <w:sz w:val="28"/>
          <w:szCs w:val="28"/>
        </w:rPr>
        <w:t>双电源柜进行改造和升级，由开启式刀开关</w:t>
      </w:r>
      <w:r>
        <w:rPr>
          <w:rFonts w:hint="eastAsia" w:ascii="仿宋" w:hAnsi="仿宋" w:eastAsia="仿宋" w:cs="仿宋"/>
          <w:sz w:val="28"/>
          <w:szCs w:val="28"/>
          <w:lang w:eastAsia="zh-CN"/>
        </w:rPr>
        <w:t>（</w:t>
      </w:r>
      <w:r>
        <w:rPr>
          <w:rFonts w:hint="eastAsia" w:ascii="仿宋" w:hAnsi="仿宋" w:eastAsia="仿宋" w:cs="仿宋"/>
          <w:sz w:val="28"/>
          <w:szCs w:val="28"/>
        </w:rPr>
        <w:t>型号：HS18BX-1000/41</w:t>
      </w:r>
      <w:r>
        <w:rPr>
          <w:rFonts w:hint="eastAsia" w:ascii="仿宋" w:hAnsi="仿宋" w:eastAsia="仿宋" w:cs="仿宋"/>
          <w:sz w:val="28"/>
          <w:szCs w:val="28"/>
          <w:lang w:eastAsia="zh-CN"/>
        </w:rPr>
        <w:t>）</w:t>
      </w:r>
      <w:r>
        <w:rPr>
          <w:rFonts w:hint="eastAsia" w:ascii="仿宋" w:hAnsi="仿宋" w:eastAsia="仿宋" w:cs="仿宋"/>
          <w:sz w:val="28"/>
          <w:szCs w:val="28"/>
        </w:rPr>
        <w:t>更改为具有自动切换功能的ATS自动开关。</w:t>
      </w:r>
    </w:p>
    <w:p w14:paraId="0E859E95">
      <w:pPr>
        <w:widowControl/>
        <w:numPr>
          <w:ilvl w:val="0"/>
          <w:numId w:val="1"/>
        </w:numPr>
        <w:spacing w:line="560" w:lineRule="exact"/>
        <w:ind w:firstLine="560" w:firstLineChars="200"/>
        <w:jc w:val="left"/>
        <w:rPr>
          <w:rFonts w:ascii="黑体" w:hAnsi="黑体" w:eastAsia="黑体" w:cs="黑体"/>
          <w:bCs/>
          <w:kern w:val="0"/>
          <w:sz w:val="28"/>
          <w:szCs w:val="28"/>
        </w:rPr>
      </w:pPr>
      <w:r>
        <w:rPr>
          <w:rFonts w:hint="eastAsia" w:ascii="黑体" w:hAnsi="黑体" w:eastAsia="黑体" w:cs="黑体"/>
          <w:bCs/>
          <w:kern w:val="0"/>
          <w:sz w:val="28"/>
          <w:szCs w:val="28"/>
        </w:rPr>
        <w:t>询价内容及标准</w:t>
      </w:r>
    </w:p>
    <w:p w14:paraId="61DC2702">
      <w:pPr>
        <w:pStyle w:val="23"/>
        <w:numPr>
          <w:ilvl w:val="0"/>
          <w:numId w:val="2"/>
        </w:numPr>
        <w:ind w:firstLine="280" w:firstLineChars="100"/>
        <w:rPr>
          <w:rFonts w:hint="eastAsia" w:hAnsi="仿宋" w:cs="仿宋"/>
          <w:color w:val="auto"/>
          <w:kern w:val="2"/>
          <w:sz w:val="28"/>
          <w:szCs w:val="28"/>
        </w:rPr>
      </w:pPr>
      <w:r>
        <w:rPr>
          <w:rFonts w:hint="eastAsia" w:hAnsi="仿宋" w:cs="仿宋"/>
          <w:color w:val="auto"/>
          <w:kern w:val="2"/>
          <w:sz w:val="28"/>
          <w:szCs w:val="28"/>
          <w:lang w:eastAsia="zh-CN"/>
        </w:rPr>
        <w:t>改造</w:t>
      </w:r>
      <w:r>
        <w:rPr>
          <w:rFonts w:hint="eastAsia" w:hAnsi="仿宋" w:cs="仿宋"/>
          <w:color w:val="auto"/>
          <w:kern w:val="2"/>
          <w:sz w:val="28"/>
          <w:szCs w:val="28"/>
        </w:rPr>
        <w:t>项目清单</w:t>
      </w:r>
    </w:p>
    <w:tbl>
      <w:tblPr>
        <w:tblStyle w:val="14"/>
        <w:tblW w:w="8335" w:type="dxa"/>
        <w:tblInd w:w="113" w:type="dxa"/>
        <w:tblLayout w:type="fixed"/>
        <w:tblCellMar>
          <w:top w:w="0" w:type="dxa"/>
          <w:left w:w="108" w:type="dxa"/>
          <w:bottom w:w="0" w:type="dxa"/>
          <w:right w:w="108" w:type="dxa"/>
        </w:tblCellMar>
      </w:tblPr>
      <w:tblGrid>
        <w:gridCol w:w="1080"/>
        <w:gridCol w:w="2365"/>
        <w:gridCol w:w="915"/>
        <w:gridCol w:w="930"/>
        <w:gridCol w:w="3045"/>
      </w:tblGrid>
      <w:tr w14:paraId="17284691">
        <w:tblPrEx>
          <w:tblCellMar>
            <w:top w:w="0" w:type="dxa"/>
            <w:left w:w="108" w:type="dxa"/>
            <w:bottom w:w="0" w:type="dxa"/>
            <w:right w:w="108" w:type="dxa"/>
          </w:tblCellMar>
        </w:tblPrEx>
        <w:trPr>
          <w:trHeight w:val="607"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7F906">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2365" w:type="dxa"/>
            <w:tcBorders>
              <w:top w:val="single" w:color="auto" w:sz="4" w:space="0"/>
              <w:left w:val="nil"/>
              <w:bottom w:val="single" w:color="auto" w:sz="4" w:space="0"/>
              <w:right w:val="single" w:color="auto" w:sz="4" w:space="0"/>
            </w:tcBorders>
            <w:shd w:val="clear" w:color="auto" w:fill="auto"/>
            <w:noWrap/>
            <w:vAlign w:val="center"/>
          </w:tcPr>
          <w:p w14:paraId="410229DF">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rPr>
              <w:t>项目</w:t>
            </w:r>
            <w:r>
              <w:rPr>
                <w:rFonts w:hint="eastAsia" w:ascii="仿宋" w:hAnsi="仿宋" w:eastAsia="仿宋" w:cs="仿宋"/>
                <w:b/>
                <w:bCs/>
                <w:color w:val="000000"/>
                <w:kern w:val="0"/>
                <w:sz w:val="24"/>
                <w:szCs w:val="24"/>
                <w:lang w:eastAsia="zh-CN"/>
              </w:rPr>
              <w:t>内容</w:t>
            </w:r>
          </w:p>
        </w:tc>
        <w:tc>
          <w:tcPr>
            <w:tcW w:w="915" w:type="dxa"/>
            <w:tcBorders>
              <w:top w:val="single" w:color="auto" w:sz="4" w:space="0"/>
              <w:left w:val="nil"/>
              <w:bottom w:val="single" w:color="auto" w:sz="4" w:space="0"/>
              <w:right w:val="single" w:color="auto" w:sz="4" w:space="0"/>
            </w:tcBorders>
            <w:shd w:val="clear" w:color="auto" w:fill="auto"/>
            <w:noWrap/>
            <w:vAlign w:val="center"/>
          </w:tcPr>
          <w:p w14:paraId="719F0FEC">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930" w:type="dxa"/>
            <w:tcBorders>
              <w:top w:val="single" w:color="auto" w:sz="4" w:space="0"/>
              <w:left w:val="nil"/>
              <w:bottom w:val="single" w:color="auto" w:sz="4" w:space="0"/>
              <w:right w:val="single" w:color="auto" w:sz="4" w:space="0"/>
            </w:tcBorders>
            <w:shd w:val="clear" w:color="auto" w:fill="auto"/>
            <w:noWrap/>
            <w:vAlign w:val="center"/>
          </w:tcPr>
          <w:p w14:paraId="0825B5ED">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3045" w:type="dxa"/>
            <w:tcBorders>
              <w:top w:val="single" w:color="auto" w:sz="4" w:space="0"/>
              <w:left w:val="nil"/>
              <w:bottom w:val="single" w:color="auto" w:sz="4" w:space="0"/>
              <w:right w:val="single" w:color="auto" w:sz="4" w:space="0"/>
            </w:tcBorders>
            <w:shd w:val="clear" w:color="auto" w:fill="auto"/>
            <w:noWrap/>
            <w:vAlign w:val="center"/>
          </w:tcPr>
          <w:p w14:paraId="39962FB9">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7F9398FF">
        <w:tblPrEx>
          <w:tblCellMar>
            <w:top w:w="0" w:type="dxa"/>
            <w:left w:w="108" w:type="dxa"/>
            <w:bottom w:w="0" w:type="dxa"/>
            <w:right w:w="108" w:type="dxa"/>
          </w:tblCellMar>
        </w:tblPrEx>
        <w:trPr>
          <w:trHeight w:val="9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14:paraId="77B7BAF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65" w:type="dxa"/>
            <w:tcBorders>
              <w:top w:val="nil"/>
              <w:left w:val="nil"/>
              <w:bottom w:val="single" w:color="auto" w:sz="4" w:space="0"/>
              <w:right w:val="single" w:color="auto" w:sz="4" w:space="0"/>
            </w:tcBorders>
            <w:shd w:val="clear" w:color="auto" w:fill="auto"/>
            <w:noWrap w:val="0"/>
            <w:vAlign w:val="center"/>
          </w:tcPr>
          <w:p w14:paraId="5A5BD267">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智能双电源转换开关总成</w:t>
            </w:r>
          </w:p>
        </w:tc>
        <w:tc>
          <w:tcPr>
            <w:tcW w:w="915" w:type="dxa"/>
            <w:tcBorders>
              <w:top w:val="nil"/>
              <w:left w:val="nil"/>
              <w:bottom w:val="single" w:color="auto" w:sz="4" w:space="0"/>
              <w:right w:val="single" w:color="auto" w:sz="4" w:space="0"/>
            </w:tcBorders>
            <w:shd w:val="clear" w:color="auto" w:fill="auto"/>
            <w:noWrap w:val="0"/>
            <w:vAlign w:val="center"/>
          </w:tcPr>
          <w:p w14:paraId="150579B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930" w:type="dxa"/>
            <w:tcBorders>
              <w:top w:val="nil"/>
              <w:left w:val="nil"/>
              <w:bottom w:val="single" w:color="auto" w:sz="4" w:space="0"/>
              <w:right w:val="single" w:color="auto" w:sz="4" w:space="0"/>
            </w:tcBorders>
            <w:shd w:val="clear" w:color="auto" w:fill="auto"/>
            <w:noWrap w:val="0"/>
            <w:vAlign w:val="center"/>
          </w:tcPr>
          <w:p w14:paraId="76AB42F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045" w:type="dxa"/>
            <w:tcBorders>
              <w:top w:val="nil"/>
              <w:left w:val="nil"/>
              <w:bottom w:val="single" w:color="auto" w:sz="4" w:space="0"/>
              <w:right w:val="single" w:color="auto" w:sz="4" w:space="0"/>
            </w:tcBorders>
            <w:shd w:val="clear" w:color="auto" w:fill="auto"/>
            <w:noWrap w:val="0"/>
            <w:vAlign w:val="center"/>
          </w:tcPr>
          <w:p w14:paraId="2E4A0C5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双电源自动转换开关1000A</w:t>
            </w:r>
          </w:p>
        </w:tc>
      </w:tr>
      <w:tr w14:paraId="43DEF6FB">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14:paraId="523324F4">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2365" w:type="dxa"/>
            <w:tcBorders>
              <w:top w:val="nil"/>
              <w:left w:val="nil"/>
              <w:bottom w:val="single" w:color="auto" w:sz="4" w:space="0"/>
              <w:right w:val="single" w:color="auto" w:sz="4" w:space="0"/>
            </w:tcBorders>
            <w:shd w:val="clear" w:color="auto" w:fill="auto"/>
            <w:noWrap w:val="0"/>
            <w:vAlign w:val="center"/>
          </w:tcPr>
          <w:p w14:paraId="09D4021C">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铜芯线缆：240mm² </w:t>
            </w:r>
          </w:p>
        </w:tc>
        <w:tc>
          <w:tcPr>
            <w:tcW w:w="915" w:type="dxa"/>
            <w:tcBorders>
              <w:top w:val="nil"/>
              <w:left w:val="nil"/>
              <w:bottom w:val="single" w:color="auto" w:sz="4" w:space="0"/>
              <w:right w:val="single" w:color="auto" w:sz="4" w:space="0"/>
            </w:tcBorders>
            <w:shd w:val="clear" w:color="auto" w:fill="auto"/>
            <w:noWrap w:val="0"/>
            <w:vAlign w:val="center"/>
          </w:tcPr>
          <w:p w14:paraId="257330D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930" w:type="dxa"/>
            <w:tcBorders>
              <w:top w:val="nil"/>
              <w:left w:val="nil"/>
              <w:bottom w:val="single" w:color="auto" w:sz="4" w:space="0"/>
              <w:right w:val="single" w:color="auto" w:sz="4" w:space="0"/>
            </w:tcBorders>
            <w:shd w:val="clear" w:color="auto" w:fill="auto"/>
            <w:noWrap w:val="0"/>
            <w:vAlign w:val="center"/>
          </w:tcPr>
          <w:p w14:paraId="1B2474B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3045" w:type="dxa"/>
            <w:tcBorders>
              <w:top w:val="nil"/>
              <w:left w:val="nil"/>
              <w:bottom w:val="single" w:color="auto" w:sz="4" w:space="0"/>
              <w:right w:val="single" w:color="auto" w:sz="4" w:space="0"/>
            </w:tcBorders>
            <w:shd w:val="clear" w:color="auto" w:fill="auto"/>
            <w:noWrap w:val="0"/>
            <w:vAlign w:val="center"/>
          </w:tcPr>
          <w:p w14:paraId="396E158B">
            <w:pPr>
              <w:widowControl/>
              <w:jc w:val="center"/>
              <w:rPr>
                <w:rFonts w:hint="eastAsia" w:ascii="仿宋" w:hAnsi="仿宋" w:eastAsia="仿宋" w:cs="仿宋"/>
                <w:color w:val="000000"/>
                <w:kern w:val="0"/>
                <w:sz w:val="24"/>
                <w:szCs w:val="24"/>
              </w:rPr>
            </w:pPr>
            <w:r>
              <w:rPr>
                <w:rFonts w:hint="eastAsia" w:ascii="仿宋" w:hAnsi="仿宋" w:eastAsia="仿宋" w:cs="仿宋"/>
                <w:i w:val="0"/>
                <w:iCs w:val="0"/>
                <w:caps w:val="0"/>
                <w:color w:val="000000"/>
                <w:spacing w:val="0"/>
                <w:sz w:val="24"/>
                <w:szCs w:val="24"/>
                <w:lang w:val="en-US" w:eastAsia="zh-CN"/>
              </w:rPr>
              <w:t>ZCYJV 0.6/1kV-1*240</w:t>
            </w:r>
            <w:r>
              <w:rPr>
                <w:rFonts w:hint="eastAsia" w:ascii="仿宋" w:hAnsi="仿宋" w:eastAsia="仿宋" w:cs="仿宋"/>
                <w:color w:val="000000"/>
                <w:kern w:val="0"/>
                <w:sz w:val="24"/>
                <w:szCs w:val="24"/>
              </w:rPr>
              <w:t>　</w:t>
            </w:r>
          </w:p>
        </w:tc>
      </w:tr>
      <w:tr w14:paraId="48B730B4">
        <w:tblPrEx>
          <w:tblCellMar>
            <w:top w:w="0" w:type="dxa"/>
            <w:left w:w="108" w:type="dxa"/>
            <w:bottom w:w="0" w:type="dxa"/>
            <w:right w:w="108" w:type="dxa"/>
          </w:tblCellMar>
        </w:tblPrEx>
        <w:trPr>
          <w:trHeight w:val="63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14:paraId="10A43C11">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2365" w:type="dxa"/>
            <w:tcBorders>
              <w:top w:val="nil"/>
              <w:left w:val="nil"/>
              <w:bottom w:val="single" w:color="auto" w:sz="4" w:space="0"/>
              <w:right w:val="single" w:color="auto" w:sz="4" w:space="0"/>
            </w:tcBorders>
            <w:shd w:val="clear" w:color="auto" w:fill="auto"/>
            <w:noWrap w:val="0"/>
            <w:vAlign w:val="center"/>
          </w:tcPr>
          <w:p w14:paraId="66096DD8">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安全措施费</w:t>
            </w:r>
          </w:p>
        </w:tc>
        <w:tc>
          <w:tcPr>
            <w:tcW w:w="915" w:type="dxa"/>
            <w:tcBorders>
              <w:top w:val="nil"/>
              <w:left w:val="nil"/>
              <w:bottom w:val="single" w:color="auto" w:sz="4" w:space="0"/>
              <w:right w:val="single" w:color="auto" w:sz="4" w:space="0"/>
            </w:tcBorders>
            <w:shd w:val="clear" w:color="auto" w:fill="auto"/>
            <w:noWrap w:val="0"/>
            <w:vAlign w:val="center"/>
          </w:tcPr>
          <w:p w14:paraId="1B45FAE0">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930" w:type="dxa"/>
            <w:tcBorders>
              <w:top w:val="nil"/>
              <w:left w:val="nil"/>
              <w:bottom w:val="single" w:color="auto" w:sz="4" w:space="0"/>
              <w:right w:val="single" w:color="auto" w:sz="4" w:space="0"/>
            </w:tcBorders>
            <w:shd w:val="clear" w:color="auto" w:fill="auto"/>
            <w:noWrap w:val="0"/>
            <w:vAlign w:val="center"/>
          </w:tcPr>
          <w:p w14:paraId="77BD442D">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045" w:type="dxa"/>
            <w:tcBorders>
              <w:top w:val="nil"/>
              <w:left w:val="nil"/>
              <w:bottom w:val="single" w:color="auto" w:sz="4" w:space="0"/>
              <w:right w:val="single" w:color="auto" w:sz="4" w:space="0"/>
            </w:tcBorders>
            <w:shd w:val="clear" w:color="auto" w:fill="auto"/>
            <w:noWrap w:val="0"/>
            <w:vAlign w:val="center"/>
          </w:tcPr>
          <w:p w14:paraId="0BC930A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机械运输、搬运、施工安全等</w:t>
            </w:r>
          </w:p>
        </w:tc>
      </w:tr>
      <w:tr w14:paraId="2C4BFBDD">
        <w:tblPrEx>
          <w:tblCellMar>
            <w:top w:w="0" w:type="dxa"/>
            <w:left w:w="108" w:type="dxa"/>
            <w:bottom w:w="0" w:type="dxa"/>
            <w:right w:w="108" w:type="dxa"/>
          </w:tblCellMar>
        </w:tblPrEx>
        <w:trPr>
          <w:trHeight w:val="2145"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14:paraId="5752C688">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2365" w:type="dxa"/>
            <w:tcBorders>
              <w:top w:val="nil"/>
              <w:left w:val="nil"/>
              <w:bottom w:val="single" w:color="auto" w:sz="4" w:space="0"/>
              <w:right w:val="single" w:color="auto" w:sz="4" w:space="0"/>
            </w:tcBorders>
            <w:shd w:val="clear" w:color="auto" w:fill="auto"/>
            <w:noWrap w:val="0"/>
            <w:vAlign w:val="center"/>
          </w:tcPr>
          <w:p w14:paraId="3536F07B">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施工费（变压器进线柜改造、线路迁移、改造一套，双电源柜调试、高低压停、送电等）</w:t>
            </w:r>
          </w:p>
        </w:tc>
        <w:tc>
          <w:tcPr>
            <w:tcW w:w="915" w:type="dxa"/>
            <w:tcBorders>
              <w:top w:val="nil"/>
              <w:left w:val="nil"/>
              <w:bottom w:val="single" w:color="auto" w:sz="4" w:space="0"/>
              <w:right w:val="single" w:color="auto" w:sz="4" w:space="0"/>
            </w:tcBorders>
            <w:shd w:val="clear" w:color="auto" w:fill="auto"/>
            <w:noWrap w:val="0"/>
            <w:vAlign w:val="center"/>
          </w:tcPr>
          <w:p w14:paraId="09E14AF2">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930" w:type="dxa"/>
            <w:tcBorders>
              <w:top w:val="nil"/>
              <w:left w:val="nil"/>
              <w:bottom w:val="single" w:color="auto" w:sz="4" w:space="0"/>
              <w:right w:val="single" w:color="auto" w:sz="4" w:space="0"/>
            </w:tcBorders>
            <w:shd w:val="clear" w:color="auto" w:fill="auto"/>
            <w:noWrap w:val="0"/>
            <w:vAlign w:val="center"/>
          </w:tcPr>
          <w:p w14:paraId="1BCAF19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045" w:type="dxa"/>
            <w:tcBorders>
              <w:top w:val="nil"/>
              <w:left w:val="nil"/>
              <w:bottom w:val="single" w:color="auto" w:sz="4" w:space="0"/>
              <w:right w:val="single" w:color="auto" w:sz="4" w:space="0"/>
            </w:tcBorders>
            <w:shd w:val="clear" w:color="auto" w:fill="auto"/>
            <w:noWrap w:val="0"/>
            <w:vAlign w:val="center"/>
          </w:tcPr>
          <w:p w14:paraId="5B93F8F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变压器进线柜改造、线路迁移、改造一套，双电源柜调试、高低压保电、停电、送电等</w:t>
            </w:r>
          </w:p>
        </w:tc>
      </w:tr>
      <w:tr w14:paraId="68A39BDB">
        <w:tblPrEx>
          <w:tblCellMar>
            <w:top w:w="0" w:type="dxa"/>
            <w:left w:w="108" w:type="dxa"/>
            <w:bottom w:w="0" w:type="dxa"/>
            <w:right w:w="108" w:type="dxa"/>
          </w:tblCellMar>
        </w:tblPrEx>
        <w:trPr>
          <w:trHeight w:val="535"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14:paraId="1BA1B5A3">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2365" w:type="dxa"/>
            <w:tcBorders>
              <w:top w:val="nil"/>
              <w:left w:val="nil"/>
              <w:bottom w:val="single" w:color="auto" w:sz="4" w:space="0"/>
              <w:right w:val="single" w:color="auto" w:sz="4" w:space="0"/>
            </w:tcBorders>
            <w:shd w:val="clear" w:color="auto" w:fill="auto"/>
            <w:noWrap w:val="0"/>
            <w:vAlign w:val="center"/>
          </w:tcPr>
          <w:p w14:paraId="15D9F719">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五金配件</w:t>
            </w:r>
          </w:p>
        </w:tc>
        <w:tc>
          <w:tcPr>
            <w:tcW w:w="915" w:type="dxa"/>
            <w:tcBorders>
              <w:top w:val="nil"/>
              <w:left w:val="nil"/>
              <w:bottom w:val="single" w:color="auto" w:sz="4" w:space="0"/>
              <w:right w:val="single" w:color="auto" w:sz="4" w:space="0"/>
            </w:tcBorders>
            <w:shd w:val="clear" w:color="auto" w:fill="auto"/>
            <w:noWrap w:val="0"/>
            <w:vAlign w:val="center"/>
          </w:tcPr>
          <w:p w14:paraId="2B9278A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930" w:type="dxa"/>
            <w:tcBorders>
              <w:top w:val="nil"/>
              <w:left w:val="nil"/>
              <w:bottom w:val="single" w:color="auto" w:sz="4" w:space="0"/>
              <w:right w:val="single" w:color="auto" w:sz="4" w:space="0"/>
            </w:tcBorders>
            <w:shd w:val="clear" w:color="auto" w:fill="auto"/>
            <w:noWrap w:val="0"/>
            <w:vAlign w:val="center"/>
          </w:tcPr>
          <w:p w14:paraId="3D02859E">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045" w:type="dxa"/>
            <w:tcBorders>
              <w:top w:val="nil"/>
              <w:left w:val="nil"/>
              <w:bottom w:val="single" w:color="auto" w:sz="4" w:space="0"/>
              <w:right w:val="single" w:color="auto" w:sz="4" w:space="0"/>
            </w:tcBorders>
            <w:shd w:val="clear" w:color="auto" w:fill="auto"/>
            <w:noWrap w:val="0"/>
            <w:vAlign w:val="center"/>
          </w:tcPr>
          <w:p w14:paraId="42B83C4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二次回路线材、铜接线端等辅材</w:t>
            </w:r>
          </w:p>
        </w:tc>
      </w:tr>
    </w:tbl>
    <w:p w14:paraId="216A7FFC">
      <w:pPr>
        <w:widowControl/>
        <w:numPr>
          <w:ilvl w:val="0"/>
          <w:numId w:val="3"/>
        </w:numPr>
        <w:spacing w:line="560" w:lineRule="exact"/>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施工地点: 赣州高速和畅运营管理公司</w:t>
      </w:r>
      <w:r>
        <w:rPr>
          <w:rFonts w:hint="eastAsia" w:ascii="仿宋" w:hAnsi="仿宋" w:eastAsia="仿宋" w:cs="仿宋"/>
          <w:kern w:val="0"/>
          <w:sz w:val="28"/>
          <w:szCs w:val="28"/>
          <w:lang w:eastAsia="zh-CN"/>
        </w:rPr>
        <w:t>龙南征费管理所。</w:t>
      </w:r>
    </w:p>
    <w:p w14:paraId="2FC73BB4">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560" w:firstLineChars="20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3、双电源转换开关和电缆</w:t>
      </w:r>
      <w:r>
        <w:rPr>
          <w:rFonts w:hint="eastAsia" w:ascii="仿宋" w:hAnsi="仿宋" w:eastAsia="仿宋" w:cs="仿宋"/>
          <w:i w:val="0"/>
          <w:iCs w:val="0"/>
          <w:caps w:val="0"/>
          <w:color w:val="000000"/>
          <w:spacing w:val="0"/>
          <w:sz w:val="28"/>
          <w:szCs w:val="28"/>
        </w:rPr>
        <w:t>技术参数</w:t>
      </w:r>
      <w:r>
        <w:rPr>
          <w:rFonts w:hint="eastAsia" w:ascii="仿宋" w:hAnsi="仿宋" w:eastAsia="仿宋" w:cs="仿宋"/>
          <w:i w:val="0"/>
          <w:iCs w:val="0"/>
          <w:caps w:val="0"/>
          <w:color w:val="000000"/>
          <w:spacing w:val="0"/>
          <w:sz w:val="28"/>
          <w:szCs w:val="28"/>
          <w:lang w:eastAsia="zh-CN"/>
        </w:rPr>
        <w:t>及要求</w:t>
      </w:r>
      <w:r>
        <w:rPr>
          <w:rFonts w:hint="eastAsia" w:ascii="仿宋" w:hAnsi="仿宋" w:eastAsia="仿宋" w:cs="仿宋"/>
          <w:i w:val="0"/>
          <w:iCs w:val="0"/>
          <w:caps w:val="0"/>
          <w:color w:val="000000"/>
          <w:spacing w:val="0"/>
          <w:sz w:val="28"/>
          <w:szCs w:val="28"/>
          <w:lang w:val="en-US" w:eastAsia="zh-CN"/>
        </w:rPr>
        <w:t xml:space="preserve">  </w:t>
      </w:r>
    </w:p>
    <w:p w14:paraId="35254ACD">
      <w:pPr>
        <w:pStyle w:val="13"/>
        <w:keepNext w:val="0"/>
        <w:keepLines w:val="0"/>
        <w:pageBreakBefore w:val="0"/>
        <w:widowControl/>
        <w:suppressLineNumbers w:val="0"/>
        <w:kinsoku/>
        <w:wordWrap/>
        <w:overflowPunct/>
        <w:topLinePunct w:val="0"/>
        <w:autoSpaceDE/>
        <w:autoSpaceDN/>
        <w:bidi w:val="0"/>
        <w:adjustRightInd/>
        <w:snapToGrid w:val="0"/>
        <w:spacing w:beforeAutospacing="0" w:afterAutospacing="0" w:line="400" w:lineRule="exact"/>
        <w:ind w:left="0" w:firstLine="0"/>
        <w:textAlignment w:val="auto"/>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sz w:val="28"/>
          <w:szCs w:val="28"/>
        </w:rPr>
        <w:t>1、智能双电源转换开关技术参数及要求</w:t>
      </w:r>
    </w:p>
    <w:p w14:paraId="6EFB4810">
      <w:pPr>
        <w:pStyle w:val="13"/>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（1）自动转换开关，ATSE 型式 PC 级；适用于交流 50Hz、额定电压 400V</w:t>
      </w:r>
      <w:r>
        <w:rPr>
          <w:rFonts w:hint="eastAsia" w:ascii="仿宋" w:hAnsi="仿宋" w:eastAsia="仿宋" w:cs="仿宋"/>
          <w:i w:val="0"/>
          <w:iCs w:val="0"/>
          <w:caps w:val="0"/>
          <w:color w:val="000000"/>
          <w:spacing w:val="0"/>
          <w:sz w:val="28"/>
          <w:szCs w:val="28"/>
          <w:lang w:val="en-US" w:eastAsia="zh-CN"/>
        </w:rPr>
        <w:t>(控制电源电压220V)</w:t>
      </w:r>
      <w:r>
        <w:rPr>
          <w:rFonts w:hint="eastAsia" w:ascii="仿宋" w:hAnsi="仿宋" w:eastAsia="仿宋" w:cs="仿宋"/>
          <w:i w:val="0"/>
          <w:iCs w:val="0"/>
          <w:caps w:val="0"/>
          <w:color w:val="000000"/>
          <w:spacing w:val="0"/>
          <w:sz w:val="28"/>
          <w:szCs w:val="28"/>
        </w:rPr>
        <w:t>、三相四线制供电系统。</w:t>
      </w:r>
    </w:p>
    <w:p w14:paraId="081DCEED">
      <w:pPr>
        <w:pStyle w:val="13"/>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（2）</w:t>
      </w:r>
      <w:r>
        <w:rPr>
          <w:rFonts w:hint="eastAsia" w:ascii="仿宋" w:hAnsi="仿宋" w:eastAsia="仿宋" w:cs="仿宋"/>
          <w:i w:val="0"/>
          <w:iCs w:val="0"/>
          <w:caps w:val="0"/>
          <w:color w:val="000000"/>
          <w:spacing w:val="0"/>
          <w:sz w:val="28"/>
          <w:szCs w:val="28"/>
          <w:lang w:val="en-US" w:eastAsia="zh-CN"/>
        </w:rPr>
        <w:t>额定绝缘电压</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1000V,额定冲击耐受电压</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12kV</w:t>
      </w:r>
    </w:p>
    <w:p w14:paraId="0F96B061">
      <w:pPr>
        <w:pStyle w:val="13"/>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（3）</w:t>
      </w:r>
      <w:r>
        <w:rPr>
          <w:rFonts w:hint="eastAsia" w:ascii="仿宋" w:hAnsi="仿宋" w:eastAsia="仿宋" w:cs="仿宋"/>
          <w:i w:val="0"/>
          <w:iCs w:val="0"/>
          <w:caps w:val="0"/>
          <w:color w:val="000000"/>
          <w:spacing w:val="0"/>
          <w:sz w:val="28"/>
          <w:szCs w:val="28"/>
          <w:lang w:val="en-US" w:eastAsia="zh-CN"/>
        </w:rPr>
        <w:t>额定工作电流1000A,额定短时耐受电流</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50kA</w:t>
      </w:r>
    </w:p>
    <w:p w14:paraId="2A277B4D">
      <w:pPr>
        <w:pStyle w:val="13"/>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0"/>
        <w:textAlignment w:val="auto"/>
        <w:rPr>
          <w:rFonts w:hint="eastAsia" w:ascii="仿宋" w:hAnsi="仿宋" w:eastAsia="仿宋" w:cs="仿宋"/>
          <w:i w:val="0"/>
          <w:iCs w:val="0"/>
          <w:caps w:val="0"/>
          <w:color w:val="auto"/>
          <w:spacing w:val="0"/>
          <w:sz w:val="28"/>
          <w:szCs w:val="28"/>
          <w:lang w:val="en-US"/>
        </w:rPr>
      </w:pPr>
      <w:r>
        <w:rPr>
          <w:rFonts w:hint="eastAsia" w:ascii="仿宋" w:hAnsi="仿宋" w:eastAsia="仿宋" w:cs="仿宋"/>
          <w:i w:val="0"/>
          <w:iCs w:val="0"/>
          <w:caps w:val="0"/>
          <w:color w:val="auto"/>
          <w:spacing w:val="0"/>
          <w:sz w:val="28"/>
          <w:szCs w:val="28"/>
        </w:rPr>
        <w:t>（4）</w:t>
      </w:r>
      <w:r>
        <w:rPr>
          <w:rFonts w:hint="eastAsia" w:ascii="仿宋" w:hAnsi="仿宋" w:eastAsia="仿宋" w:cs="仿宋"/>
          <w:i w:val="0"/>
          <w:iCs w:val="0"/>
          <w:caps w:val="0"/>
          <w:color w:val="auto"/>
          <w:spacing w:val="0"/>
          <w:sz w:val="28"/>
          <w:szCs w:val="28"/>
          <w:lang w:val="en-US" w:eastAsia="zh-CN"/>
        </w:rPr>
        <w:t>操作力</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300N</w:t>
      </w:r>
    </w:p>
    <w:p w14:paraId="53901AD2">
      <w:pPr>
        <w:pStyle w:val="13"/>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）符合</w:t>
      </w:r>
      <w:r>
        <w:rPr>
          <w:rFonts w:hint="eastAsia" w:ascii="仿宋" w:hAnsi="仿宋" w:eastAsia="仿宋" w:cs="仿宋"/>
          <w:i w:val="0"/>
          <w:iCs w:val="0"/>
          <w:caps w:val="0"/>
          <w:color w:val="auto"/>
          <w:spacing w:val="0"/>
          <w:sz w:val="28"/>
          <w:szCs w:val="28"/>
          <w:lang w:val="en-US" w:eastAsia="zh-CN"/>
        </w:rPr>
        <w:t>GB</w:t>
      </w:r>
      <w:r>
        <w:rPr>
          <w:rFonts w:hint="eastAsia" w:ascii="仿宋" w:hAnsi="仿宋" w:eastAsia="仿宋" w:cs="仿宋"/>
          <w:i w:val="0"/>
          <w:iCs w:val="0"/>
          <w:caps w:val="0"/>
          <w:color w:val="auto"/>
          <w:spacing w:val="0"/>
          <w:sz w:val="28"/>
          <w:szCs w:val="28"/>
        </w:rPr>
        <w:t>/T 1</w:t>
      </w:r>
      <w:r>
        <w:rPr>
          <w:rFonts w:hint="eastAsia" w:ascii="仿宋" w:hAnsi="仿宋" w:eastAsia="仿宋" w:cs="仿宋"/>
          <w:i w:val="0"/>
          <w:iCs w:val="0"/>
          <w:caps w:val="0"/>
          <w:color w:val="auto"/>
          <w:spacing w:val="0"/>
          <w:sz w:val="28"/>
          <w:szCs w:val="28"/>
          <w:lang w:val="en-US" w:eastAsia="zh-CN"/>
        </w:rPr>
        <w:t>4048.11</w:t>
      </w:r>
      <w:r>
        <w:rPr>
          <w:rFonts w:hint="eastAsia" w:ascii="仿宋" w:hAnsi="仿宋" w:eastAsia="仿宋" w:cs="仿宋"/>
          <w:i w:val="0"/>
          <w:iCs w:val="0"/>
          <w:caps w:val="0"/>
          <w:color w:val="auto"/>
          <w:spacing w:val="0"/>
          <w:sz w:val="28"/>
          <w:szCs w:val="28"/>
        </w:rPr>
        <w:t>-201</w:t>
      </w:r>
      <w:r>
        <w:rPr>
          <w:rFonts w:hint="eastAsia" w:ascii="仿宋" w:hAnsi="仿宋" w:eastAsia="仿宋" w:cs="仿宋"/>
          <w:i w:val="0"/>
          <w:iCs w:val="0"/>
          <w:caps w:val="0"/>
          <w:color w:val="auto"/>
          <w:spacing w:val="0"/>
          <w:sz w:val="28"/>
          <w:szCs w:val="28"/>
          <w:lang w:val="en-US" w:eastAsia="zh-CN"/>
        </w:rPr>
        <w:t>6</w:t>
      </w:r>
      <w:r>
        <w:rPr>
          <w:rFonts w:hint="eastAsia" w:ascii="仿宋" w:hAnsi="仿宋" w:eastAsia="仿宋" w:cs="仿宋"/>
          <w:i w:val="0"/>
          <w:iCs w:val="0"/>
          <w:caps w:val="0"/>
          <w:color w:val="auto"/>
          <w:spacing w:val="0"/>
          <w:sz w:val="28"/>
          <w:szCs w:val="28"/>
        </w:rPr>
        <w:t>标准</w:t>
      </w:r>
      <w:r>
        <w:rPr>
          <w:rFonts w:hint="eastAsia" w:ascii="仿宋" w:hAnsi="仿宋" w:eastAsia="仿宋" w:cs="仿宋"/>
          <w:i w:val="0"/>
          <w:iCs w:val="0"/>
          <w:caps w:val="0"/>
          <w:color w:val="auto"/>
          <w:spacing w:val="0"/>
          <w:sz w:val="28"/>
          <w:szCs w:val="28"/>
          <w:lang w:val="en-US" w:eastAsia="zh-CN"/>
        </w:rPr>
        <w:t>,</w:t>
      </w:r>
      <w:r>
        <w:rPr>
          <w:rFonts w:hint="eastAsia" w:ascii="仿宋" w:hAnsi="仿宋" w:eastAsia="仿宋" w:cs="仿宋"/>
          <w:i w:val="0"/>
          <w:iCs w:val="0"/>
          <w:caps w:val="0"/>
          <w:color w:val="auto"/>
          <w:spacing w:val="0"/>
          <w:sz w:val="28"/>
          <w:szCs w:val="28"/>
        </w:rPr>
        <w:t>产品须通过</w:t>
      </w:r>
      <w:r>
        <w:rPr>
          <w:rFonts w:hint="eastAsia" w:ascii="仿宋" w:hAnsi="仿宋" w:eastAsia="仿宋" w:cs="仿宋"/>
          <w:i w:val="0"/>
          <w:iCs w:val="0"/>
          <w:caps w:val="0"/>
          <w:color w:val="auto"/>
          <w:spacing w:val="0"/>
          <w:sz w:val="28"/>
          <w:szCs w:val="28"/>
          <w:lang w:val="en-US" w:eastAsia="zh-CN"/>
        </w:rPr>
        <w:t>中国国家强制性</w:t>
      </w:r>
      <w:r>
        <w:rPr>
          <w:rFonts w:hint="eastAsia" w:ascii="仿宋" w:hAnsi="仿宋" w:eastAsia="仿宋" w:cs="仿宋"/>
          <w:i w:val="0"/>
          <w:iCs w:val="0"/>
          <w:caps w:val="0"/>
          <w:color w:val="auto"/>
          <w:spacing w:val="0"/>
          <w:sz w:val="28"/>
          <w:szCs w:val="28"/>
        </w:rPr>
        <w:t>产品认证，并获得</w:t>
      </w:r>
      <w:r>
        <w:rPr>
          <w:rFonts w:hint="eastAsia" w:ascii="仿宋" w:hAnsi="仿宋" w:eastAsia="仿宋" w:cs="仿宋"/>
          <w:i w:val="0"/>
          <w:iCs w:val="0"/>
          <w:caps w:val="0"/>
          <w:color w:val="auto"/>
          <w:spacing w:val="0"/>
          <w:sz w:val="28"/>
          <w:szCs w:val="28"/>
          <w:lang w:val="en-US" w:eastAsia="zh-CN"/>
        </w:rPr>
        <w:t>CQC</w:t>
      </w:r>
      <w:r>
        <w:rPr>
          <w:rFonts w:hint="eastAsia" w:ascii="仿宋" w:hAnsi="仿宋" w:eastAsia="仿宋" w:cs="仿宋"/>
          <w:i w:val="0"/>
          <w:iCs w:val="0"/>
          <w:caps w:val="0"/>
          <w:color w:val="auto"/>
          <w:spacing w:val="0"/>
          <w:sz w:val="28"/>
          <w:szCs w:val="28"/>
        </w:rPr>
        <w:t>认证证书（提供投标产品</w:t>
      </w:r>
      <w:r>
        <w:rPr>
          <w:rFonts w:hint="eastAsia" w:ascii="仿宋" w:hAnsi="仿宋" w:eastAsia="仿宋" w:cs="仿宋"/>
          <w:i w:val="0"/>
          <w:iCs w:val="0"/>
          <w:caps w:val="0"/>
          <w:color w:val="auto"/>
          <w:spacing w:val="0"/>
          <w:sz w:val="28"/>
          <w:szCs w:val="28"/>
          <w:lang w:val="en-US" w:eastAsia="zh-CN"/>
        </w:rPr>
        <w:t>CQC</w:t>
      </w:r>
      <w:r>
        <w:rPr>
          <w:rFonts w:hint="eastAsia" w:ascii="仿宋" w:hAnsi="仿宋" w:eastAsia="仿宋" w:cs="仿宋"/>
          <w:i w:val="0"/>
          <w:iCs w:val="0"/>
          <w:caps w:val="0"/>
          <w:color w:val="auto"/>
          <w:spacing w:val="0"/>
          <w:sz w:val="28"/>
          <w:szCs w:val="28"/>
        </w:rPr>
        <w:t>证书复印件、产品</w:t>
      </w:r>
      <w:r>
        <w:rPr>
          <w:rFonts w:hint="eastAsia" w:ascii="仿宋" w:hAnsi="仿宋" w:eastAsia="仿宋" w:cs="仿宋"/>
          <w:i w:val="0"/>
          <w:iCs w:val="0"/>
          <w:caps w:val="0"/>
          <w:color w:val="auto"/>
          <w:spacing w:val="0"/>
          <w:sz w:val="28"/>
          <w:szCs w:val="28"/>
          <w:lang w:val="en-US" w:eastAsia="zh-CN"/>
        </w:rPr>
        <w:t>带</w:t>
      </w:r>
      <w:r>
        <w:rPr>
          <w:rFonts w:hint="eastAsia" w:ascii="仿宋" w:hAnsi="仿宋" w:eastAsia="仿宋" w:cs="仿宋"/>
          <w:i w:val="0"/>
          <w:iCs w:val="0"/>
          <w:caps w:val="0"/>
          <w:color w:val="auto"/>
          <w:spacing w:val="0"/>
          <w:sz w:val="28"/>
          <w:szCs w:val="28"/>
        </w:rPr>
        <w:t>CMA或CNAS标识的检测报告复印件。</w:t>
      </w:r>
      <w:r>
        <w:rPr>
          <w:rFonts w:hint="eastAsia" w:ascii="仿宋" w:hAnsi="仿宋" w:eastAsia="仿宋" w:cs="仿宋"/>
          <w:i w:val="0"/>
          <w:iCs w:val="0"/>
          <w:caps w:val="0"/>
          <w:color w:val="auto"/>
          <w:spacing w:val="0"/>
          <w:sz w:val="28"/>
          <w:szCs w:val="28"/>
          <w:lang w:val="en-US" w:eastAsia="zh-CN"/>
        </w:rPr>
        <w:t>)</w:t>
      </w:r>
    </w:p>
    <w:p w14:paraId="5D7447A2">
      <w:pPr>
        <w:pStyle w:val="13"/>
        <w:keepNext w:val="0"/>
        <w:keepLines w:val="0"/>
        <w:pageBreakBefore w:val="0"/>
        <w:widowControl/>
        <w:suppressLineNumbers w:val="0"/>
        <w:kinsoku/>
        <w:wordWrap/>
        <w:overflowPunct/>
        <w:topLinePunct w:val="0"/>
        <w:autoSpaceDE/>
        <w:autoSpaceDN/>
        <w:bidi w:val="0"/>
        <w:adjustRightInd/>
        <w:snapToGrid w:val="0"/>
        <w:spacing w:beforeAutospacing="0" w:afterAutospacing="0" w:line="480" w:lineRule="exact"/>
        <w:ind w:left="0" w:firstLine="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2 、</w:t>
      </w:r>
      <w:r>
        <w:rPr>
          <w:rFonts w:hint="eastAsia" w:ascii="仿宋" w:hAnsi="仿宋" w:eastAsia="仿宋" w:cs="仿宋"/>
          <w:b w:val="0"/>
          <w:bCs w:val="0"/>
          <w:i w:val="0"/>
          <w:iCs w:val="0"/>
          <w:caps w:val="0"/>
          <w:color w:val="auto"/>
          <w:spacing w:val="0"/>
          <w:sz w:val="28"/>
          <w:szCs w:val="28"/>
          <w:lang w:val="en-US" w:eastAsia="zh-CN"/>
        </w:rPr>
        <w:t>电缆</w:t>
      </w:r>
      <w:r>
        <w:rPr>
          <w:rFonts w:hint="eastAsia" w:ascii="仿宋" w:hAnsi="仿宋" w:eastAsia="仿宋" w:cs="仿宋"/>
          <w:b w:val="0"/>
          <w:bCs w:val="0"/>
          <w:i w:val="0"/>
          <w:iCs w:val="0"/>
          <w:caps w:val="0"/>
          <w:color w:val="auto"/>
          <w:spacing w:val="0"/>
          <w:sz w:val="28"/>
          <w:szCs w:val="28"/>
        </w:rPr>
        <w:t>技术参数及要求</w:t>
      </w:r>
    </w:p>
    <w:p w14:paraId="6419D0EC">
      <w:pPr>
        <w:pStyle w:val="13"/>
        <w:keepNext w:val="0"/>
        <w:keepLines w:val="0"/>
        <w:pageBreakBefore w:val="0"/>
        <w:widowControl/>
        <w:numPr>
          <w:ilvl w:val="0"/>
          <w:numId w:val="4"/>
        </w:numPr>
        <w:suppressLineNumbers w:val="0"/>
        <w:kinsoku/>
        <w:wordWrap/>
        <w:overflowPunct/>
        <w:topLinePunct w:val="0"/>
        <w:autoSpaceDE/>
        <w:autoSpaceDN/>
        <w:bidi w:val="0"/>
        <w:adjustRightInd/>
        <w:snapToGrid w:val="0"/>
        <w:spacing w:beforeAutospacing="0" w:afterAutospacing="0" w:line="480" w:lineRule="exact"/>
        <w:ind w:left="0" w:firstLine="0"/>
        <w:textAlignment w:val="auto"/>
        <w:rPr>
          <w:rFonts w:hint="eastAsia" w:ascii="仿宋" w:hAnsi="仿宋" w:eastAsia="仿宋" w:cs="仿宋"/>
          <w:color w:val="auto"/>
          <w:kern w:val="0"/>
          <w:sz w:val="28"/>
          <w:szCs w:val="28"/>
        </w:rPr>
      </w:pPr>
      <w:r>
        <w:rPr>
          <w:rFonts w:hint="eastAsia" w:ascii="仿宋" w:hAnsi="仿宋" w:eastAsia="仿宋" w:cs="仿宋"/>
          <w:i w:val="0"/>
          <w:iCs w:val="0"/>
          <w:caps w:val="0"/>
          <w:color w:val="auto"/>
          <w:spacing w:val="0"/>
          <w:sz w:val="28"/>
          <w:szCs w:val="28"/>
        </w:rPr>
        <w:t>技术标准：</w:t>
      </w:r>
      <w:r>
        <w:rPr>
          <w:rFonts w:hint="eastAsia" w:ascii="仿宋" w:hAnsi="仿宋" w:eastAsia="仿宋" w:cs="仿宋"/>
          <w:i w:val="0"/>
          <w:iCs w:val="0"/>
          <w:caps w:val="0"/>
          <w:color w:val="auto"/>
          <w:spacing w:val="0"/>
          <w:sz w:val="28"/>
          <w:szCs w:val="28"/>
          <w:lang w:val="en-US" w:eastAsia="zh-CN"/>
        </w:rPr>
        <w:t>规格型号：ZCYJV 0.6/1kV-1*240,产品结构和尺寸符合GB</w:t>
      </w:r>
      <w:r>
        <w:rPr>
          <w:rFonts w:hint="eastAsia" w:ascii="仿宋" w:hAnsi="仿宋" w:eastAsia="仿宋" w:cs="仿宋"/>
          <w:i w:val="0"/>
          <w:iCs w:val="0"/>
          <w:caps w:val="0"/>
          <w:color w:val="auto"/>
          <w:spacing w:val="0"/>
          <w:sz w:val="28"/>
          <w:szCs w:val="28"/>
        </w:rPr>
        <w:t>/T1</w:t>
      </w:r>
      <w:r>
        <w:rPr>
          <w:rFonts w:hint="eastAsia" w:ascii="仿宋" w:hAnsi="仿宋" w:eastAsia="仿宋" w:cs="仿宋"/>
          <w:i w:val="0"/>
          <w:iCs w:val="0"/>
          <w:caps w:val="0"/>
          <w:color w:val="auto"/>
          <w:spacing w:val="0"/>
          <w:sz w:val="28"/>
          <w:szCs w:val="28"/>
          <w:lang w:val="en-US" w:eastAsia="zh-CN"/>
        </w:rPr>
        <w:t>2706.1</w:t>
      </w:r>
      <w:r>
        <w:rPr>
          <w:rFonts w:hint="eastAsia" w:ascii="仿宋" w:hAnsi="仿宋" w:eastAsia="仿宋" w:cs="仿宋"/>
          <w:i w:val="0"/>
          <w:iCs w:val="0"/>
          <w:caps w:val="0"/>
          <w:color w:val="auto"/>
          <w:spacing w:val="0"/>
          <w:sz w:val="28"/>
          <w:szCs w:val="28"/>
        </w:rPr>
        <w:t>-20</w:t>
      </w:r>
      <w:r>
        <w:rPr>
          <w:rFonts w:hint="eastAsia" w:ascii="仿宋" w:hAnsi="仿宋" w:eastAsia="仿宋" w:cs="仿宋"/>
          <w:i w:val="0"/>
          <w:iCs w:val="0"/>
          <w:caps w:val="0"/>
          <w:color w:val="auto"/>
          <w:spacing w:val="0"/>
          <w:sz w:val="28"/>
          <w:szCs w:val="28"/>
          <w:lang w:val="en-US" w:eastAsia="zh-CN"/>
        </w:rPr>
        <w:t>20</w:t>
      </w:r>
      <w:r>
        <w:rPr>
          <w:rFonts w:hint="eastAsia" w:ascii="仿宋" w:hAnsi="仿宋" w:eastAsia="仿宋" w:cs="仿宋"/>
          <w:i w:val="0"/>
          <w:iCs w:val="0"/>
          <w:caps w:val="0"/>
          <w:color w:val="auto"/>
          <w:spacing w:val="0"/>
          <w:sz w:val="28"/>
          <w:szCs w:val="28"/>
        </w:rPr>
        <w:t>标准。</w:t>
      </w:r>
    </w:p>
    <w:p w14:paraId="30F7ABBB">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三、本次询价的控制价上限及要求</w:t>
      </w:r>
    </w:p>
    <w:p w14:paraId="2E32CC66">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控制价上限</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val="en-US" w:eastAsia="zh-CN"/>
        </w:rPr>
        <w:t>35320</w:t>
      </w:r>
      <w:r>
        <w:rPr>
          <w:rFonts w:hint="eastAsia" w:ascii="仿宋_GB2312" w:hAnsi="仿宋_GB2312" w:eastAsia="仿宋_GB2312" w:cs="仿宋_GB2312"/>
          <w:b/>
          <w:bCs/>
          <w:kern w:val="0"/>
          <w:sz w:val="28"/>
          <w:szCs w:val="28"/>
        </w:rPr>
        <w:t>元。</w:t>
      </w:r>
      <w:r>
        <w:rPr>
          <w:rFonts w:hint="eastAsia" w:ascii="仿宋_GB2312" w:hAnsi="仿宋_GB2312" w:eastAsia="仿宋_GB2312" w:cs="仿宋_GB2312"/>
          <w:kern w:val="0"/>
          <w:sz w:val="28"/>
          <w:szCs w:val="28"/>
        </w:rPr>
        <w:t>报价方的报价不得高于本限价，否则视为不响应询价文件，而被采购方拒绝。</w:t>
      </w:r>
    </w:p>
    <w:p w14:paraId="7593B02E">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本报价包含实施和完成项目所需的劳务、材料、机械、咨询、调试、安全、交通、管理、差旅费、保险、税费、利润等所有费用，询价人不再另行支付其他费用。</w:t>
      </w:r>
    </w:p>
    <w:p w14:paraId="4224557D">
      <w:pPr>
        <w:spacing w:line="560" w:lineRule="exact"/>
        <w:ind w:firstLine="560" w:firstLineChars="200"/>
        <w:outlineLvl w:val="1"/>
        <w:rPr>
          <w:rFonts w:ascii="黑体" w:hAnsi="黑体" w:eastAsia="黑体" w:cs="黑体"/>
          <w:bCs/>
          <w:sz w:val="28"/>
          <w:szCs w:val="28"/>
        </w:rPr>
      </w:pPr>
      <w:r>
        <w:rPr>
          <w:rFonts w:hint="eastAsia" w:ascii="黑体" w:hAnsi="黑体" w:eastAsia="黑体" w:cs="黑体"/>
          <w:bCs/>
          <w:sz w:val="28"/>
          <w:szCs w:val="28"/>
        </w:rPr>
        <w:t>四、询价保证金</w:t>
      </w:r>
    </w:p>
    <w:p w14:paraId="015C35F0">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1、该项目询价保证金为人民币壹仟元整</w:t>
      </w:r>
      <w:r>
        <w:rPr>
          <w:rFonts w:hint="eastAsia" w:ascii="仿宋" w:hAnsi="仿宋" w:eastAsia="仿宋" w:cs="仿宋"/>
          <w:bCs/>
          <w:sz w:val="28"/>
          <w:szCs w:val="28"/>
          <w:u w:val="single"/>
        </w:rPr>
        <w:t>￥1000</w:t>
      </w:r>
      <w:r>
        <w:rPr>
          <w:rFonts w:hint="eastAsia" w:ascii="仿宋" w:hAnsi="仿宋" w:eastAsia="仿宋" w:cs="仿宋"/>
          <w:bCs/>
          <w:sz w:val="28"/>
          <w:szCs w:val="28"/>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1C3B9DB4">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2、凡未按规定交纳保证金的，其报价文件为无效报价。</w:t>
      </w:r>
    </w:p>
    <w:p w14:paraId="46786F6C">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3、如无质疑或投诉，未被确定为中选单位的保证金现场不计息退还；中选单位的询价保证金在</w:t>
      </w:r>
      <w:r>
        <w:rPr>
          <w:rFonts w:hint="eastAsia" w:ascii="仿宋" w:hAnsi="仿宋" w:eastAsia="仿宋" w:cs="仿宋"/>
          <w:sz w:val="28"/>
          <w:szCs w:val="28"/>
        </w:rPr>
        <w:t>项目完工验收后</w:t>
      </w:r>
      <w:r>
        <w:rPr>
          <w:rFonts w:hint="eastAsia" w:ascii="仿宋" w:hAnsi="仿宋" w:eastAsia="仿宋" w:cs="仿宋"/>
          <w:bCs/>
          <w:sz w:val="28"/>
          <w:szCs w:val="28"/>
        </w:rPr>
        <w:t>一次性退还。</w:t>
      </w:r>
    </w:p>
    <w:p w14:paraId="279342FA">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4、若报价人在报价文件的递交截止时间后要求撤回报价文件、拒绝二次报价或出现第二轮报价高于第一轮报价的情况，询价人有权拒绝退还报价人的询价保证金。</w:t>
      </w:r>
    </w:p>
    <w:p w14:paraId="38F75D62">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五、费用的支付</w:t>
      </w:r>
    </w:p>
    <w:p w14:paraId="43520C98">
      <w:pPr>
        <w:pStyle w:val="13"/>
        <w:widowControl/>
        <w:spacing w:before="0" w:beforeAutospacing="0" w:after="0" w:afterAutospacing="0" w:line="30" w:lineRule="atLeast"/>
        <w:ind w:firstLine="480"/>
        <w:rPr>
          <w:rFonts w:ascii="仿宋_GB2312" w:hAnsi="仿宋_GB2312" w:eastAsia="仿宋_GB2312" w:cs="仿宋_GB2312"/>
          <w:kern w:val="0"/>
          <w:sz w:val="28"/>
          <w:szCs w:val="28"/>
        </w:rPr>
      </w:pPr>
      <w:r>
        <w:rPr>
          <w:rFonts w:hint="eastAsia" w:ascii="仿宋_GB2312" w:hAnsi="仿宋_GB2312" w:eastAsia="仿宋_GB2312" w:cs="仿宋_GB2312"/>
          <w:bCs/>
          <w:kern w:val="2"/>
          <w:sz w:val="28"/>
          <w:szCs w:val="28"/>
        </w:rPr>
        <w:t>工程完工、验收合格并收到正式发票后15天内，支付已完成工程总价100%的工程款。</w:t>
      </w:r>
    </w:p>
    <w:p w14:paraId="5FBF347B">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六、报价人资格要求</w:t>
      </w:r>
    </w:p>
    <w:p w14:paraId="3590E370">
      <w:pPr>
        <w:pStyle w:val="13"/>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b w:val="0"/>
          <w:bCs w:val="0"/>
          <w:color w:val="auto"/>
          <w:sz w:val="28"/>
          <w:szCs w:val="28"/>
        </w:rPr>
        <w:t>资质要求：具备独立法人资格，具有有效的营业执照（具有本次施工采购项目经营范围）。</w:t>
      </w:r>
    </w:p>
    <w:p w14:paraId="7B684953">
      <w:pPr>
        <w:pStyle w:val="13"/>
        <w:keepNext w:val="0"/>
        <w:keepLines w:val="0"/>
        <w:pageBreakBefore w:val="0"/>
        <w:widowControl/>
        <w:kinsoku/>
        <w:wordWrap/>
        <w:overflowPunct/>
        <w:topLinePunct w:val="0"/>
        <w:autoSpaceDE/>
        <w:autoSpaceDN/>
        <w:bidi w:val="0"/>
        <w:adjustRightInd/>
        <w:spacing w:before="0" w:beforeAutospacing="0" w:after="0" w:afterAutospacing="0"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2、业绩要求：</w:t>
      </w:r>
      <w:r>
        <w:rPr>
          <w:rFonts w:hint="eastAsia" w:ascii="仿宋_GB2312" w:hAnsi="仿宋_GB2312" w:eastAsia="仿宋_GB2312" w:cs="仿宋_GB2312"/>
          <w:b w:val="0"/>
          <w:bCs w:val="0"/>
          <w:i w:val="0"/>
          <w:iCs w:val="0"/>
          <w:caps w:val="0"/>
          <w:color w:val="auto"/>
          <w:spacing w:val="0"/>
          <w:sz w:val="28"/>
          <w:szCs w:val="28"/>
        </w:rPr>
        <w:t>近</w:t>
      </w:r>
      <w:r>
        <w:rPr>
          <w:rFonts w:hint="eastAsia" w:ascii="仿宋_GB2312" w:hAnsi="仿宋_GB2312" w:eastAsia="仿宋_GB2312" w:cs="仿宋_GB2312"/>
          <w:b w:val="0"/>
          <w:bCs w:val="0"/>
          <w:i w:val="0"/>
          <w:iCs w:val="0"/>
          <w:caps w:val="0"/>
          <w:color w:val="auto"/>
          <w:spacing w:val="0"/>
          <w:sz w:val="28"/>
          <w:szCs w:val="28"/>
          <w:lang w:eastAsia="zh-CN"/>
        </w:rPr>
        <w:t>两</w:t>
      </w:r>
      <w:r>
        <w:rPr>
          <w:rFonts w:hint="eastAsia" w:ascii="仿宋_GB2312" w:hAnsi="仿宋_GB2312" w:eastAsia="仿宋_GB2312" w:cs="仿宋_GB2312"/>
          <w:b w:val="0"/>
          <w:bCs w:val="0"/>
          <w:i w:val="0"/>
          <w:iCs w:val="0"/>
          <w:caps w:val="0"/>
          <w:color w:val="auto"/>
          <w:spacing w:val="0"/>
          <w:sz w:val="28"/>
          <w:szCs w:val="28"/>
        </w:rPr>
        <w:t>年内（合同签订时间为</w:t>
      </w:r>
      <w:r>
        <w:rPr>
          <w:rFonts w:hint="eastAsia" w:ascii="仿宋_GB2312" w:hAnsi="仿宋_GB2312" w:eastAsia="仿宋_GB2312" w:cs="仿宋_GB2312"/>
          <w:b w:val="0"/>
          <w:bCs w:val="0"/>
          <w:i w:val="0"/>
          <w:iCs w:val="0"/>
          <w:caps w:val="0"/>
          <w:color w:val="auto"/>
          <w:spacing w:val="0"/>
          <w:sz w:val="28"/>
          <w:szCs w:val="28"/>
          <w:lang w:val="en-US" w:eastAsia="zh-CN"/>
        </w:rPr>
        <w:t>2022</w:t>
      </w:r>
      <w:r>
        <w:rPr>
          <w:rFonts w:hint="eastAsia" w:ascii="仿宋_GB2312" w:hAnsi="仿宋_GB2312" w:eastAsia="仿宋_GB2312" w:cs="仿宋_GB2312"/>
          <w:b w:val="0"/>
          <w:bCs w:val="0"/>
          <w:i w:val="0"/>
          <w:iCs w:val="0"/>
          <w:caps w:val="0"/>
          <w:color w:val="auto"/>
          <w:spacing w:val="0"/>
          <w:sz w:val="28"/>
          <w:szCs w:val="28"/>
        </w:rPr>
        <w:t>年</w:t>
      </w:r>
      <w:r>
        <w:rPr>
          <w:rFonts w:hint="eastAsia" w:ascii="仿宋_GB2312" w:hAnsi="仿宋_GB2312" w:eastAsia="仿宋_GB2312" w:cs="仿宋_GB2312"/>
          <w:b w:val="0"/>
          <w:bCs w:val="0"/>
          <w:i w:val="0"/>
          <w:iCs w:val="0"/>
          <w:caps w:val="0"/>
          <w:color w:val="auto"/>
          <w:spacing w:val="0"/>
          <w:sz w:val="28"/>
          <w:szCs w:val="28"/>
          <w:lang w:val="en-US" w:eastAsia="zh-CN"/>
        </w:rPr>
        <w:t>9</w:t>
      </w:r>
      <w:r>
        <w:rPr>
          <w:rFonts w:hint="eastAsia" w:ascii="仿宋_GB2312" w:hAnsi="仿宋_GB2312" w:eastAsia="仿宋_GB2312" w:cs="仿宋_GB2312"/>
          <w:b w:val="0"/>
          <w:bCs w:val="0"/>
          <w:i w:val="0"/>
          <w:iCs w:val="0"/>
          <w:caps w:val="0"/>
          <w:color w:val="auto"/>
          <w:spacing w:val="0"/>
          <w:sz w:val="28"/>
          <w:szCs w:val="28"/>
        </w:rPr>
        <w:t>月</w:t>
      </w:r>
      <w:r>
        <w:rPr>
          <w:rFonts w:hint="eastAsia" w:ascii="仿宋_GB2312" w:hAnsi="仿宋_GB2312" w:eastAsia="仿宋_GB2312" w:cs="仿宋_GB2312"/>
          <w:b w:val="0"/>
          <w:bCs w:val="0"/>
          <w:i w:val="0"/>
          <w:iCs w:val="0"/>
          <w:caps w:val="0"/>
          <w:color w:val="auto"/>
          <w:spacing w:val="0"/>
          <w:sz w:val="28"/>
          <w:szCs w:val="28"/>
          <w:lang w:val="en-US" w:eastAsia="zh-CN"/>
        </w:rPr>
        <w:t>1</w:t>
      </w:r>
      <w:r>
        <w:rPr>
          <w:rFonts w:hint="eastAsia" w:ascii="仿宋_GB2312" w:hAnsi="仿宋_GB2312" w:eastAsia="仿宋_GB2312" w:cs="仿宋_GB2312"/>
          <w:b w:val="0"/>
          <w:bCs w:val="0"/>
          <w:i w:val="0"/>
          <w:iCs w:val="0"/>
          <w:caps w:val="0"/>
          <w:color w:val="auto"/>
          <w:spacing w:val="0"/>
          <w:sz w:val="28"/>
          <w:szCs w:val="28"/>
        </w:rPr>
        <w:t>日至202</w:t>
      </w:r>
      <w:r>
        <w:rPr>
          <w:rFonts w:hint="eastAsia" w:ascii="仿宋_GB2312" w:hAnsi="仿宋_GB2312" w:eastAsia="仿宋_GB2312" w:cs="仿宋_GB2312"/>
          <w:b w:val="0"/>
          <w:bCs w:val="0"/>
          <w:i w:val="0"/>
          <w:iCs w:val="0"/>
          <w:caps w:val="0"/>
          <w:color w:val="auto"/>
          <w:spacing w:val="0"/>
          <w:sz w:val="28"/>
          <w:szCs w:val="28"/>
          <w:lang w:val="en-US" w:eastAsia="zh-CN"/>
        </w:rPr>
        <w:t>4</w:t>
      </w:r>
      <w:r>
        <w:rPr>
          <w:rFonts w:hint="eastAsia" w:ascii="仿宋_GB2312" w:hAnsi="仿宋_GB2312" w:eastAsia="仿宋_GB2312" w:cs="仿宋_GB2312"/>
          <w:b w:val="0"/>
          <w:bCs w:val="0"/>
          <w:i w:val="0"/>
          <w:iCs w:val="0"/>
          <w:caps w:val="0"/>
          <w:color w:val="auto"/>
          <w:spacing w:val="0"/>
          <w:sz w:val="28"/>
          <w:szCs w:val="28"/>
        </w:rPr>
        <w:t>年</w:t>
      </w:r>
      <w:r>
        <w:rPr>
          <w:rFonts w:hint="eastAsia" w:ascii="仿宋_GB2312" w:hAnsi="仿宋_GB2312" w:eastAsia="仿宋_GB2312" w:cs="仿宋_GB2312"/>
          <w:b w:val="0"/>
          <w:bCs w:val="0"/>
          <w:i w:val="0"/>
          <w:iCs w:val="0"/>
          <w:caps w:val="0"/>
          <w:color w:val="auto"/>
          <w:spacing w:val="0"/>
          <w:sz w:val="28"/>
          <w:szCs w:val="28"/>
          <w:lang w:val="en-US" w:eastAsia="zh-CN"/>
        </w:rPr>
        <w:t>9</w:t>
      </w:r>
      <w:r>
        <w:rPr>
          <w:rFonts w:hint="eastAsia" w:ascii="仿宋_GB2312" w:hAnsi="仿宋_GB2312" w:eastAsia="仿宋_GB2312" w:cs="仿宋_GB2312"/>
          <w:b w:val="0"/>
          <w:bCs w:val="0"/>
          <w:i w:val="0"/>
          <w:iCs w:val="0"/>
          <w:caps w:val="0"/>
          <w:color w:val="auto"/>
          <w:spacing w:val="0"/>
          <w:sz w:val="28"/>
          <w:szCs w:val="28"/>
        </w:rPr>
        <w:t>月1日）</w:t>
      </w:r>
      <w:r>
        <w:rPr>
          <w:rFonts w:hint="eastAsia" w:ascii="仿宋_GB2312" w:hAnsi="仿宋_GB2312" w:eastAsia="仿宋_GB2312" w:cs="仿宋_GB2312"/>
          <w:i w:val="0"/>
          <w:iCs w:val="0"/>
          <w:caps w:val="0"/>
          <w:color w:val="auto"/>
          <w:spacing w:val="0"/>
          <w:sz w:val="28"/>
          <w:szCs w:val="28"/>
        </w:rPr>
        <w:t>至少完成1个类似项目</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color w:val="auto"/>
          <w:sz w:val="28"/>
          <w:szCs w:val="28"/>
        </w:rPr>
        <w:t>建议先查看现场环境后报价。</w:t>
      </w:r>
    </w:p>
    <w:p w14:paraId="02D14BE6">
      <w:pPr>
        <w:pStyle w:val="1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00" w:lineRule="exact"/>
        <w:ind w:right="0" w:rightChars="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kern w:val="0"/>
          <w:sz w:val="28"/>
          <w:szCs w:val="28"/>
          <w:lang w:val="en-US" w:eastAsia="zh-CN" w:bidi="ar-SA"/>
        </w:rPr>
        <w:t>3、</w:t>
      </w:r>
      <w:r>
        <w:rPr>
          <w:rFonts w:hint="eastAsia" w:ascii="仿宋_GB2312" w:hAnsi="仿宋_GB2312" w:eastAsia="仿宋_GB2312" w:cs="仿宋_GB2312"/>
          <w:b w:val="0"/>
          <w:bCs w:val="0"/>
          <w:color w:val="auto"/>
          <w:kern w:val="0"/>
          <w:sz w:val="28"/>
          <w:szCs w:val="28"/>
          <w:lang w:val="en-US" w:eastAsia="zh-CN" w:bidi="ar-SA"/>
        </w:rPr>
        <w:t>安装及施工按照GB50254-2014标准执行，项目完工后需按GB50150-1991标准做交接性试验并出具数据记录。投标人拟委派的工作人员需持电工证上岗，报价文件需提供最少一份高压电工证、一份低压电工证复印件（非必须同一人，但均需在有效期内）。</w:t>
      </w:r>
    </w:p>
    <w:p w14:paraId="5E7437FF">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lang w:val="en-US" w:eastAsia="zh-CN"/>
        </w:rPr>
        <w:t>4</w:t>
      </w:r>
      <w:r>
        <w:rPr>
          <w:rFonts w:hint="eastAsia" w:ascii="仿宋_GB2312" w:hAnsi="仿宋_GB2312" w:eastAsia="仿宋_GB2312" w:cs="仿宋_GB2312"/>
          <w:b w:val="0"/>
          <w:bCs w:val="0"/>
          <w:kern w:val="0"/>
          <w:sz w:val="28"/>
          <w:szCs w:val="28"/>
        </w:rPr>
        <w:t>、各报价方之间不得存在关联关系，包括且不限于以下情形：单位负责人为同一人；相互持股、控股、人员交叉任职、管理关系；一经查实则取消本次报价资格。</w:t>
      </w:r>
    </w:p>
    <w:p w14:paraId="0CC7B522">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七、报价文件组成</w:t>
      </w:r>
    </w:p>
    <w:p w14:paraId="2664133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请各报价方派专人携带身份证明及报价文件，参加本次活动：</w:t>
      </w:r>
    </w:p>
    <w:p w14:paraId="2F1B2640">
      <w:pPr>
        <w:widowControl/>
        <w:numPr>
          <w:ilvl w:val="0"/>
          <w:numId w:val="5"/>
        </w:numPr>
        <w:spacing w:line="560" w:lineRule="exact"/>
        <w:ind w:firstLine="48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身份证明包括</w:t>
      </w:r>
    </w:p>
    <w:p w14:paraId="6E390B8E">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（1）法人：身份证原件，营业执照复印件加盖红章；</w:t>
      </w:r>
    </w:p>
    <w:p w14:paraId="3BBDCB14">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（2）授权代理人：身份证原件、营业执照、授权委托书复印件加盖公章。</w:t>
      </w:r>
    </w:p>
    <w:p w14:paraId="3D994E27">
      <w:pPr>
        <w:widowControl/>
        <w:numPr>
          <w:ilvl w:val="0"/>
          <w:numId w:val="5"/>
        </w:numPr>
        <w:spacing w:line="560" w:lineRule="exact"/>
        <w:ind w:firstLine="48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报价文件包括</w:t>
      </w:r>
    </w:p>
    <w:p w14:paraId="572F35A3">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单位营业执照复印件</w:t>
      </w:r>
    </w:p>
    <w:p w14:paraId="60B5119C">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法人代表（身份证复印件），授权代理人（授权代理人身份证复印件、授权书原件）</w:t>
      </w:r>
    </w:p>
    <w:p w14:paraId="47B97656">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报价函</w:t>
      </w:r>
    </w:p>
    <w:p w14:paraId="0BEEBCC4">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信誉承诺表</w:t>
      </w:r>
    </w:p>
    <w:p w14:paraId="4F9E940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业绩证明材料（须提供已完项目的合同文件）复印件、人员相关资料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lang w:val="en-US" w:eastAsia="zh-CN"/>
        </w:rPr>
        <w:t>高压电工证、低压电工证复印件（非必须同一人，但均需在有效期内）。</w:t>
      </w:r>
    </w:p>
    <w:p w14:paraId="319065E1">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询价文件要求的其他文件</w:t>
      </w:r>
    </w:p>
    <w:p w14:paraId="46791598">
      <w:pPr>
        <w:keepNext w:val="0"/>
        <w:keepLines w:val="0"/>
        <w:pageBreakBefore w:val="0"/>
        <w:widowControl/>
        <w:kinsoku/>
        <w:wordWrap/>
        <w:overflowPunct/>
        <w:topLinePunct w:val="0"/>
        <w:autoSpaceDE/>
        <w:autoSpaceDN/>
        <w:bidi w:val="0"/>
        <w:adjustRightInd/>
        <w:snapToGrid/>
        <w:spacing w:line="240" w:lineRule="auto"/>
        <w:ind w:firstLine="480"/>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以上资料均应逐页加盖单位公章并装订成册（一式贰份，一正一副）、不得活页，并标明正副本（正本与副本内容不一致的，以正本为准）</w:t>
      </w:r>
    </w:p>
    <w:p w14:paraId="6269F264">
      <w:pPr>
        <w:widowControl/>
        <w:numPr>
          <w:ilvl w:val="0"/>
          <w:numId w:val="7"/>
        </w:numPr>
        <w:spacing w:line="560" w:lineRule="exact"/>
        <w:ind w:firstLine="482"/>
        <w:jc w:val="left"/>
        <w:rPr>
          <w:rFonts w:ascii="黑体" w:hAnsi="黑体" w:eastAsia="黑体" w:cs="黑体"/>
          <w:kern w:val="0"/>
          <w:sz w:val="28"/>
          <w:szCs w:val="28"/>
        </w:rPr>
      </w:pPr>
      <w:r>
        <w:rPr>
          <w:rFonts w:hint="eastAsia" w:ascii="黑体" w:hAnsi="黑体" w:eastAsia="黑体" w:cs="黑体"/>
          <w:kern w:val="0"/>
          <w:sz w:val="28"/>
          <w:szCs w:val="28"/>
        </w:rPr>
        <w:t>公告媒介、采购文件获取时间及方式</w:t>
      </w:r>
    </w:p>
    <w:p w14:paraId="28294B83">
      <w:pPr>
        <w:widowControl/>
        <w:spacing w:line="560" w:lineRule="exact"/>
        <w:ind w:firstLine="560" w:firstLineChars="200"/>
        <w:jc w:val="left"/>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有意向的报价方请于报价文件的递交截止时间前，自行在赣州交通控股集团有限公司官方网站（http://www.gzjtkgjt.com/）或江西省招标投标网（http://www.jxtb.org.cn/）查阅采购公告，在赣州交通控股集团有限公司官方网站（http://www.gzjtkgjt.com/）或江西省招标投标网（http://www.jxtb.org.cn/）下载询价文件。</w:t>
      </w:r>
    </w:p>
    <w:p w14:paraId="7281CB53">
      <w:pPr>
        <w:widowControl/>
        <w:spacing w:line="56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九、报价文件的密封和标识</w:t>
      </w:r>
    </w:p>
    <w:p w14:paraId="313A6AD0">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报价文件须密封包装，封套的封口处加盖报价方单位章。未按要求密封的报价文件，采购方将予以拒收。</w:t>
      </w:r>
    </w:p>
    <w:p w14:paraId="1090DC81">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封套格式如下：             </w:t>
      </w:r>
    </w:p>
    <w:p w14:paraId="3CF6D955">
      <w:pPr>
        <w:widowControl/>
        <w:spacing w:line="56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（赣州高速和畅运营管理公司</w:t>
      </w:r>
      <w:r>
        <w:rPr>
          <w:rFonts w:hint="eastAsia" w:ascii="仿宋" w:hAnsi="仿宋" w:eastAsia="仿宋" w:cs="仿宋"/>
          <w:bCs/>
          <w:sz w:val="28"/>
          <w:szCs w:val="28"/>
          <w:u w:val="single"/>
        </w:rPr>
        <w:t>龙南所配电房双电源切换柜改造</w:t>
      </w:r>
      <w:r>
        <w:rPr>
          <w:rFonts w:hint="eastAsia" w:ascii="仿宋_GB2312" w:hAnsi="仿宋_GB2312" w:eastAsia="仿宋_GB2312" w:cs="仿宋_GB2312"/>
          <w:kern w:val="0"/>
          <w:sz w:val="28"/>
          <w:szCs w:val="28"/>
          <w:u w:val="single"/>
        </w:rPr>
        <w:t>项目）</w:t>
      </w:r>
      <w:r>
        <w:rPr>
          <w:rFonts w:hint="eastAsia" w:ascii="仿宋_GB2312" w:hAnsi="仿宋_GB2312" w:eastAsia="仿宋_GB2312" w:cs="仿宋_GB2312"/>
          <w:kern w:val="0"/>
          <w:sz w:val="28"/>
          <w:szCs w:val="28"/>
        </w:rPr>
        <w:t xml:space="preserve">报价文件在 </w:t>
      </w:r>
      <w:r>
        <w:rPr>
          <w:rFonts w:hint="eastAsia" w:ascii="仿宋_GB2312" w:hAnsi="仿宋_GB2312" w:eastAsia="仿宋_GB2312" w:cs="仿宋_GB2312"/>
          <w:kern w:val="0"/>
          <w:sz w:val="28"/>
          <w:szCs w:val="28"/>
          <w:u w:val="single"/>
        </w:rPr>
        <w:t xml:space="preserve">2024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lang w:val="en-US" w:eastAsia="zh-CN"/>
        </w:rPr>
        <w:t xml:space="preserve">10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14</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 xml:space="preserve">9  </w:t>
      </w:r>
      <w:r>
        <w:rPr>
          <w:rFonts w:hint="eastAsia" w:ascii="仿宋_GB2312" w:hAnsi="仿宋_GB2312" w:eastAsia="仿宋_GB2312" w:cs="仿宋_GB2312"/>
          <w:kern w:val="0"/>
          <w:sz w:val="28"/>
          <w:szCs w:val="28"/>
        </w:rPr>
        <w:t>时</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 xml:space="preserve"> 30 </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分（递交截止时间）前不得开启。</w:t>
      </w:r>
    </w:p>
    <w:p w14:paraId="21748025">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报价方名称：</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w:t>
      </w:r>
    </w:p>
    <w:p w14:paraId="1BC4ACC5">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十、报价文件的递交及相关事宜</w:t>
      </w:r>
    </w:p>
    <w:p w14:paraId="75C62365">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报价文件的递交截止时间：2024年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14</w:t>
      </w:r>
      <w:r>
        <w:rPr>
          <w:rFonts w:hint="eastAsia" w:ascii="仿宋_GB2312" w:hAnsi="仿宋_GB2312" w:eastAsia="仿宋_GB2312" w:cs="仿宋_GB2312"/>
          <w:kern w:val="0"/>
          <w:sz w:val="28"/>
          <w:szCs w:val="28"/>
        </w:rPr>
        <w:t>日</w:t>
      </w:r>
      <w:r>
        <w:rPr>
          <w:rFonts w:ascii="仿宋_GB2312" w:hAnsi="仿宋_GB2312" w:eastAsia="仿宋_GB2312" w:cs="仿宋_GB2312"/>
          <w:kern w:val="0"/>
          <w:sz w:val="28"/>
          <w:szCs w:val="28"/>
        </w:rPr>
        <w:t>9</w:t>
      </w:r>
      <w:r>
        <w:rPr>
          <w:rFonts w:hint="eastAsia" w:ascii="仿宋_GB2312" w:hAnsi="仿宋_GB2312" w:eastAsia="仿宋_GB2312" w:cs="仿宋_GB2312"/>
          <w:kern w:val="0"/>
          <w:sz w:val="28"/>
          <w:szCs w:val="28"/>
        </w:rPr>
        <w:t>：30，递交地址：赣州市南康区龙岭镇南康收费站出口旁赣州交通控股集团和畅运营管理公司3楼开标室。采购方将拒绝接受在递交截止时间后送达的报价函。</w:t>
      </w:r>
    </w:p>
    <w:p w14:paraId="4984489C">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十一、报价文件的开启程序</w:t>
      </w:r>
    </w:p>
    <w:p w14:paraId="4CA1B1CF">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1、公布在截止时间前递交报价文件的报价方数量；</w:t>
      </w:r>
    </w:p>
    <w:p w14:paraId="1EDCFA3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2、报价方代表现场检查报价文件密封情况；</w:t>
      </w:r>
    </w:p>
    <w:p w14:paraId="65F77390">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3、开启报价文件，公布报价方名称、报价等，结束后报价方及采购小组签字确认。</w:t>
      </w:r>
    </w:p>
    <w:p w14:paraId="526F78E3">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十二、公示</w:t>
      </w:r>
    </w:p>
    <w:p w14:paraId="7D382E76">
      <w:pPr>
        <w:widowControl/>
        <w:spacing w:line="560" w:lineRule="exact"/>
        <w:ind w:firstLine="560" w:firstLineChars="200"/>
        <w:jc w:val="left"/>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询价结束后3日内，在江西省招标投标（http://www.jxtb.org.cn）、赣州交通控股集团有限公司网站（http://www.gzjtkgjt.com）上对候选人进行公示。</w:t>
      </w:r>
    </w:p>
    <w:p w14:paraId="31EE9014">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十三、联系方式</w:t>
      </w:r>
    </w:p>
    <w:p w14:paraId="7F3E19FA">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询价方名称：赣州高速和畅运营管理公司</w:t>
      </w:r>
    </w:p>
    <w:p w14:paraId="1694D3AB">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询价方地址：赣州市南康区龙岭镇南康收费站出口旁赣州交通控股集团和畅运营管理公司</w:t>
      </w:r>
    </w:p>
    <w:p w14:paraId="37D03389">
      <w:pPr>
        <w:widowControl/>
        <w:spacing w:line="560" w:lineRule="exact"/>
        <w:ind w:firstLine="48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 xml:space="preserve">联系人 </w:t>
      </w:r>
      <w:r>
        <w:rPr>
          <w:rFonts w:hint="eastAsia" w:ascii="仿宋_GB2312" w:hAnsi="仿宋_GB2312" w:eastAsia="仿宋_GB2312" w:cs="仿宋_GB2312"/>
          <w:kern w:val="0"/>
          <w:sz w:val="28"/>
          <w:szCs w:val="28"/>
          <w:lang w:eastAsia="zh-CN"/>
        </w:rPr>
        <w:t>艾先生</w:t>
      </w:r>
    </w:p>
    <w:p w14:paraId="1531298C">
      <w:pPr>
        <w:widowControl/>
        <w:spacing w:line="560" w:lineRule="exact"/>
        <w:ind w:firstLine="480"/>
        <w:jc w:val="lef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电  话：</w:t>
      </w:r>
      <w:r>
        <w:rPr>
          <w:rFonts w:hint="eastAsia" w:ascii="仿宋_GB2312" w:hAnsi="仿宋_GB2312" w:eastAsia="仿宋_GB2312" w:cs="仿宋_GB2312"/>
          <w:kern w:val="0"/>
          <w:sz w:val="28"/>
          <w:szCs w:val="28"/>
          <w:lang w:val="en-US" w:eastAsia="zh-CN"/>
        </w:rPr>
        <w:t>13766395313</w:t>
      </w:r>
    </w:p>
    <w:p w14:paraId="479C920A">
      <w:pPr>
        <w:widowControl/>
        <w:spacing w:line="560" w:lineRule="exact"/>
        <w:ind w:firstLine="480"/>
        <w:jc w:val="left"/>
        <w:rPr>
          <w:rFonts w:ascii="黑体" w:hAnsi="黑体" w:eastAsia="黑体" w:cs="黑体"/>
          <w:kern w:val="0"/>
          <w:sz w:val="28"/>
          <w:szCs w:val="28"/>
        </w:rPr>
      </w:pPr>
      <w:r>
        <w:rPr>
          <w:rFonts w:hint="eastAsia" w:ascii="黑体" w:hAnsi="黑体" w:eastAsia="黑体" w:cs="黑体"/>
          <w:kern w:val="0"/>
          <w:sz w:val="28"/>
          <w:szCs w:val="28"/>
        </w:rPr>
        <w:t>十四、监督部门及联系方式</w:t>
      </w:r>
    </w:p>
    <w:p w14:paraId="46B92115">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本级监督部门：赣州高速和畅运营管理公司党群部</w:t>
      </w:r>
    </w:p>
    <w:p w14:paraId="784510A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上级监督部门：赣州交通控股集团有限公司风控审计部、纪检监察室</w:t>
      </w:r>
    </w:p>
    <w:p w14:paraId="0450A765">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址：江西省赣州市章贡区沙河镇赣州东收费站出口右侧（赣州交通控股集团有限公司）</w:t>
      </w:r>
    </w:p>
    <w:p w14:paraId="7BD39B1C">
      <w:pPr>
        <w:widowControl/>
        <w:spacing w:line="560" w:lineRule="exact"/>
        <w:ind w:firstLine="48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     话：0797-8289879、0797-8282685</w:t>
      </w:r>
    </w:p>
    <w:p w14:paraId="27DFB15F">
      <w:pPr>
        <w:widowControl/>
        <w:spacing w:line="560" w:lineRule="exact"/>
        <w:ind w:firstLine="480"/>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kern w:val="0"/>
          <w:sz w:val="28"/>
          <w:szCs w:val="28"/>
        </w:rPr>
        <w:t>邮 政 编 码：341000</w:t>
      </w:r>
    </w:p>
    <w:p w14:paraId="71DED5FF">
      <w:pPr>
        <w:spacing w:line="560" w:lineRule="exact"/>
        <w:jc w:val="center"/>
        <w:rPr>
          <w:rFonts w:hint="eastAsia" w:ascii="方正小标宋简体" w:hAnsi="方正小标宋简体" w:eastAsia="方正小标宋简体" w:cs="方正小标宋简体"/>
          <w:sz w:val="44"/>
          <w:szCs w:val="44"/>
        </w:rPr>
      </w:pPr>
    </w:p>
    <w:p w14:paraId="1BEBD4A3">
      <w:pPr>
        <w:spacing w:line="560" w:lineRule="exact"/>
        <w:jc w:val="center"/>
        <w:rPr>
          <w:rFonts w:hint="eastAsia" w:ascii="方正小标宋简体" w:hAnsi="方正小标宋简体" w:eastAsia="方正小标宋简体" w:cs="方正小标宋简体"/>
          <w:sz w:val="44"/>
          <w:szCs w:val="44"/>
        </w:rPr>
      </w:pPr>
    </w:p>
    <w:p w14:paraId="5D3C362F">
      <w:pPr>
        <w:spacing w:line="560" w:lineRule="exact"/>
        <w:jc w:val="center"/>
        <w:rPr>
          <w:rFonts w:hint="eastAsia" w:ascii="方正小标宋简体" w:hAnsi="方正小标宋简体" w:eastAsia="方正小标宋简体" w:cs="方正小标宋简体"/>
          <w:sz w:val="44"/>
          <w:szCs w:val="44"/>
        </w:rPr>
      </w:pPr>
    </w:p>
    <w:p w14:paraId="35590906">
      <w:pPr>
        <w:spacing w:line="560" w:lineRule="exact"/>
        <w:jc w:val="center"/>
        <w:rPr>
          <w:rFonts w:hint="eastAsia" w:ascii="方正小标宋简体" w:hAnsi="方正小标宋简体" w:eastAsia="方正小标宋简体" w:cs="方正小标宋简体"/>
          <w:sz w:val="44"/>
          <w:szCs w:val="44"/>
        </w:rPr>
      </w:pPr>
    </w:p>
    <w:p w14:paraId="2D296584">
      <w:pPr>
        <w:spacing w:line="560" w:lineRule="exact"/>
        <w:jc w:val="both"/>
        <w:rPr>
          <w:rFonts w:hint="eastAsia" w:ascii="方正小标宋简体" w:hAnsi="方正小标宋简体" w:eastAsia="方正小标宋简体" w:cs="方正小标宋简体"/>
          <w:sz w:val="44"/>
          <w:szCs w:val="44"/>
        </w:rPr>
      </w:pPr>
    </w:p>
    <w:p w14:paraId="040B603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第二章  评审办法</w:t>
      </w:r>
    </w:p>
    <w:p w14:paraId="0ACB8BCD">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一、评审方法</w:t>
      </w:r>
    </w:p>
    <w:p w14:paraId="47BED0E0">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本次询价采用经评审的二次报价最低价为签约单位。</w:t>
      </w:r>
    </w:p>
    <w:p w14:paraId="55889EB2">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二、形式、响应及资格评审标准</w:t>
      </w:r>
    </w:p>
    <w:p w14:paraId="15F77ED6">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1、报价文件按询价文件规定的格式、内容填写，字迹清晰可辨；</w:t>
      </w:r>
    </w:p>
    <w:p w14:paraId="5C98478F">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2、报价文件上法定代表人、或其授权代理人的签字、单位章盖章齐全，符合询价文件规定；</w:t>
      </w:r>
    </w:p>
    <w:p w14:paraId="446FBD19">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3、报价文件对询价文件的实质性要求和条件作出响应；</w:t>
      </w:r>
    </w:p>
    <w:p w14:paraId="639D238D">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4、权利义务符合询价文件规定；</w:t>
      </w:r>
    </w:p>
    <w:p w14:paraId="0FED4E4B">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5、具备有效的营业执照；</w:t>
      </w:r>
    </w:p>
    <w:p w14:paraId="03C1035F">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6、资质证书、业绩等资格条件符合报价文件规定；</w:t>
      </w:r>
    </w:p>
    <w:p w14:paraId="2249FD16">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7、信誉符合报价文件规定。</w:t>
      </w:r>
    </w:p>
    <w:p w14:paraId="0CB345F8">
      <w:pPr>
        <w:spacing w:line="42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三、评审程序</w:t>
      </w:r>
    </w:p>
    <w:p w14:paraId="4E7344A2">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本次询价采取二轮报价。</w:t>
      </w:r>
    </w:p>
    <w:p w14:paraId="29BB22F2">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1AAEF345">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第二轮报价：在第一轮报价的基础上进行二次报价。报价单位现场填写《二次报价文件》，经法人代表或授权代理人签字生效，递交采购人，由采购人当众公布报价，第二轮报价不得高于报价人第一轮报价，报价最低者为签约单位。如有2个及以上单位的报价一致且均为最低价时，业主单位将采用逐个谈判的方式确定签约单位。逐个谈判后仍有2个及以上单位的报价一致且均为最低价时，将采用现场抽签的方式确定签约单位。</w:t>
      </w:r>
    </w:p>
    <w:p w14:paraId="4A7BBBB0">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（三）评审结果</w:t>
      </w:r>
    </w:p>
    <w:p w14:paraId="7AE3ECCD">
      <w:pPr>
        <w:spacing w:line="420" w:lineRule="exact"/>
        <w:ind w:firstLine="560" w:firstLineChars="200"/>
        <w:rPr>
          <w:rFonts w:ascii="方正小标宋简体" w:hAnsi="方正小标宋简体" w:eastAsia="方正小标宋简体" w:cs="方正小标宋简体"/>
          <w:bCs/>
          <w:sz w:val="32"/>
          <w:szCs w:val="32"/>
        </w:rPr>
      </w:pPr>
      <w:r>
        <w:rPr>
          <w:rFonts w:hint="eastAsia" w:ascii="仿宋_GB2312" w:hAnsi="仿宋_GB2312" w:eastAsia="仿宋_GB2312" w:cs="仿宋_GB2312"/>
          <w:sz w:val="28"/>
          <w:szCs w:val="28"/>
        </w:rPr>
        <w:t>1、询价/谈判小组（询价小组由3人及以上单数组成）按照最终报价由低到高的顺序推荐候选人 3 名。</w:t>
      </w:r>
    </w:p>
    <w:p w14:paraId="18F5E132">
      <w:pPr>
        <w:spacing w:line="420" w:lineRule="exact"/>
        <w:ind w:firstLine="640" w:firstLineChars="200"/>
        <w:jc w:val="center"/>
        <w:rPr>
          <w:rFonts w:ascii="方正小标宋简体" w:hAnsi="方正小标宋简体" w:eastAsia="方正小标宋简体" w:cs="方正小标宋简体"/>
          <w:bCs/>
          <w:sz w:val="32"/>
          <w:szCs w:val="32"/>
        </w:rPr>
      </w:pPr>
    </w:p>
    <w:p w14:paraId="34B4E0A5">
      <w:pPr>
        <w:spacing w:line="420" w:lineRule="exact"/>
        <w:ind w:firstLine="3520" w:firstLineChars="800"/>
        <w:jc w:val="both"/>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第三章</w:t>
      </w:r>
    </w:p>
    <w:p w14:paraId="28A6E333">
      <w:pPr>
        <w:spacing w:line="4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授权委托书、报价函、信誉承诺表、其它资料格式</w:t>
      </w:r>
    </w:p>
    <w:p w14:paraId="0035D409">
      <w:pPr>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授权委托书</w:t>
      </w:r>
    </w:p>
    <w:p w14:paraId="6A783B06">
      <w:pPr>
        <w:pStyle w:val="6"/>
        <w:ind w:firstLine="0" w:firstLineChars="0"/>
        <w:rPr>
          <w:rFonts w:ascii="仿宋_GB2312" w:hAnsi="仿宋_GB2312" w:eastAsia="仿宋_GB2312" w:cs="仿宋_GB2312"/>
          <w:sz w:val="28"/>
          <w:szCs w:val="28"/>
        </w:rPr>
      </w:pPr>
    </w:p>
    <w:p w14:paraId="75B08FB0">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（报价人名称） </w:t>
      </w:r>
      <w:r>
        <w:rPr>
          <w:rFonts w:hint="eastAsia" w:ascii="仿宋_GB2312" w:hAnsi="仿宋_GB2312" w:eastAsia="仿宋_GB2312" w:cs="仿宋_GB2312"/>
          <w:sz w:val="28"/>
          <w:szCs w:val="28"/>
        </w:rPr>
        <w:t>的法定代表人，现委托</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为我方授权代理人。代理人根据授权，以我方名义签署、澄清、确认、递交、撤回、修改</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报价文件、签订合同和处理有关事宜，其法律后果由我方承担。</w:t>
      </w:r>
    </w:p>
    <w:p w14:paraId="5A8BA73B">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委托期限：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7C0657C">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委托代理人无转委托权。</w:t>
      </w:r>
    </w:p>
    <w:p w14:paraId="592F7611">
      <w:pPr>
        <w:spacing w:line="560" w:lineRule="exact"/>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附：法定代表人、授权代理人身份证复印件</w:t>
      </w:r>
    </w:p>
    <w:p w14:paraId="54FDF9CA">
      <w:pPr>
        <w:spacing w:line="560" w:lineRule="exact"/>
        <w:rPr>
          <w:rFonts w:ascii="仿宋_GB2312" w:hAnsi="仿宋_GB2312" w:eastAsia="仿宋_GB2312" w:cs="仿宋_GB2312"/>
          <w:sz w:val="28"/>
          <w:szCs w:val="28"/>
        </w:rPr>
      </w:pPr>
    </w:p>
    <w:p w14:paraId="70552ED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注：本授权委托书需由报价人加盖单位公章并由其法定代表人或授权代理人签字。</w:t>
      </w:r>
    </w:p>
    <w:p w14:paraId="44634332">
      <w:pPr>
        <w:spacing w:line="560" w:lineRule="exact"/>
        <w:ind w:firstLine="480"/>
        <w:rPr>
          <w:rFonts w:ascii="仿宋_GB2312" w:hAnsi="仿宋_GB2312" w:eastAsia="仿宋_GB2312" w:cs="仿宋_GB2312"/>
          <w:sz w:val="28"/>
          <w:szCs w:val="28"/>
        </w:rPr>
      </w:pPr>
    </w:p>
    <w:p w14:paraId="21BA32AD">
      <w:pPr>
        <w:spacing w:line="560" w:lineRule="exact"/>
        <w:ind w:firstLine="3589" w:firstLineChars="1282"/>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报价人（单位公章）：</w:t>
      </w:r>
      <w:r>
        <w:rPr>
          <w:rFonts w:hint="eastAsia" w:ascii="仿宋_GB2312" w:hAnsi="仿宋_GB2312" w:eastAsia="仿宋_GB2312" w:cs="仿宋_GB2312"/>
          <w:sz w:val="28"/>
          <w:szCs w:val="28"/>
          <w:u w:val="single"/>
        </w:rPr>
        <w:t xml:space="preserve">                            </w:t>
      </w:r>
    </w:p>
    <w:p w14:paraId="79E1D954">
      <w:pPr>
        <w:spacing w:line="560" w:lineRule="exact"/>
        <w:ind w:firstLine="3586" w:firstLineChars="128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r>
        <w:rPr>
          <w:rFonts w:hint="eastAsia" w:ascii="仿宋_GB2312" w:hAnsi="仿宋_GB2312" w:eastAsia="仿宋_GB2312" w:cs="仿宋_GB2312"/>
          <w:sz w:val="28"/>
          <w:szCs w:val="28"/>
          <w:u w:val="single"/>
        </w:rPr>
        <w:t xml:space="preserve">                  </w:t>
      </w:r>
    </w:p>
    <w:p w14:paraId="00F3A114">
      <w:pPr>
        <w:spacing w:line="560" w:lineRule="exact"/>
        <w:ind w:firstLine="3589" w:firstLineChars="1282"/>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授权代理人（签字）：</w:t>
      </w:r>
      <w:r>
        <w:rPr>
          <w:rFonts w:hint="eastAsia" w:ascii="仿宋_GB2312" w:hAnsi="仿宋_GB2312" w:eastAsia="仿宋_GB2312" w:cs="仿宋_GB2312"/>
          <w:sz w:val="28"/>
          <w:szCs w:val="28"/>
          <w:u w:val="single"/>
        </w:rPr>
        <w:t xml:space="preserve">                            </w:t>
      </w:r>
    </w:p>
    <w:p w14:paraId="214FDD64">
      <w:pPr>
        <w:spacing w:line="560" w:lineRule="exact"/>
        <w:ind w:firstLine="4200" w:firstLineChars="1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DAF64F9">
      <w:pPr>
        <w:spacing w:line="560" w:lineRule="exact"/>
        <w:ind w:firstLine="480"/>
        <w:jc w:val="center"/>
        <w:rPr>
          <w:rFonts w:ascii="仿宋_GB2312" w:hAnsi="仿宋_GB2312" w:eastAsia="仿宋_GB2312" w:cs="仿宋_GB2312"/>
          <w:b/>
          <w:position w:val="-4"/>
          <w:sz w:val="28"/>
          <w:szCs w:val="28"/>
        </w:rPr>
      </w:pPr>
      <w:r>
        <w:rPr>
          <w:rFonts w:hint="eastAsia" w:ascii="仿宋_GB2312" w:hAnsi="仿宋_GB2312" w:eastAsia="仿宋_GB2312" w:cs="仿宋_GB2312"/>
          <w:sz w:val="28"/>
          <w:szCs w:val="28"/>
        </w:rPr>
        <w:t>注：如报价人为法定代表人参加采购行为，只需附其身份证复印件。</w:t>
      </w:r>
      <w:r>
        <w:rPr>
          <w:rFonts w:hint="eastAsia" w:ascii="仿宋_GB2312" w:hAnsi="仿宋_GB2312" w:eastAsia="仿宋_GB2312" w:cs="仿宋_GB2312"/>
          <w:b/>
          <w:sz w:val="28"/>
          <w:szCs w:val="28"/>
        </w:rPr>
        <w:br w:type="page"/>
      </w:r>
      <w:r>
        <w:rPr>
          <w:rFonts w:hint="eastAsia" w:ascii="方正小标宋简体" w:hAnsi="方正小标宋简体" w:eastAsia="方正小标宋简体" w:cs="方正小标宋简体"/>
          <w:bCs/>
          <w:sz w:val="44"/>
          <w:szCs w:val="44"/>
        </w:rPr>
        <w:t>报  价  函</w:t>
      </w:r>
    </w:p>
    <w:p w14:paraId="25D4A399">
      <w:pPr>
        <w:tabs>
          <w:tab w:val="left" w:pos="2500"/>
        </w:tabs>
        <w:autoSpaceDE w:val="0"/>
        <w:autoSpaceDN w:val="0"/>
        <w:adjustRightInd w:val="0"/>
        <w:spacing w:line="560" w:lineRule="exact"/>
        <w:rPr>
          <w:rFonts w:ascii="仿宋_GB2312" w:hAnsi="仿宋_GB2312" w:eastAsia="仿宋_GB2312" w:cs="仿宋_GB2312"/>
          <w:sz w:val="28"/>
          <w:szCs w:val="28"/>
        </w:rPr>
      </w:pPr>
      <w:r>
        <w:rPr>
          <w:rFonts w:hint="eastAsia" w:ascii="仿宋_GB2312" w:hAnsi="仿宋_GB2312" w:eastAsia="仿宋_GB2312" w:cs="仿宋_GB2312"/>
          <w:b/>
          <w:position w:val="-4"/>
          <w:sz w:val="28"/>
          <w:szCs w:val="28"/>
        </w:rPr>
        <w:t>致：赣州高速和畅运营管理公司</w:t>
      </w:r>
      <w:r>
        <w:rPr>
          <w:rFonts w:hint="eastAsia" w:ascii="仿宋_GB2312" w:hAnsi="仿宋_GB2312" w:eastAsia="仿宋_GB2312" w:cs="仿宋_GB2312"/>
          <w:b/>
          <w:spacing w:val="-11"/>
          <w:position w:val="-4"/>
          <w:sz w:val="28"/>
          <w:szCs w:val="28"/>
        </w:rPr>
        <w:t xml:space="preserve"> </w:t>
      </w:r>
    </w:p>
    <w:p w14:paraId="61BD097D">
      <w:pPr>
        <w:tabs>
          <w:tab w:val="left" w:pos="4180"/>
          <w:tab w:val="left" w:pos="9180"/>
        </w:tabs>
        <w:autoSpaceDE w:val="0"/>
        <w:autoSpaceDN w:val="0"/>
        <w:adjustRightIn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经研究，我方同意《</w:t>
      </w:r>
      <w:r>
        <w:rPr>
          <w:rFonts w:hint="eastAsia" w:ascii="仿宋_GB2312" w:hAnsi="仿宋_GB2312" w:eastAsia="仿宋_GB2312" w:cs="仿宋_GB2312"/>
          <w:kern w:val="0"/>
          <w:sz w:val="28"/>
          <w:szCs w:val="28"/>
        </w:rPr>
        <w:t>赣州高速和畅运营管理公司</w:t>
      </w:r>
      <w:r>
        <w:rPr>
          <w:rFonts w:hint="eastAsia" w:ascii="仿宋_GB2312" w:hAnsi="仿宋_GB2312" w:eastAsia="仿宋_GB2312" w:cs="仿宋_GB2312"/>
          <w:bCs/>
          <w:sz w:val="28"/>
          <w:szCs w:val="28"/>
        </w:rPr>
        <w:t>龙南所配电房双电源切换柜改造</w:t>
      </w:r>
      <w:r>
        <w:rPr>
          <w:rFonts w:hint="eastAsia" w:ascii="仿宋_GB2312" w:hAnsi="仿宋_GB2312" w:eastAsia="仿宋_GB2312" w:cs="仿宋_GB2312"/>
          <w:kern w:val="0"/>
          <w:sz w:val="28"/>
          <w:szCs w:val="28"/>
        </w:rPr>
        <w:t>项目</w:t>
      </w:r>
      <w:r>
        <w:rPr>
          <w:rFonts w:hint="eastAsia" w:ascii="仿宋_GB2312" w:hAnsi="仿宋_GB2312" w:eastAsia="仿宋_GB2312" w:cs="仿宋_GB2312"/>
          <w:sz w:val="28"/>
          <w:szCs w:val="28"/>
        </w:rPr>
        <w:t>询价文件》的所有内容及条款并就上述内容进行报价，完成贵公司规定的所有工作内容。</w:t>
      </w:r>
    </w:p>
    <w:p w14:paraId="5F093B43">
      <w:pPr>
        <w:autoSpaceDE w:val="0"/>
        <w:autoSpaceDN w:val="0"/>
        <w:adjustRightIn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根据分析计算，我方愿以总价人民币（大写）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），完成贵公司规定的所有工作内容。</w:t>
      </w:r>
    </w:p>
    <w:tbl>
      <w:tblPr>
        <w:tblStyle w:val="14"/>
        <w:tblW w:w="10030" w:type="dxa"/>
        <w:tblInd w:w="113" w:type="dxa"/>
        <w:tblLayout w:type="fixed"/>
        <w:tblCellMar>
          <w:top w:w="0" w:type="dxa"/>
          <w:left w:w="108" w:type="dxa"/>
          <w:bottom w:w="0" w:type="dxa"/>
          <w:right w:w="108" w:type="dxa"/>
        </w:tblCellMar>
      </w:tblPr>
      <w:tblGrid>
        <w:gridCol w:w="715"/>
        <w:gridCol w:w="2385"/>
        <w:gridCol w:w="720"/>
        <w:gridCol w:w="840"/>
        <w:gridCol w:w="945"/>
        <w:gridCol w:w="945"/>
        <w:gridCol w:w="3480"/>
      </w:tblGrid>
      <w:tr w14:paraId="556C1BF2">
        <w:tblPrEx>
          <w:tblCellMar>
            <w:top w:w="0" w:type="dxa"/>
            <w:left w:w="108" w:type="dxa"/>
            <w:bottom w:w="0" w:type="dxa"/>
            <w:right w:w="108" w:type="dxa"/>
          </w:tblCellMar>
        </w:tblPrEx>
        <w:trPr>
          <w:trHeight w:val="607" w:hRule="atLeast"/>
        </w:trPr>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F5C15">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2385" w:type="dxa"/>
            <w:tcBorders>
              <w:top w:val="single" w:color="auto" w:sz="4" w:space="0"/>
              <w:left w:val="nil"/>
              <w:bottom w:val="single" w:color="auto" w:sz="4" w:space="0"/>
              <w:right w:val="single" w:color="auto" w:sz="4" w:space="0"/>
            </w:tcBorders>
            <w:shd w:val="clear" w:color="auto" w:fill="auto"/>
            <w:noWrap/>
            <w:vAlign w:val="center"/>
          </w:tcPr>
          <w:p w14:paraId="218444FF">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rPr>
              <w:t>项目</w:t>
            </w:r>
            <w:r>
              <w:rPr>
                <w:rFonts w:hint="eastAsia" w:ascii="仿宋" w:hAnsi="仿宋" w:eastAsia="仿宋" w:cs="仿宋"/>
                <w:b/>
                <w:bCs/>
                <w:color w:val="000000"/>
                <w:kern w:val="0"/>
                <w:sz w:val="24"/>
                <w:szCs w:val="24"/>
                <w:lang w:eastAsia="zh-CN"/>
              </w:rPr>
              <w:t>内容</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653BC51">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C6E5B80">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7630327F">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单价（元）</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459B115E">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总价（元）</w:t>
            </w:r>
          </w:p>
        </w:tc>
        <w:tc>
          <w:tcPr>
            <w:tcW w:w="3480" w:type="dxa"/>
            <w:tcBorders>
              <w:top w:val="single" w:color="auto" w:sz="4" w:space="0"/>
              <w:left w:val="nil"/>
              <w:bottom w:val="single" w:color="auto" w:sz="4" w:space="0"/>
              <w:right w:val="single" w:color="auto" w:sz="4" w:space="0"/>
            </w:tcBorders>
            <w:shd w:val="clear" w:color="auto" w:fill="auto"/>
            <w:noWrap/>
            <w:vAlign w:val="center"/>
          </w:tcPr>
          <w:p w14:paraId="077538E9">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77E15D6C">
        <w:tblPrEx>
          <w:tblCellMar>
            <w:top w:w="0" w:type="dxa"/>
            <w:left w:w="108" w:type="dxa"/>
            <w:bottom w:w="0" w:type="dxa"/>
            <w:right w:w="108" w:type="dxa"/>
          </w:tblCellMar>
        </w:tblPrEx>
        <w:trPr>
          <w:trHeight w:val="90" w:hRule="atLeast"/>
        </w:trPr>
        <w:tc>
          <w:tcPr>
            <w:tcW w:w="715" w:type="dxa"/>
            <w:tcBorders>
              <w:top w:val="nil"/>
              <w:left w:val="single" w:color="auto" w:sz="4" w:space="0"/>
              <w:bottom w:val="single" w:color="auto" w:sz="4" w:space="0"/>
              <w:right w:val="single" w:color="auto" w:sz="4" w:space="0"/>
            </w:tcBorders>
            <w:shd w:val="clear" w:color="auto" w:fill="auto"/>
            <w:noWrap w:val="0"/>
            <w:vAlign w:val="center"/>
          </w:tcPr>
          <w:p w14:paraId="3D9D614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385" w:type="dxa"/>
            <w:tcBorders>
              <w:top w:val="nil"/>
              <w:left w:val="nil"/>
              <w:bottom w:val="single" w:color="auto" w:sz="4" w:space="0"/>
              <w:right w:val="single" w:color="auto" w:sz="4" w:space="0"/>
            </w:tcBorders>
            <w:shd w:val="clear" w:color="auto" w:fill="auto"/>
            <w:noWrap w:val="0"/>
            <w:vAlign w:val="center"/>
          </w:tcPr>
          <w:p w14:paraId="5CA8BF41">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智能双电源转换开关总成</w:t>
            </w:r>
          </w:p>
        </w:tc>
        <w:tc>
          <w:tcPr>
            <w:tcW w:w="720" w:type="dxa"/>
            <w:tcBorders>
              <w:top w:val="nil"/>
              <w:left w:val="nil"/>
              <w:bottom w:val="single" w:color="auto" w:sz="4" w:space="0"/>
              <w:right w:val="single" w:color="auto" w:sz="4" w:space="0"/>
            </w:tcBorders>
            <w:shd w:val="clear" w:color="auto" w:fill="auto"/>
            <w:noWrap w:val="0"/>
            <w:vAlign w:val="center"/>
          </w:tcPr>
          <w:p w14:paraId="56A96305">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840" w:type="dxa"/>
            <w:tcBorders>
              <w:top w:val="nil"/>
              <w:left w:val="nil"/>
              <w:bottom w:val="single" w:color="auto" w:sz="4" w:space="0"/>
              <w:right w:val="single" w:color="auto" w:sz="4" w:space="0"/>
            </w:tcBorders>
            <w:shd w:val="clear" w:color="auto" w:fill="auto"/>
            <w:noWrap w:val="0"/>
            <w:vAlign w:val="center"/>
          </w:tcPr>
          <w:p w14:paraId="3F7EC566">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45" w:type="dxa"/>
            <w:tcBorders>
              <w:top w:val="nil"/>
              <w:left w:val="nil"/>
              <w:bottom w:val="single" w:color="auto" w:sz="4" w:space="0"/>
              <w:right w:val="single" w:color="auto" w:sz="4" w:space="0"/>
            </w:tcBorders>
            <w:shd w:val="clear" w:color="auto" w:fill="auto"/>
            <w:noWrap w:val="0"/>
            <w:vAlign w:val="center"/>
          </w:tcPr>
          <w:p w14:paraId="3B8CFB7B">
            <w:pPr>
              <w:widowControl/>
              <w:jc w:val="both"/>
              <w:rPr>
                <w:rFonts w:hint="eastAsia" w:ascii="仿宋" w:hAnsi="仿宋" w:eastAsia="仿宋" w:cs="仿宋"/>
                <w:color w:val="000000"/>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14:paraId="67424DFC">
            <w:pPr>
              <w:widowControl/>
              <w:jc w:val="both"/>
              <w:rPr>
                <w:rFonts w:hint="eastAsia" w:ascii="仿宋" w:hAnsi="仿宋" w:eastAsia="仿宋" w:cs="仿宋"/>
                <w:color w:val="000000"/>
                <w:kern w:val="0"/>
                <w:sz w:val="24"/>
                <w:szCs w:val="24"/>
              </w:rPr>
            </w:pPr>
          </w:p>
        </w:tc>
        <w:tc>
          <w:tcPr>
            <w:tcW w:w="3480" w:type="dxa"/>
            <w:tcBorders>
              <w:top w:val="nil"/>
              <w:left w:val="nil"/>
              <w:bottom w:val="single" w:color="auto" w:sz="4" w:space="0"/>
              <w:right w:val="single" w:color="auto" w:sz="4" w:space="0"/>
            </w:tcBorders>
            <w:shd w:val="clear" w:color="auto" w:fill="auto"/>
            <w:noWrap w:val="0"/>
            <w:vAlign w:val="center"/>
          </w:tcPr>
          <w:p w14:paraId="287761B1">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双电源自动转换开关1000A</w:t>
            </w:r>
          </w:p>
        </w:tc>
      </w:tr>
      <w:tr w14:paraId="47897BD5">
        <w:tblPrEx>
          <w:tblCellMar>
            <w:top w:w="0" w:type="dxa"/>
            <w:left w:w="108" w:type="dxa"/>
            <w:bottom w:w="0" w:type="dxa"/>
            <w:right w:w="108" w:type="dxa"/>
          </w:tblCellMar>
        </w:tblPrEx>
        <w:trPr>
          <w:trHeight w:val="480" w:hRule="atLeast"/>
        </w:trPr>
        <w:tc>
          <w:tcPr>
            <w:tcW w:w="715" w:type="dxa"/>
            <w:tcBorders>
              <w:top w:val="nil"/>
              <w:left w:val="single" w:color="auto" w:sz="4" w:space="0"/>
              <w:bottom w:val="single" w:color="auto" w:sz="4" w:space="0"/>
              <w:right w:val="single" w:color="auto" w:sz="4" w:space="0"/>
            </w:tcBorders>
            <w:shd w:val="clear" w:color="auto" w:fill="auto"/>
            <w:noWrap w:val="0"/>
            <w:vAlign w:val="center"/>
          </w:tcPr>
          <w:p w14:paraId="1D768F5F">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2385" w:type="dxa"/>
            <w:tcBorders>
              <w:top w:val="nil"/>
              <w:left w:val="nil"/>
              <w:bottom w:val="single" w:color="auto" w:sz="4" w:space="0"/>
              <w:right w:val="single" w:color="auto" w:sz="4" w:space="0"/>
            </w:tcBorders>
            <w:shd w:val="clear" w:color="auto" w:fill="auto"/>
            <w:noWrap w:val="0"/>
            <w:vAlign w:val="center"/>
          </w:tcPr>
          <w:p w14:paraId="7A66187A">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铜芯线缆：240mm² </w:t>
            </w:r>
          </w:p>
        </w:tc>
        <w:tc>
          <w:tcPr>
            <w:tcW w:w="720" w:type="dxa"/>
            <w:tcBorders>
              <w:top w:val="nil"/>
              <w:left w:val="nil"/>
              <w:bottom w:val="single" w:color="auto" w:sz="4" w:space="0"/>
              <w:right w:val="single" w:color="auto" w:sz="4" w:space="0"/>
            </w:tcBorders>
            <w:shd w:val="clear" w:color="auto" w:fill="auto"/>
            <w:noWrap w:val="0"/>
            <w:vAlign w:val="center"/>
          </w:tcPr>
          <w:p w14:paraId="619649A9">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840" w:type="dxa"/>
            <w:tcBorders>
              <w:top w:val="nil"/>
              <w:left w:val="nil"/>
              <w:bottom w:val="single" w:color="auto" w:sz="4" w:space="0"/>
              <w:right w:val="single" w:color="auto" w:sz="4" w:space="0"/>
            </w:tcBorders>
            <w:shd w:val="clear" w:color="auto" w:fill="auto"/>
            <w:noWrap w:val="0"/>
            <w:vAlign w:val="center"/>
          </w:tcPr>
          <w:p w14:paraId="20D80183">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w:t>
            </w:r>
          </w:p>
        </w:tc>
        <w:tc>
          <w:tcPr>
            <w:tcW w:w="945" w:type="dxa"/>
            <w:tcBorders>
              <w:top w:val="nil"/>
              <w:left w:val="nil"/>
              <w:bottom w:val="single" w:color="auto" w:sz="4" w:space="0"/>
              <w:right w:val="single" w:color="auto" w:sz="4" w:space="0"/>
            </w:tcBorders>
            <w:shd w:val="clear" w:color="auto" w:fill="auto"/>
            <w:noWrap w:val="0"/>
            <w:vAlign w:val="center"/>
          </w:tcPr>
          <w:p w14:paraId="19E14F31">
            <w:pPr>
              <w:widowControl/>
              <w:jc w:val="center"/>
              <w:rPr>
                <w:rFonts w:hint="eastAsia" w:ascii="仿宋" w:hAnsi="仿宋" w:eastAsia="仿宋" w:cs="仿宋"/>
                <w:color w:val="000000"/>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14:paraId="78517E82">
            <w:pPr>
              <w:widowControl/>
              <w:jc w:val="center"/>
              <w:rPr>
                <w:rFonts w:hint="eastAsia" w:ascii="仿宋" w:hAnsi="仿宋" w:eastAsia="仿宋" w:cs="仿宋"/>
                <w:color w:val="000000"/>
                <w:kern w:val="0"/>
                <w:sz w:val="24"/>
                <w:szCs w:val="24"/>
              </w:rPr>
            </w:pPr>
          </w:p>
        </w:tc>
        <w:tc>
          <w:tcPr>
            <w:tcW w:w="3480" w:type="dxa"/>
            <w:tcBorders>
              <w:top w:val="nil"/>
              <w:left w:val="nil"/>
              <w:bottom w:val="single" w:color="auto" w:sz="4" w:space="0"/>
              <w:right w:val="single" w:color="auto" w:sz="4" w:space="0"/>
            </w:tcBorders>
            <w:shd w:val="clear" w:color="auto" w:fill="auto"/>
            <w:noWrap w:val="0"/>
            <w:vAlign w:val="center"/>
          </w:tcPr>
          <w:p w14:paraId="503BE191">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14:paraId="4A61BCA2">
        <w:tblPrEx>
          <w:tblCellMar>
            <w:top w:w="0" w:type="dxa"/>
            <w:left w:w="108" w:type="dxa"/>
            <w:bottom w:w="0" w:type="dxa"/>
            <w:right w:w="108" w:type="dxa"/>
          </w:tblCellMar>
        </w:tblPrEx>
        <w:trPr>
          <w:trHeight w:val="630" w:hRule="atLeast"/>
        </w:trPr>
        <w:tc>
          <w:tcPr>
            <w:tcW w:w="715" w:type="dxa"/>
            <w:tcBorders>
              <w:top w:val="nil"/>
              <w:left w:val="single" w:color="auto" w:sz="4" w:space="0"/>
              <w:bottom w:val="single" w:color="auto" w:sz="4" w:space="0"/>
              <w:right w:val="single" w:color="auto" w:sz="4" w:space="0"/>
            </w:tcBorders>
            <w:shd w:val="clear" w:color="auto" w:fill="auto"/>
            <w:noWrap w:val="0"/>
            <w:vAlign w:val="center"/>
          </w:tcPr>
          <w:p w14:paraId="4076C016">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2385" w:type="dxa"/>
            <w:tcBorders>
              <w:top w:val="nil"/>
              <w:left w:val="nil"/>
              <w:bottom w:val="single" w:color="auto" w:sz="4" w:space="0"/>
              <w:right w:val="single" w:color="auto" w:sz="4" w:space="0"/>
            </w:tcBorders>
            <w:shd w:val="clear" w:color="auto" w:fill="auto"/>
            <w:noWrap w:val="0"/>
            <w:vAlign w:val="center"/>
          </w:tcPr>
          <w:p w14:paraId="3B44905E">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安全措施费</w:t>
            </w:r>
          </w:p>
        </w:tc>
        <w:tc>
          <w:tcPr>
            <w:tcW w:w="720" w:type="dxa"/>
            <w:tcBorders>
              <w:top w:val="nil"/>
              <w:left w:val="nil"/>
              <w:bottom w:val="single" w:color="auto" w:sz="4" w:space="0"/>
              <w:right w:val="single" w:color="auto" w:sz="4" w:space="0"/>
            </w:tcBorders>
            <w:shd w:val="clear" w:color="auto" w:fill="auto"/>
            <w:noWrap w:val="0"/>
            <w:vAlign w:val="center"/>
          </w:tcPr>
          <w:p w14:paraId="4B512F1B">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840" w:type="dxa"/>
            <w:tcBorders>
              <w:top w:val="nil"/>
              <w:left w:val="nil"/>
              <w:bottom w:val="single" w:color="auto" w:sz="4" w:space="0"/>
              <w:right w:val="single" w:color="auto" w:sz="4" w:space="0"/>
            </w:tcBorders>
            <w:shd w:val="clear" w:color="auto" w:fill="auto"/>
            <w:noWrap w:val="0"/>
            <w:vAlign w:val="center"/>
          </w:tcPr>
          <w:p w14:paraId="6E4ECAE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45" w:type="dxa"/>
            <w:tcBorders>
              <w:top w:val="nil"/>
              <w:left w:val="nil"/>
              <w:bottom w:val="single" w:color="auto" w:sz="4" w:space="0"/>
              <w:right w:val="single" w:color="auto" w:sz="4" w:space="0"/>
            </w:tcBorders>
            <w:shd w:val="clear" w:color="auto" w:fill="auto"/>
            <w:noWrap w:val="0"/>
            <w:vAlign w:val="center"/>
          </w:tcPr>
          <w:p w14:paraId="5CB506A7">
            <w:pPr>
              <w:widowControl/>
              <w:jc w:val="both"/>
              <w:rPr>
                <w:rFonts w:hint="eastAsia" w:ascii="仿宋" w:hAnsi="仿宋" w:eastAsia="仿宋" w:cs="仿宋"/>
                <w:color w:val="000000"/>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14:paraId="4AEA54F5">
            <w:pPr>
              <w:widowControl/>
              <w:jc w:val="both"/>
              <w:rPr>
                <w:rFonts w:hint="eastAsia" w:ascii="仿宋" w:hAnsi="仿宋" w:eastAsia="仿宋" w:cs="仿宋"/>
                <w:color w:val="000000"/>
                <w:kern w:val="0"/>
                <w:sz w:val="24"/>
                <w:szCs w:val="24"/>
              </w:rPr>
            </w:pPr>
          </w:p>
        </w:tc>
        <w:tc>
          <w:tcPr>
            <w:tcW w:w="3480" w:type="dxa"/>
            <w:tcBorders>
              <w:top w:val="nil"/>
              <w:left w:val="nil"/>
              <w:bottom w:val="single" w:color="auto" w:sz="4" w:space="0"/>
              <w:right w:val="single" w:color="auto" w:sz="4" w:space="0"/>
            </w:tcBorders>
            <w:shd w:val="clear" w:color="auto" w:fill="auto"/>
            <w:noWrap w:val="0"/>
            <w:vAlign w:val="center"/>
          </w:tcPr>
          <w:p w14:paraId="2380CAA2">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机械运输、搬运、施工安全等</w:t>
            </w:r>
          </w:p>
        </w:tc>
      </w:tr>
      <w:tr w14:paraId="707C102B">
        <w:tblPrEx>
          <w:tblCellMar>
            <w:top w:w="0" w:type="dxa"/>
            <w:left w:w="108" w:type="dxa"/>
            <w:bottom w:w="0" w:type="dxa"/>
            <w:right w:w="108" w:type="dxa"/>
          </w:tblCellMar>
        </w:tblPrEx>
        <w:trPr>
          <w:trHeight w:val="1680" w:hRule="atLeast"/>
        </w:trPr>
        <w:tc>
          <w:tcPr>
            <w:tcW w:w="715" w:type="dxa"/>
            <w:tcBorders>
              <w:top w:val="nil"/>
              <w:left w:val="single" w:color="auto" w:sz="4" w:space="0"/>
              <w:bottom w:val="single" w:color="auto" w:sz="4" w:space="0"/>
              <w:right w:val="single" w:color="auto" w:sz="4" w:space="0"/>
            </w:tcBorders>
            <w:shd w:val="clear" w:color="auto" w:fill="auto"/>
            <w:noWrap w:val="0"/>
            <w:vAlign w:val="center"/>
          </w:tcPr>
          <w:p w14:paraId="45315043">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2385" w:type="dxa"/>
            <w:tcBorders>
              <w:top w:val="nil"/>
              <w:left w:val="nil"/>
              <w:bottom w:val="single" w:color="auto" w:sz="4" w:space="0"/>
              <w:right w:val="single" w:color="auto" w:sz="4" w:space="0"/>
            </w:tcBorders>
            <w:shd w:val="clear" w:color="auto" w:fill="auto"/>
            <w:noWrap w:val="0"/>
            <w:vAlign w:val="center"/>
          </w:tcPr>
          <w:p w14:paraId="2F3D3595">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施工费（变压器进线柜改造、线路迁移、改造一套，双电源柜调试、高低压停、送电等）</w:t>
            </w:r>
          </w:p>
        </w:tc>
        <w:tc>
          <w:tcPr>
            <w:tcW w:w="720" w:type="dxa"/>
            <w:tcBorders>
              <w:top w:val="nil"/>
              <w:left w:val="nil"/>
              <w:bottom w:val="single" w:color="auto" w:sz="4" w:space="0"/>
              <w:right w:val="single" w:color="auto" w:sz="4" w:space="0"/>
            </w:tcBorders>
            <w:shd w:val="clear" w:color="auto" w:fill="auto"/>
            <w:noWrap w:val="0"/>
            <w:vAlign w:val="center"/>
          </w:tcPr>
          <w:p w14:paraId="79A39354">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w:t>
            </w:r>
          </w:p>
        </w:tc>
        <w:tc>
          <w:tcPr>
            <w:tcW w:w="840" w:type="dxa"/>
            <w:tcBorders>
              <w:top w:val="nil"/>
              <w:left w:val="nil"/>
              <w:bottom w:val="single" w:color="auto" w:sz="4" w:space="0"/>
              <w:right w:val="single" w:color="auto" w:sz="4" w:space="0"/>
            </w:tcBorders>
            <w:shd w:val="clear" w:color="auto" w:fill="auto"/>
            <w:noWrap w:val="0"/>
            <w:vAlign w:val="center"/>
          </w:tcPr>
          <w:p w14:paraId="10BCADE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45" w:type="dxa"/>
            <w:tcBorders>
              <w:top w:val="nil"/>
              <w:left w:val="nil"/>
              <w:bottom w:val="single" w:color="auto" w:sz="4" w:space="0"/>
              <w:right w:val="single" w:color="auto" w:sz="4" w:space="0"/>
            </w:tcBorders>
            <w:shd w:val="clear" w:color="auto" w:fill="auto"/>
            <w:noWrap w:val="0"/>
            <w:vAlign w:val="center"/>
          </w:tcPr>
          <w:p w14:paraId="7109934F">
            <w:pPr>
              <w:widowControl/>
              <w:jc w:val="both"/>
              <w:rPr>
                <w:rFonts w:hint="eastAsia" w:ascii="仿宋" w:hAnsi="仿宋" w:eastAsia="仿宋" w:cs="仿宋"/>
                <w:color w:val="000000"/>
                <w:kern w:val="0"/>
                <w:sz w:val="24"/>
                <w:szCs w:val="24"/>
              </w:rPr>
            </w:pPr>
          </w:p>
        </w:tc>
        <w:tc>
          <w:tcPr>
            <w:tcW w:w="945" w:type="dxa"/>
            <w:tcBorders>
              <w:top w:val="nil"/>
              <w:left w:val="nil"/>
              <w:bottom w:val="single" w:color="auto" w:sz="4" w:space="0"/>
              <w:right w:val="single" w:color="auto" w:sz="4" w:space="0"/>
            </w:tcBorders>
            <w:shd w:val="clear" w:color="auto" w:fill="auto"/>
            <w:noWrap w:val="0"/>
            <w:vAlign w:val="center"/>
          </w:tcPr>
          <w:p w14:paraId="4DBB23CE">
            <w:pPr>
              <w:widowControl/>
              <w:jc w:val="both"/>
              <w:rPr>
                <w:rFonts w:hint="eastAsia" w:ascii="仿宋" w:hAnsi="仿宋" w:eastAsia="仿宋" w:cs="仿宋"/>
                <w:color w:val="000000"/>
                <w:kern w:val="0"/>
                <w:sz w:val="24"/>
                <w:szCs w:val="24"/>
              </w:rPr>
            </w:pPr>
          </w:p>
        </w:tc>
        <w:tc>
          <w:tcPr>
            <w:tcW w:w="3480" w:type="dxa"/>
            <w:tcBorders>
              <w:top w:val="nil"/>
              <w:left w:val="nil"/>
              <w:bottom w:val="single" w:color="auto" w:sz="4" w:space="0"/>
              <w:right w:val="single" w:color="auto" w:sz="4" w:space="0"/>
            </w:tcBorders>
            <w:shd w:val="clear" w:color="auto" w:fill="auto"/>
            <w:noWrap w:val="0"/>
            <w:vAlign w:val="center"/>
          </w:tcPr>
          <w:p w14:paraId="3DB6893C">
            <w:pPr>
              <w:widowControl/>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变压器进线柜改造、线路迁移、改造一套，双电源柜调试、高低压保电、停电、送电等</w:t>
            </w:r>
          </w:p>
        </w:tc>
      </w:tr>
      <w:tr w14:paraId="721373CD">
        <w:tblPrEx>
          <w:tblCellMar>
            <w:top w:w="0" w:type="dxa"/>
            <w:left w:w="108" w:type="dxa"/>
            <w:bottom w:w="0" w:type="dxa"/>
            <w:right w:w="108" w:type="dxa"/>
          </w:tblCellMar>
        </w:tblPrEx>
        <w:trPr>
          <w:trHeight w:val="535" w:hRule="atLeast"/>
        </w:trPr>
        <w:tc>
          <w:tcPr>
            <w:tcW w:w="715" w:type="dxa"/>
            <w:tcBorders>
              <w:top w:val="nil"/>
              <w:left w:val="single" w:color="auto" w:sz="4" w:space="0"/>
              <w:bottom w:val="single" w:color="auto" w:sz="4" w:space="0"/>
              <w:right w:val="single" w:color="auto" w:sz="4" w:space="0"/>
            </w:tcBorders>
            <w:shd w:val="clear" w:color="auto" w:fill="auto"/>
            <w:noWrap w:val="0"/>
            <w:vAlign w:val="center"/>
          </w:tcPr>
          <w:p w14:paraId="36A7E502">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5</w:t>
            </w:r>
          </w:p>
        </w:tc>
        <w:tc>
          <w:tcPr>
            <w:tcW w:w="2385" w:type="dxa"/>
            <w:tcBorders>
              <w:top w:val="nil"/>
              <w:left w:val="nil"/>
              <w:bottom w:val="single" w:color="auto" w:sz="4" w:space="0"/>
              <w:right w:val="single" w:color="auto" w:sz="4" w:space="0"/>
            </w:tcBorders>
            <w:shd w:val="clear" w:color="auto" w:fill="auto"/>
            <w:noWrap w:val="0"/>
            <w:vAlign w:val="center"/>
          </w:tcPr>
          <w:p w14:paraId="124B7737">
            <w:pPr>
              <w:widowControl/>
              <w:jc w:val="left"/>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五金配件</w:t>
            </w:r>
          </w:p>
        </w:tc>
        <w:tc>
          <w:tcPr>
            <w:tcW w:w="720" w:type="dxa"/>
            <w:tcBorders>
              <w:top w:val="nil"/>
              <w:left w:val="nil"/>
              <w:bottom w:val="single" w:color="auto" w:sz="4" w:space="0"/>
              <w:right w:val="single" w:color="auto" w:sz="4" w:space="0"/>
            </w:tcBorders>
            <w:shd w:val="clear" w:color="auto" w:fill="auto"/>
            <w:noWrap w:val="0"/>
            <w:vAlign w:val="center"/>
          </w:tcPr>
          <w:p w14:paraId="723F2EAD">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项</w:t>
            </w:r>
          </w:p>
        </w:tc>
        <w:tc>
          <w:tcPr>
            <w:tcW w:w="840" w:type="dxa"/>
            <w:tcBorders>
              <w:top w:val="nil"/>
              <w:left w:val="nil"/>
              <w:bottom w:val="single" w:color="auto" w:sz="4" w:space="0"/>
              <w:right w:val="single" w:color="auto" w:sz="4" w:space="0"/>
            </w:tcBorders>
            <w:shd w:val="clear" w:color="auto" w:fill="auto"/>
            <w:noWrap w:val="0"/>
            <w:vAlign w:val="center"/>
          </w:tcPr>
          <w:p w14:paraId="57308D88">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1</w:t>
            </w:r>
          </w:p>
        </w:tc>
        <w:tc>
          <w:tcPr>
            <w:tcW w:w="945" w:type="dxa"/>
            <w:tcBorders>
              <w:top w:val="nil"/>
              <w:left w:val="nil"/>
              <w:bottom w:val="single" w:color="auto" w:sz="4" w:space="0"/>
              <w:right w:val="single" w:color="auto" w:sz="4" w:space="0"/>
            </w:tcBorders>
            <w:shd w:val="clear" w:color="auto" w:fill="auto"/>
            <w:noWrap w:val="0"/>
            <w:vAlign w:val="center"/>
          </w:tcPr>
          <w:p w14:paraId="3CFEF6C4">
            <w:pPr>
              <w:widowControl/>
              <w:jc w:val="both"/>
              <w:rPr>
                <w:rFonts w:hint="eastAsia" w:ascii="仿宋" w:hAnsi="仿宋" w:eastAsia="仿宋" w:cs="仿宋"/>
                <w:color w:val="000000"/>
                <w:kern w:val="0"/>
                <w:sz w:val="24"/>
                <w:szCs w:val="24"/>
                <w:lang w:val="en-US" w:eastAsia="zh-CN" w:bidi="ar-SA"/>
              </w:rPr>
            </w:pPr>
          </w:p>
        </w:tc>
        <w:tc>
          <w:tcPr>
            <w:tcW w:w="945" w:type="dxa"/>
            <w:tcBorders>
              <w:top w:val="nil"/>
              <w:left w:val="nil"/>
              <w:bottom w:val="single" w:color="auto" w:sz="4" w:space="0"/>
              <w:right w:val="single" w:color="auto" w:sz="4" w:space="0"/>
            </w:tcBorders>
            <w:shd w:val="clear" w:color="auto" w:fill="auto"/>
            <w:noWrap w:val="0"/>
            <w:vAlign w:val="center"/>
          </w:tcPr>
          <w:p w14:paraId="4F72C66C">
            <w:pPr>
              <w:widowControl/>
              <w:jc w:val="both"/>
              <w:rPr>
                <w:rFonts w:hint="eastAsia" w:ascii="仿宋" w:hAnsi="仿宋" w:eastAsia="仿宋" w:cs="仿宋"/>
                <w:color w:val="000000"/>
                <w:kern w:val="0"/>
                <w:sz w:val="24"/>
                <w:szCs w:val="24"/>
                <w:lang w:val="en-US" w:eastAsia="zh-CN" w:bidi="ar-SA"/>
              </w:rPr>
            </w:pPr>
          </w:p>
        </w:tc>
        <w:tc>
          <w:tcPr>
            <w:tcW w:w="3480" w:type="dxa"/>
            <w:tcBorders>
              <w:top w:val="nil"/>
              <w:left w:val="nil"/>
              <w:bottom w:val="single" w:color="auto" w:sz="4" w:space="0"/>
              <w:right w:val="single" w:color="auto" w:sz="4" w:space="0"/>
            </w:tcBorders>
            <w:shd w:val="clear" w:color="auto" w:fill="auto"/>
            <w:noWrap w:val="0"/>
            <w:vAlign w:val="center"/>
          </w:tcPr>
          <w:p w14:paraId="76E2F9CF">
            <w:pPr>
              <w:widowControl/>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二次回路线材、铜接线端等辅材</w:t>
            </w:r>
          </w:p>
        </w:tc>
      </w:tr>
      <w:tr w14:paraId="7C014F3C">
        <w:tblPrEx>
          <w:tblCellMar>
            <w:top w:w="0" w:type="dxa"/>
            <w:left w:w="108" w:type="dxa"/>
            <w:bottom w:w="0" w:type="dxa"/>
            <w:right w:w="108" w:type="dxa"/>
          </w:tblCellMar>
        </w:tblPrEx>
        <w:trPr>
          <w:trHeight w:val="535" w:hRule="atLeast"/>
        </w:trPr>
        <w:tc>
          <w:tcPr>
            <w:tcW w:w="715" w:type="dxa"/>
            <w:tcBorders>
              <w:top w:val="nil"/>
              <w:left w:val="single" w:color="auto" w:sz="4" w:space="0"/>
              <w:bottom w:val="single" w:color="auto" w:sz="4" w:space="0"/>
              <w:right w:val="single" w:color="auto" w:sz="4" w:space="0"/>
            </w:tcBorders>
            <w:shd w:val="clear" w:color="auto" w:fill="auto"/>
            <w:noWrap w:val="0"/>
            <w:vAlign w:val="center"/>
          </w:tcPr>
          <w:p w14:paraId="1DFE50C0">
            <w:pPr>
              <w:widowControl/>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945" w:type="dxa"/>
            <w:gridSpan w:val="3"/>
            <w:tcBorders>
              <w:top w:val="nil"/>
              <w:left w:val="nil"/>
              <w:bottom w:val="single" w:color="auto" w:sz="4" w:space="0"/>
              <w:right w:val="single" w:color="auto" w:sz="4" w:space="0"/>
            </w:tcBorders>
            <w:shd w:val="clear" w:color="auto" w:fill="auto"/>
            <w:noWrap w:val="0"/>
            <w:vAlign w:val="center"/>
          </w:tcPr>
          <w:p w14:paraId="5F6D3D60">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合计（元）</w:t>
            </w:r>
          </w:p>
        </w:tc>
        <w:tc>
          <w:tcPr>
            <w:tcW w:w="5370" w:type="dxa"/>
            <w:gridSpan w:val="3"/>
            <w:tcBorders>
              <w:top w:val="nil"/>
              <w:left w:val="nil"/>
              <w:bottom w:val="single" w:color="auto" w:sz="4" w:space="0"/>
              <w:right w:val="single" w:color="auto" w:sz="4" w:space="0"/>
            </w:tcBorders>
            <w:shd w:val="clear" w:color="auto" w:fill="auto"/>
            <w:noWrap w:val="0"/>
            <w:vAlign w:val="center"/>
          </w:tcPr>
          <w:p w14:paraId="2457E4C4">
            <w:pPr>
              <w:widowControl/>
              <w:jc w:val="both"/>
              <w:rPr>
                <w:rFonts w:hint="eastAsia" w:ascii="仿宋" w:hAnsi="仿宋" w:eastAsia="仿宋" w:cs="仿宋"/>
                <w:color w:val="000000"/>
                <w:kern w:val="0"/>
                <w:sz w:val="24"/>
                <w:szCs w:val="24"/>
              </w:rPr>
            </w:pPr>
          </w:p>
        </w:tc>
      </w:tr>
    </w:tbl>
    <w:p w14:paraId="28D8C15B">
      <w:pPr>
        <w:tabs>
          <w:tab w:val="left" w:pos="7460"/>
          <w:tab w:val="left" w:pos="8080"/>
          <w:tab w:val="left" w:pos="8800"/>
        </w:tabs>
        <w:autoSpaceDE w:val="0"/>
        <w:autoSpaceDN w:val="0"/>
        <w:adjustRightInd w:val="0"/>
        <w:spacing w:line="360" w:lineRule="auto"/>
        <w:ind w:right="61" w:firstLine="4560" w:firstLineChars="1900"/>
        <w:rPr>
          <w:rFonts w:ascii="仿宋" w:hAnsi="仿宋" w:eastAsia="仿宋" w:cs="仿宋"/>
          <w:sz w:val="24"/>
          <w:szCs w:val="24"/>
        </w:rPr>
      </w:pPr>
      <w:r>
        <w:rPr>
          <w:rFonts w:hint="eastAsia" w:ascii="仿宋" w:hAnsi="仿宋" w:eastAsia="仿宋" w:cs="仿宋"/>
          <w:sz w:val="24"/>
          <w:szCs w:val="24"/>
        </w:rPr>
        <w:t>报价人：</w:t>
      </w:r>
      <w:r>
        <w:rPr>
          <w:rFonts w:hint="eastAsia" w:ascii="仿宋" w:hAnsi="仿宋" w:eastAsia="仿宋" w:cs="仿宋"/>
          <w:sz w:val="24"/>
          <w:szCs w:val="24"/>
          <w:u w:val="single"/>
        </w:rPr>
        <w:t xml:space="preserve">              </w:t>
      </w:r>
      <w:r>
        <w:rPr>
          <w:rFonts w:hint="eastAsia" w:ascii="仿宋" w:hAnsi="仿宋" w:eastAsia="仿宋" w:cs="仿宋"/>
          <w:sz w:val="24"/>
          <w:szCs w:val="24"/>
        </w:rPr>
        <w:t>(盖</w:t>
      </w:r>
      <w:r>
        <w:rPr>
          <w:rFonts w:hint="eastAsia" w:ascii="仿宋" w:hAnsi="仿宋" w:eastAsia="仿宋" w:cs="仿宋"/>
          <w:spacing w:val="-1"/>
          <w:sz w:val="24"/>
          <w:szCs w:val="24"/>
        </w:rPr>
        <w:t>单</w:t>
      </w:r>
      <w:r>
        <w:rPr>
          <w:rFonts w:hint="eastAsia" w:ascii="仿宋" w:hAnsi="仿宋" w:eastAsia="仿宋" w:cs="仿宋"/>
          <w:sz w:val="24"/>
          <w:szCs w:val="24"/>
        </w:rPr>
        <w:t xml:space="preserve">位章) </w:t>
      </w:r>
    </w:p>
    <w:p w14:paraId="516DFCCA">
      <w:pPr>
        <w:tabs>
          <w:tab w:val="left" w:pos="7455"/>
          <w:tab w:val="left" w:pos="8080"/>
          <w:tab w:val="left" w:pos="8800"/>
        </w:tabs>
        <w:autoSpaceDE w:val="0"/>
        <w:autoSpaceDN w:val="0"/>
        <w:adjustRightInd w:val="0"/>
        <w:spacing w:line="360" w:lineRule="auto"/>
        <w:ind w:right="61" w:firstLine="1920" w:firstLineChars="800"/>
        <w:rPr>
          <w:rFonts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pacing w:val="-1"/>
          <w:sz w:val="24"/>
          <w:szCs w:val="24"/>
        </w:rPr>
        <w:t>签</w:t>
      </w:r>
      <w:r>
        <w:rPr>
          <w:rFonts w:hint="eastAsia" w:ascii="仿宋" w:hAnsi="仿宋" w:eastAsia="仿宋" w:cs="仿宋"/>
          <w:sz w:val="24"/>
          <w:szCs w:val="24"/>
        </w:rPr>
        <w:t xml:space="preserve">字) </w:t>
      </w:r>
    </w:p>
    <w:p w14:paraId="4F2AD668">
      <w:pPr>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报价时间：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CD7710B">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注：1、报价包</w:t>
      </w:r>
      <w:r>
        <w:rPr>
          <w:rFonts w:hint="eastAsia" w:ascii="仿宋" w:hAnsi="仿宋" w:eastAsia="仿宋" w:cs="仿宋"/>
          <w:kern w:val="0"/>
          <w:sz w:val="24"/>
          <w:szCs w:val="24"/>
        </w:rPr>
        <w:t>含实施和完成设计成果所需的劳务、材料、机械、咨询、调试、安全、交通、管理、差旅费、保险、税费、利润等所有内容。</w:t>
      </w:r>
    </w:p>
    <w:p w14:paraId="31D5F018">
      <w:pPr>
        <w:spacing w:line="560" w:lineRule="exact"/>
        <w:ind w:firstLine="960" w:firstLineChars="400"/>
        <w:rPr>
          <w:rFonts w:ascii="仿宋" w:hAnsi="仿宋" w:eastAsia="仿宋" w:cs="仿宋"/>
          <w:sz w:val="24"/>
          <w:szCs w:val="24"/>
        </w:rPr>
      </w:pPr>
      <w:r>
        <w:rPr>
          <w:rFonts w:hint="eastAsia" w:ascii="仿宋" w:hAnsi="仿宋" w:eastAsia="仿宋" w:cs="仿宋"/>
          <w:sz w:val="24"/>
          <w:szCs w:val="24"/>
        </w:rPr>
        <w:t>2、总价人民币大写金额与小写金额应当一致，不一致时以大写金额为准；总价应与清单中的合计金额一致，不一致时询价人有权否决报价人的报价文件。</w:t>
      </w:r>
    </w:p>
    <w:p w14:paraId="1AD1B4D8">
      <w:pPr>
        <w:spacing w:before="312" w:beforeLines="100" w:after="312" w:afterLines="100" w:line="560" w:lineRule="exact"/>
        <w:ind w:firstLine="600"/>
        <w:jc w:val="center"/>
        <w:outlineLvl w:val="2"/>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24"/>
          <w:szCs w:val="24"/>
        </w:rPr>
        <w:br w:type="page"/>
      </w:r>
      <w:r>
        <w:rPr>
          <w:rFonts w:hint="eastAsia" w:ascii="方正小标宋简体" w:hAnsi="方正小标宋简体" w:eastAsia="方正小标宋简体" w:cs="方正小标宋简体"/>
          <w:bCs/>
          <w:sz w:val="44"/>
          <w:szCs w:val="44"/>
        </w:rPr>
        <w:t>信誉承诺表</w:t>
      </w:r>
    </w:p>
    <w:p w14:paraId="4CFED496">
      <w:pPr>
        <w:ind w:firstLine="480"/>
        <w:rPr>
          <w:rFonts w:ascii="仿宋_GB2312" w:hAnsi="仿宋_GB2312" w:eastAsia="仿宋_GB2312" w:cs="仿宋_GB2312"/>
          <w:sz w:val="28"/>
          <w:szCs w:val="28"/>
        </w:rPr>
      </w:pPr>
    </w:p>
    <w:tbl>
      <w:tblPr>
        <w:tblStyle w:val="14"/>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04B63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0972832E">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6E2957D2">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4EDBF4C4">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报价人情况说明</w:t>
            </w:r>
          </w:p>
        </w:tc>
      </w:tr>
      <w:tr w14:paraId="2CD4E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4BDA762E">
            <w:pPr>
              <w:autoSpaceDE w:val="0"/>
              <w:autoSpaceDN w:val="0"/>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219" w:type="dxa"/>
            <w:tcBorders>
              <w:top w:val="single" w:color="auto" w:sz="6" w:space="0"/>
              <w:left w:val="single" w:color="auto" w:sz="6" w:space="0"/>
              <w:bottom w:val="single" w:color="auto" w:sz="6" w:space="0"/>
              <w:right w:val="single" w:color="auto" w:sz="6" w:space="0"/>
            </w:tcBorders>
            <w:vAlign w:val="center"/>
          </w:tcPr>
          <w:p w14:paraId="34237D33">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04BE932B">
            <w:pPr>
              <w:adjustRightInd w:val="0"/>
              <w:snapToGrid w:val="0"/>
              <w:spacing w:line="360" w:lineRule="auto"/>
              <w:rPr>
                <w:rFonts w:ascii="仿宋_GB2312" w:hAnsi="仿宋_GB2312" w:eastAsia="仿宋_GB2312" w:cs="仿宋_GB2312"/>
                <w:sz w:val="28"/>
                <w:szCs w:val="28"/>
              </w:rPr>
            </w:pPr>
          </w:p>
        </w:tc>
      </w:tr>
      <w:tr w14:paraId="02A9B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1F8602C7">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219" w:type="dxa"/>
            <w:tcBorders>
              <w:top w:val="single" w:color="auto" w:sz="6" w:space="0"/>
              <w:left w:val="single" w:color="auto" w:sz="6" w:space="0"/>
              <w:bottom w:val="single" w:color="auto" w:sz="6" w:space="0"/>
              <w:right w:val="single" w:color="auto" w:sz="6" w:space="0"/>
            </w:tcBorders>
            <w:vAlign w:val="center"/>
          </w:tcPr>
          <w:p w14:paraId="724E737E">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1CD2F681">
            <w:pPr>
              <w:adjustRightInd w:val="0"/>
              <w:snapToGrid w:val="0"/>
              <w:spacing w:line="360" w:lineRule="auto"/>
              <w:rPr>
                <w:rFonts w:ascii="仿宋_GB2312" w:hAnsi="仿宋_GB2312" w:eastAsia="仿宋_GB2312" w:cs="仿宋_GB2312"/>
                <w:sz w:val="28"/>
                <w:szCs w:val="28"/>
              </w:rPr>
            </w:pPr>
          </w:p>
        </w:tc>
      </w:tr>
      <w:tr w14:paraId="5E088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2C6779AC">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219" w:type="dxa"/>
            <w:tcBorders>
              <w:top w:val="single" w:color="auto" w:sz="6" w:space="0"/>
              <w:left w:val="single" w:color="auto" w:sz="6" w:space="0"/>
              <w:bottom w:val="single" w:color="auto" w:sz="6" w:space="0"/>
              <w:right w:val="single" w:color="auto" w:sz="6" w:space="0"/>
            </w:tcBorders>
            <w:vAlign w:val="center"/>
          </w:tcPr>
          <w:p w14:paraId="7213421F">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是否在国家企业信用信息公示系统</w:t>
            </w:r>
            <w:r>
              <w:fldChar w:fldCharType="begin"/>
            </w:r>
            <w:r>
              <w:instrText xml:space="preserve"> HYPERLINK "http://www.gsxt.gov.cn/" </w:instrText>
            </w:r>
            <w:r>
              <w:fldChar w:fldCharType="separate"/>
            </w:r>
            <w:r>
              <w:rPr>
                <w:rStyle w:val="20"/>
                <w:rFonts w:hint="eastAsia" w:ascii="仿宋_GB2312" w:hAnsi="仿宋_GB2312" w:eastAsia="仿宋_GB2312" w:cs="仿宋_GB2312"/>
                <w:color w:val="auto"/>
                <w:sz w:val="28"/>
                <w:szCs w:val="28"/>
              </w:rPr>
              <w:t>（http://www.gsxt.gov.cn</w:t>
            </w:r>
            <w:r>
              <w:rPr>
                <w:rStyle w:val="20"/>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sz w:val="28"/>
                <w:szCs w:val="28"/>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24DA488B">
            <w:pPr>
              <w:adjustRightInd w:val="0"/>
              <w:snapToGrid w:val="0"/>
              <w:spacing w:line="360" w:lineRule="auto"/>
              <w:rPr>
                <w:rFonts w:ascii="仿宋_GB2312" w:hAnsi="仿宋_GB2312" w:eastAsia="仿宋_GB2312" w:cs="仿宋_GB2312"/>
                <w:sz w:val="28"/>
                <w:szCs w:val="28"/>
              </w:rPr>
            </w:pPr>
          </w:p>
        </w:tc>
      </w:tr>
      <w:tr w14:paraId="64B91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4725F5E7">
            <w:pPr>
              <w:adjustRightInd w:val="0"/>
              <w:snapToGrid w:val="0"/>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219" w:type="dxa"/>
            <w:tcBorders>
              <w:top w:val="single" w:color="auto" w:sz="6" w:space="0"/>
              <w:left w:val="single" w:color="auto" w:sz="6" w:space="0"/>
              <w:bottom w:val="single" w:color="auto" w:sz="12" w:space="0"/>
              <w:right w:val="single" w:color="auto" w:sz="6" w:space="0"/>
            </w:tcBorders>
            <w:vAlign w:val="center"/>
          </w:tcPr>
          <w:p w14:paraId="45964C72">
            <w:pPr>
              <w:autoSpaceDE w:val="0"/>
              <w:autoSpaceDN w:val="0"/>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是否在“信用中国”网站（</w:t>
            </w:r>
            <w:r>
              <w:fldChar w:fldCharType="begin"/>
            </w:r>
            <w:r>
              <w:instrText xml:space="preserve"> HYPERLINK "http://www.creditchina.gov.cn/" </w:instrText>
            </w:r>
            <w:r>
              <w:fldChar w:fldCharType="separate"/>
            </w:r>
            <w:r>
              <w:rPr>
                <w:rStyle w:val="20"/>
                <w:rFonts w:hint="eastAsia" w:ascii="仿宋_GB2312" w:hAnsi="仿宋_GB2312" w:eastAsia="仿宋_GB2312" w:cs="仿宋_GB2312"/>
                <w:color w:val="auto"/>
                <w:sz w:val="28"/>
                <w:szCs w:val="28"/>
              </w:rPr>
              <w:t>http://www.creditchina.gov.cn</w:t>
            </w:r>
            <w:r>
              <w:rPr>
                <w:rStyle w:val="20"/>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sz w:val="28"/>
                <w:szCs w:val="28"/>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14:paraId="7C2793A0">
            <w:pPr>
              <w:adjustRightInd w:val="0"/>
              <w:snapToGrid w:val="0"/>
              <w:spacing w:line="360" w:lineRule="auto"/>
              <w:rPr>
                <w:rFonts w:ascii="仿宋_GB2312" w:hAnsi="仿宋_GB2312" w:eastAsia="仿宋_GB2312" w:cs="仿宋_GB2312"/>
                <w:sz w:val="28"/>
                <w:szCs w:val="28"/>
              </w:rPr>
            </w:pPr>
          </w:p>
        </w:tc>
      </w:tr>
    </w:tbl>
    <w:p w14:paraId="067D0129">
      <w:pPr>
        <w:spacing w:line="320" w:lineRule="exact"/>
        <w:jc w:val="left"/>
        <w:rPr>
          <w:rFonts w:ascii="仿宋_GB2312" w:hAnsi="仿宋_GB2312" w:eastAsia="仿宋_GB2312" w:cs="仿宋_GB2312"/>
          <w:sz w:val="28"/>
          <w:szCs w:val="28"/>
        </w:rPr>
      </w:pPr>
    </w:p>
    <w:p w14:paraId="4E5613F8">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注：1.报价人情况说明请填写“是”或“否”。</w:t>
      </w:r>
    </w:p>
    <w:p w14:paraId="4F0B1EE5">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2.报价人应如实填写本表，如隐瞒真实情况，一旦发现将取消其签约资格。</w:t>
      </w:r>
    </w:p>
    <w:p w14:paraId="6BE8AB7A">
      <w:pPr>
        <w:rPr>
          <w:rFonts w:ascii="仿宋_GB2312" w:hAnsi="仿宋_GB2312" w:eastAsia="仿宋_GB2312" w:cs="仿宋_GB2312"/>
          <w:sz w:val="28"/>
          <w:szCs w:val="28"/>
        </w:rPr>
      </w:pPr>
    </w:p>
    <w:p w14:paraId="0E5D3859">
      <w:pPr>
        <w:tabs>
          <w:tab w:val="left" w:pos="7460"/>
          <w:tab w:val="left" w:pos="8080"/>
          <w:tab w:val="left" w:pos="8800"/>
        </w:tabs>
        <w:autoSpaceDE w:val="0"/>
        <w:autoSpaceDN w:val="0"/>
        <w:adjustRightInd w:val="0"/>
        <w:spacing w:line="360" w:lineRule="auto"/>
        <w:ind w:right="61"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承诺人：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w:t>
      </w:r>
      <w:r>
        <w:rPr>
          <w:rFonts w:hint="eastAsia" w:ascii="仿宋_GB2312" w:hAnsi="仿宋_GB2312" w:eastAsia="仿宋_GB2312" w:cs="仿宋_GB2312"/>
          <w:spacing w:val="-1"/>
          <w:sz w:val="28"/>
          <w:szCs w:val="28"/>
        </w:rPr>
        <w:t>单</w:t>
      </w:r>
      <w:r>
        <w:rPr>
          <w:rFonts w:hint="eastAsia" w:ascii="仿宋_GB2312" w:hAnsi="仿宋_GB2312" w:eastAsia="仿宋_GB2312" w:cs="仿宋_GB2312"/>
          <w:sz w:val="28"/>
          <w:szCs w:val="28"/>
        </w:rPr>
        <w:t xml:space="preserve">位章) </w:t>
      </w:r>
    </w:p>
    <w:p w14:paraId="215A93FB">
      <w:pPr>
        <w:tabs>
          <w:tab w:val="left" w:pos="7460"/>
          <w:tab w:val="left" w:pos="8080"/>
          <w:tab w:val="left" w:pos="8800"/>
        </w:tabs>
        <w:autoSpaceDE w:val="0"/>
        <w:autoSpaceDN w:val="0"/>
        <w:adjustRightInd w:val="0"/>
        <w:spacing w:line="360" w:lineRule="auto"/>
        <w:ind w:right="61"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1"/>
          <w:sz w:val="28"/>
          <w:szCs w:val="28"/>
        </w:rPr>
        <w:t>签</w:t>
      </w:r>
      <w:r>
        <w:rPr>
          <w:rFonts w:hint="eastAsia" w:ascii="仿宋_GB2312" w:hAnsi="仿宋_GB2312" w:eastAsia="仿宋_GB2312" w:cs="仿宋_GB2312"/>
          <w:sz w:val="28"/>
          <w:szCs w:val="28"/>
        </w:rPr>
        <w:t xml:space="preserve">字) </w:t>
      </w:r>
    </w:p>
    <w:p w14:paraId="72D83EE3">
      <w:pPr>
        <w:ind w:firstLine="4340" w:firstLineChars="1550"/>
        <w:rPr>
          <w:rFonts w:ascii="仿宋_GB2312" w:hAnsi="仿宋_GB2312" w:eastAsia="仿宋_GB2312" w:cs="仿宋_GB2312"/>
          <w:sz w:val="28"/>
          <w:szCs w:val="28"/>
        </w:rPr>
      </w:pPr>
      <w:r>
        <w:rPr>
          <w:rFonts w:hint="eastAsia" w:ascii="仿宋_GB2312" w:hAnsi="仿宋_GB2312" w:eastAsia="仿宋_GB2312" w:cs="仿宋_GB2312"/>
          <w:sz w:val="28"/>
          <w:szCs w:val="28"/>
        </w:rPr>
        <w:t>承诺时间：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363FEE3D">
      <w:pPr>
        <w:jc w:val="center"/>
        <w:rPr>
          <w:rFonts w:ascii="宋体" w:hAnsi="宋体"/>
          <w:b/>
          <w:bCs/>
          <w:sz w:val="24"/>
        </w:rPr>
      </w:pPr>
    </w:p>
    <w:p w14:paraId="07C410AF">
      <w:pPr>
        <w:jc w:val="center"/>
        <w:rPr>
          <w:rFonts w:ascii="宋体" w:hAnsi="宋体"/>
          <w:b/>
          <w:bCs/>
          <w:sz w:val="24"/>
        </w:rPr>
      </w:pPr>
    </w:p>
    <w:p w14:paraId="7F2EF1CA">
      <w:pPr>
        <w:jc w:val="center"/>
        <w:rPr>
          <w:rFonts w:ascii="宋体" w:hAnsi="宋体"/>
          <w:b/>
          <w:bCs/>
          <w:sz w:val="24"/>
        </w:rPr>
      </w:pPr>
    </w:p>
    <w:p w14:paraId="2B247282">
      <w:pPr>
        <w:jc w:val="center"/>
        <w:rPr>
          <w:rFonts w:ascii="宋体" w:hAnsi="宋体"/>
          <w:b/>
          <w:bCs/>
          <w:sz w:val="24"/>
        </w:rPr>
      </w:pPr>
    </w:p>
    <w:p w14:paraId="79A18736">
      <w:pPr>
        <w:jc w:val="center"/>
        <w:rPr>
          <w:rFonts w:ascii="宋体" w:hAnsi="宋体"/>
          <w:b/>
          <w:bCs/>
          <w:sz w:val="24"/>
        </w:rPr>
      </w:pPr>
    </w:p>
    <w:p w14:paraId="31BEB896">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其它资料格式</w:t>
      </w:r>
    </w:p>
    <w:p w14:paraId="0A6B6268">
      <w:pPr>
        <w:numPr>
          <w:ilvl w:val="0"/>
          <w:numId w:val="8"/>
        </w:numPr>
        <w:spacing w:before="312" w:beforeLines="100" w:after="312" w:afterLines="100" w:line="440" w:lineRule="exact"/>
        <w:ind w:firstLine="640" w:firstLineChars="200"/>
        <w:outlineLvl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报价文件按下列顺序排放</w:t>
      </w:r>
    </w:p>
    <w:p w14:paraId="50B26A00">
      <w:pPr>
        <w:numPr>
          <w:ilvl w:val="0"/>
          <w:numId w:val="9"/>
        </w:numPr>
        <w:spacing w:before="312" w:beforeLines="100" w:after="312" w:afterLines="100" w:line="440" w:lineRule="exact"/>
        <w:ind w:firstLine="640" w:firstLineChars="20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单位营业执照复印件</w:t>
      </w:r>
    </w:p>
    <w:p w14:paraId="6F1A2A54">
      <w:pPr>
        <w:numPr>
          <w:ilvl w:val="0"/>
          <w:numId w:val="9"/>
        </w:numPr>
        <w:spacing w:before="312" w:beforeLines="100" w:after="312" w:afterLines="100" w:line="440" w:lineRule="exact"/>
        <w:ind w:firstLine="640" w:firstLineChars="200"/>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法人代表（持法人代表身份证复印件），授权代理人（授权代理人身份证复印件、授权书原件）</w:t>
      </w:r>
    </w:p>
    <w:p w14:paraId="575EFE2C">
      <w:pPr>
        <w:numPr>
          <w:ilvl w:val="0"/>
          <w:numId w:val="9"/>
        </w:numPr>
        <w:spacing w:before="312" w:beforeLines="100" w:after="312" w:afterLines="100" w:line="440" w:lineRule="exact"/>
        <w:ind w:firstLine="640" w:firstLineChars="200"/>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报价函</w:t>
      </w:r>
    </w:p>
    <w:p w14:paraId="1708E552">
      <w:pPr>
        <w:numPr>
          <w:ilvl w:val="0"/>
          <w:numId w:val="9"/>
        </w:numPr>
        <w:spacing w:before="312" w:beforeLines="100" w:after="312" w:afterLines="100" w:line="440" w:lineRule="exact"/>
        <w:ind w:firstLine="640" w:firstLineChars="200"/>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信誉承诺表</w:t>
      </w:r>
    </w:p>
    <w:p w14:paraId="6F883AAE">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312" w:afterLines="100" w:line="480" w:lineRule="exact"/>
        <w:ind w:firstLine="640" w:firstLineChars="200"/>
        <w:textAlignment w:val="auto"/>
        <w:outlineLvl w:val="2"/>
        <w:rPr>
          <w:rFonts w:hint="eastAsia" w:ascii="仿宋_GB2312" w:hAnsi="仿宋_GB2312" w:eastAsia="仿宋_GB2312" w:cs="仿宋_GB2312"/>
          <w:kern w:val="0"/>
          <w:sz w:val="32"/>
          <w:szCs w:val="32"/>
          <w:lang w:eastAsia="zh-CN"/>
        </w:rPr>
      </w:pPr>
      <w:bookmarkStart w:id="0" w:name="_GoBack"/>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业绩证明材料（须提供已完项目的合同文件）复印件、人员相关资料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高压电工证、低压电工证复印件（非必须同一人，但均需在有效期内）。</w:t>
      </w:r>
    </w:p>
    <w:bookmarkEnd w:id="0"/>
    <w:p w14:paraId="4ED5CED7">
      <w:pPr>
        <w:widowControl/>
        <w:spacing w:line="44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询价文件要求的其他文件</w:t>
      </w:r>
    </w:p>
    <w:p w14:paraId="66659667">
      <w:pPr>
        <w:rPr>
          <w:rFonts w:ascii="仿宋_GB2312" w:hAnsi="仿宋_GB2312" w:eastAsia="仿宋_GB2312" w:cs="仿宋_GB2312"/>
          <w:sz w:val="28"/>
          <w:szCs w:val="28"/>
        </w:rPr>
      </w:pPr>
    </w:p>
    <w:p w14:paraId="7BA3F9E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注：1、营业执照提供复印件，并加盖公章；</w:t>
      </w:r>
    </w:p>
    <w:p w14:paraId="3585AECC">
      <w:pPr>
        <w:ind w:firstLine="1280" w:firstLineChars="400"/>
        <w:rPr>
          <w:rFonts w:ascii="仿宋_GB2312" w:hAnsi="仿宋_GB2312" w:eastAsia="仿宋_GB2312" w:cs="仿宋_GB2312"/>
          <w:sz w:val="32"/>
          <w:szCs w:val="32"/>
        </w:rPr>
      </w:pPr>
    </w:p>
    <w:p w14:paraId="3E548F9C">
      <w:pPr>
        <w:pStyle w:val="23"/>
        <w:rPr>
          <w:color w:val="FF0000"/>
        </w:rPr>
      </w:pPr>
    </w:p>
    <w:p w14:paraId="41C1153C">
      <w:pPr>
        <w:pStyle w:val="23"/>
      </w:pPr>
    </w:p>
    <w:p w14:paraId="02763260">
      <w:pPr>
        <w:rPr>
          <w:rFonts w:ascii="仿宋_GB2312" w:hAnsi="仿宋_GB2312" w:eastAsia="仿宋_GB2312" w:cs="仿宋_GB2312"/>
          <w:sz w:val="28"/>
          <w:szCs w:val="28"/>
        </w:rPr>
      </w:pPr>
    </w:p>
    <w:p w14:paraId="04546D09">
      <w:pPr>
        <w:rPr>
          <w:rFonts w:ascii="仿宋_GB2312" w:hAnsi="仿宋_GB2312" w:eastAsia="仿宋_GB2312" w:cs="仿宋_GB2312"/>
          <w:sz w:val="28"/>
          <w:szCs w:val="28"/>
        </w:rPr>
      </w:pPr>
    </w:p>
    <w:p w14:paraId="177DB96D">
      <w:pPr>
        <w:rPr>
          <w:rFonts w:ascii="仿宋_GB2312" w:hAnsi="仿宋_GB2312" w:eastAsia="仿宋_GB2312" w:cs="仿宋_GB2312"/>
          <w:sz w:val="28"/>
          <w:szCs w:val="28"/>
        </w:rPr>
      </w:pPr>
    </w:p>
    <w:p w14:paraId="3D3B2C69">
      <w:pPr>
        <w:rPr>
          <w:rFonts w:ascii="仿宋_GB2312" w:hAnsi="仿宋_GB2312" w:eastAsia="仿宋_GB2312" w:cs="仿宋_GB2312"/>
          <w:sz w:val="28"/>
          <w:szCs w:val="28"/>
        </w:rPr>
      </w:pPr>
    </w:p>
    <w:p w14:paraId="60F14FCC"/>
    <w:sectPr>
      <w:footerReference r:id="rId4" w:type="default"/>
      <w:pgSz w:w="11906" w:h="16838"/>
      <w:pgMar w:top="2098" w:right="1588" w:bottom="1984" w:left="1588" w:header="851" w:footer="1701"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D1D6E">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0DA2E">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C30DA2E">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0679">
    <w:pPr>
      <w:pStyle w:val="11"/>
      <w:pBdr>
        <w:bottom w:val="none" w:color="auto" w:sz="0" w:space="1"/>
      </w:pBdr>
      <w:spacing w:line="5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B5B5E"/>
    <w:multiLevelType w:val="singleLevel"/>
    <w:tmpl w:val="86EB5B5E"/>
    <w:lvl w:ilvl="0" w:tentative="0">
      <w:start w:val="1"/>
      <w:numFmt w:val="decimal"/>
      <w:suff w:val="nothing"/>
      <w:lvlText w:val="（%1）"/>
      <w:lvlJc w:val="left"/>
    </w:lvl>
  </w:abstractNum>
  <w:abstractNum w:abstractNumId="1">
    <w:nsid w:val="9899E54C"/>
    <w:multiLevelType w:val="singleLevel"/>
    <w:tmpl w:val="9899E54C"/>
    <w:lvl w:ilvl="0" w:tentative="0">
      <w:start w:val="2"/>
      <w:numFmt w:val="chineseCounting"/>
      <w:suff w:val="nothing"/>
      <w:lvlText w:val="%1、"/>
      <w:lvlJc w:val="left"/>
      <w:rPr>
        <w:rFonts w:hint="eastAsia"/>
      </w:rPr>
    </w:lvl>
  </w:abstractNum>
  <w:abstractNum w:abstractNumId="2">
    <w:nsid w:val="CF2D8ECF"/>
    <w:multiLevelType w:val="singleLevel"/>
    <w:tmpl w:val="CF2D8ECF"/>
    <w:lvl w:ilvl="0" w:tentative="0">
      <w:start w:val="1"/>
      <w:numFmt w:val="decimal"/>
      <w:suff w:val="nothing"/>
      <w:lvlText w:val="（%1）"/>
      <w:lvlJc w:val="left"/>
    </w:lvl>
  </w:abstractNum>
  <w:abstractNum w:abstractNumId="3">
    <w:nsid w:val="27C29F02"/>
    <w:multiLevelType w:val="singleLevel"/>
    <w:tmpl w:val="27C29F02"/>
    <w:lvl w:ilvl="0" w:tentative="0">
      <w:start w:val="1"/>
      <w:numFmt w:val="decimal"/>
      <w:suff w:val="nothing"/>
      <w:lvlText w:val="%1、"/>
      <w:lvlJc w:val="left"/>
    </w:lvl>
  </w:abstractNum>
  <w:abstractNum w:abstractNumId="4">
    <w:nsid w:val="32484D06"/>
    <w:multiLevelType w:val="singleLevel"/>
    <w:tmpl w:val="32484D06"/>
    <w:lvl w:ilvl="0" w:tentative="0">
      <w:start w:val="1"/>
      <w:numFmt w:val="decimal"/>
      <w:suff w:val="nothing"/>
      <w:lvlText w:val="（%1）"/>
      <w:lvlJc w:val="left"/>
    </w:lvl>
  </w:abstractNum>
  <w:abstractNum w:abstractNumId="5">
    <w:nsid w:val="3DB608F1"/>
    <w:multiLevelType w:val="singleLevel"/>
    <w:tmpl w:val="3DB608F1"/>
    <w:lvl w:ilvl="0" w:tentative="0">
      <w:start w:val="1"/>
      <w:numFmt w:val="decimal"/>
      <w:suff w:val="nothing"/>
      <w:lvlText w:val="%1、"/>
      <w:lvlJc w:val="left"/>
    </w:lvl>
  </w:abstractNum>
  <w:abstractNum w:abstractNumId="6">
    <w:nsid w:val="3DD0E947"/>
    <w:multiLevelType w:val="singleLevel"/>
    <w:tmpl w:val="3DD0E947"/>
    <w:lvl w:ilvl="0" w:tentative="0">
      <w:start w:val="1"/>
      <w:numFmt w:val="decimal"/>
      <w:suff w:val="nothing"/>
      <w:lvlText w:val="%1、"/>
      <w:lvlJc w:val="left"/>
    </w:lvl>
  </w:abstractNum>
  <w:abstractNum w:abstractNumId="7">
    <w:nsid w:val="4C6B0EE1"/>
    <w:multiLevelType w:val="singleLevel"/>
    <w:tmpl w:val="4C6B0EE1"/>
    <w:lvl w:ilvl="0" w:tentative="0">
      <w:start w:val="8"/>
      <w:numFmt w:val="chineseCounting"/>
      <w:suff w:val="nothing"/>
      <w:lvlText w:val="%1、"/>
      <w:lvlJc w:val="left"/>
      <w:rPr>
        <w:rFonts w:hint="eastAsia"/>
      </w:rPr>
    </w:lvl>
  </w:abstractNum>
  <w:abstractNum w:abstractNumId="8">
    <w:nsid w:val="794DC5B7"/>
    <w:multiLevelType w:val="singleLevel"/>
    <w:tmpl w:val="794DC5B7"/>
    <w:lvl w:ilvl="0" w:tentative="0">
      <w:start w:val="2"/>
      <w:numFmt w:val="decimal"/>
      <w:suff w:val="nothing"/>
      <w:lvlText w:val="%1、"/>
      <w:lvlJc w:val="left"/>
    </w:lvl>
  </w:abstractNum>
  <w:num w:numId="1">
    <w:abstractNumId w:val="1"/>
  </w:num>
  <w:num w:numId="2">
    <w:abstractNumId w:val="6"/>
  </w:num>
  <w:num w:numId="3">
    <w:abstractNumId w:val="8"/>
  </w:num>
  <w:num w:numId="4">
    <w:abstractNumId w:val="4"/>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YTlhZDYzYWJkZDcwMDEwMTkzMjhmMWE0Nzc5NTgifQ=="/>
  </w:docVars>
  <w:rsids>
    <w:rsidRoot w:val="00660D75"/>
    <w:rsid w:val="000016B6"/>
    <w:rsid w:val="00006772"/>
    <w:rsid w:val="00011233"/>
    <w:rsid w:val="000144D3"/>
    <w:rsid w:val="00033225"/>
    <w:rsid w:val="00041A21"/>
    <w:rsid w:val="00047AA6"/>
    <w:rsid w:val="00051AEE"/>
    <w:rsid w:val="00052AAD"/>
    <w:rsid w:val="00063F73"/>
    <w:rsid w:val="000716FB"/>
    <w:rsid w:val="000749E3"/>
    <w:rsid w:val="0007522D"/>
    <w:rsid w:val="000761CC"/>
    <w:rsid w:val="000815CB"/>
    <w:rsid w:val="00082D70"/>
    <w:rsid w:val="00083DB8"/>
    <w:rsid w:val="000868FF"/>
    <w:rsid w:val="0008750F"/>
    <w:rsid w:val="0009142F"/>
    <w:rsid w:val="00094B8B"/>
    <w:rsid w:val="00094E73"/>
    <w:rsid w:val="000A3823"/>
    <w:rsid w:val="000A39B8"/>
    <w:rsid w:val="000D0968"/>
    <w:rsid w:val="000D3C84"/>
    <w:rsid w:val="000F43FC"/>
    <w:rsid w:val="0014183A"/>
    <w:rsid w:val="0014272B"/>
    <w:rsid w:val="00160DDF"/>
    <w:rsid w:val="001643A2"/>
    <w:rsid w:val="001669D4"/>
    <w:rsid w:val="00186DC6"/>
    <w:rsid w:val="00192FB6"/>
    <w:rsid w:val="001A1CCC"/>
    <w:rsid w:val="001B223C"/>
    <w:rsid w:val="001C4D66"/>
    <w:rsid w:val="001C5876"/>
    <w:rsid w:val="001D33B3"/>
    <w:rsid w:val="001D58D3"/>
    <w:rsid w:val="001D7AC2"/>
    <w:rsid w:val="001D7BE3"/>
    <w:rsid w:val="001E60AD"/>
    <w:rsid w:val="00207279"/>
    <w:rsid w:val="0021649C"/>
    <w:rsid w:val="0023192B"/>
    <w:rsid w:val="00235544"/>
    <w:rsid w:val="00236CD1"/>
    <w:rsid w:val="002630E2"/>
    <w:rsid w:val="00266740"/>
    <w:rsid w:val="00267734"/>
    <w:rsid w:val="00283AD8"/>
    <w:rsid w:val="00291474"/>
    <w:rsid w:val="00294A94"/>
    <w:rsid w:val="002E2A07"/>
    <w:rsid w:val="002E4D6D"/>
    <w:rsid w:val="002E71C4"/>
    <w:rsid w:val="002F28CD"/>
    <w:rsid w:val="002F2DAE"/>
    <w:rsid w:val="002F7518"/>
    <w:rsid w:val="003010AB"/>
    <w:rsid w:val="00307FFB"/>
    <w:rsid w:val="003369D7"/>
    <w:rsid w:val="00355431"/>
    <w:rsid w:val="00356D14"/>
    <w:rsid w:val="0036373F"/>
    <w:rsid w:val="00365AE7"/>
    <w:rsid w:val="00372A15"/>
    <w:rsid w:val="00372C6A"/>
    <w:rsid w:val="00374C79"/>
    <w:rsid w:val="00375A73"/>
    <w:rsid w:val="003B354F"/>
    <w:rsid w:val="003C6538"/>
    <w:rsid w:val="003D087B"/>
    <w:rsid w:val="003E61B2"/>
    <w:rsid w:val="004052B7"/>
    <w:rsid w:val="00410275"/>
    <w:rsid w:val="00416542"/>
    <w:rsid w:val="0043703B"/>
    <w:rsid w:val="00441793"/>
    <w:rsid w:val="00451727"/>
    <w:rsid w:val="00457CB4"/>
    <w:rsid w:val="00467E6D"/>
    <w:rsid w:val="00474703"/>
    <w:rsid w:val="00477519"/>
    <w:rsid w:val="00486B05"/>
    <w:rsid w:val="004E2A52"/>
    <w:rsid w:val="004E4021"/>
    <w:rsid w:val="004E5F16"/>
    <w:rsid w:val="004E61C9"/>
    <w:rsid w:val="00502B6B"/>
    <w:rsid w:val="00510436"/>
    <w:rsid w:val="0052399F"/>
    <w:rsid w:val="00524C37"/>
    <w:rsid w:val="005323C8"/>
    <w:rsid w:val="00532F66"/>
    <w:rsid w:val="005341C4"/>
    <w:rsid w:val="00542EE8"/>
    <w:rsid w:val="00545D2E"/>
    <w:rsid w:val="00551ACA"/>
    <w:rsid w:val="00557CF4"/>
    <w:rsid w:val="005643FD"/>
    <w:rsid w:val="00566DC9"/>
    <w:rsid w:val="005812C2"/>
    <w:rsid w:val="00584C48"/>
    <w:rsid w:val="005869B0"/>
    <w:rsid w:val="00592CE1"/>
    <w:rsid w:val="005957A6"/>
    <w:rsid w:val="005A209D"/>
    <w:rsid w:val="005A2504"/>
    <w:rsid w:val="005B1BBE"/>
    <w:rsid w:val="005B5A95"/>
    <w:rsid w:val="005C461C"/>
    <w:rsid w:val="005C50BF"/>
    <w:rsid w:val="005D3231"/>
    <w:rsid w:val="005E0F1B"/>
    <w:rsid w:val="005E518C"/>
    <w:rsid w:val="005F3CB6"/>
    <w:rsid w:val="0060053D"/>
    <w:rsid w:val="00621869"/>
    <w:rsid w:val="00637076"/>
    <w:rsid w:val="00637B78"/>
    <w:rsid w:val="00637C89"/>
    <w:rsid w:val="006440D7"/>
    <w:rsid w:val="006453FF"/>
    <w:rsid w:val="00654879"/>
    <w:rsid w:val="00655550"/>
    <w:rsid w:val="00655FD1"/>
    <w:rsid w:val="00660D75"/>
    <w:rsid w:val="00670645"/>
    <w:rsid w:val="00681509"/>
    <w:rsid w:val="00683715"/>
    <w:rsid w:val="00684F2D"/>
    <w:rsid w:val="00690783"/>
    <w:rsid w:val="00694111"/>
    <w:rsid w:val="006A2368"/>
    <w:rsid w:val="006A272B"/>
    <w:rsid w:val="006B3FC4"/>
    <w:rsid w:val="006B5EC8"/>
    <w:rsid w:val="006B7A44"/>
    <w:rsid w:val="006C30C8"/>
    <w:rsid w:val="006D3847"/>
    <w:rsid w:val="006D4908"/>
    <w:rsid w:val="006F084E"/>
    <w:rsid w:val="0074624B"/>
    <w:rsid w:val="00772B73"/>
    <w:rsid w:val="007736CB"/>
    <w:rsid w:val="00777854"/>
    <w:rsid w:val="00780289"/>
    <w:rsid w:val="00783B9F"/>
    <w:rsid w:val="00784839"/>
    <w:rsid w:val="00784CA5"/>
    <w:rsid w:val="007931EC"/>
    <w:rsid w:val="007A355C"/>
    <w:rsid w:val="007A4CB3"/>
    <w:rsid w:val="007C57DA"/>
    <w:rsid w:val="007E6CA3"/>
    <w:rsid w:val="007F6909"/>
    <w:rsid w:val="0082159A"/>
    <w:rsid w:val="00833D57"/>
    <w:rsid w:val="00857FE9"/>
    <w:rsid w:val="008625F0"/>
    <w:rsid w:val="0087167F"/>
    <w:rsid w:val="00874CC2"/>
    <w:rsid w:val="00880DE9"/>
    <w:rsid w:val="00882968"/>
    <w:rsid w:val="008B3836"/>
    <w:rsid w:val="008C7379"/>
    <w:rsid w:val="008D192E"/>
    <w:rsid w:val="008E6E76"/>
    <w:rsid w:val="008F5E2C"/>
    <w:rsid w:val="008F7DE5"/>
    <w:rsid w:val="009038F8"/>
    <w:rsid w:val="00912A46"/>
    <w:rsid w:val="00912D7B"/>
    <w:rsid w:val="00914028"/>
    <w:rsid w:val="0091781A"/>
    <w:rsid w:val="00920750"/>
    <w:rsid w:val="00927730"/>
    <w:rsid w:val="00931D89"/>
    <w:rsid w:val="00935720"/>
    <w:rsid w:val="009442E3"/>
    <w:rsid w:val="00947DFA"/>
    <w:rsid w:val="00950C92"/>
    <w:rsid w:val="00961979"/>
    <w:rsid w:val="00971D05"/>
    <w:rsid w:val="009757AF"/>
    <w:rsid w:val="00980D03"/>
    <w:rsid w:val="009925B8"/>
    <w:rsid w:val="0099377C"/>
    <w:rsid w:val="009B2C32"/>
    <w:rsid w:val="009B65B7"/>
    <w:rsid w:val="009E0498"/>
    <w:rsid w:val="009E5DA9"/>
    <w:rsid w:val="00A00F7F"/>
    <w:rsid w:val="00A05E01"/>
    <w:rsid w:val="00A06EC7"/>
    <w:rsid w:val="00A2301E"/>
    <w:rsid w:val="00A265B2"/>
    <w:rsid w:val="00A2678F"/>
    <w:rsid w:val="00A45AFE"/>
    <w:rsid w:val="00A468F2"/>
    <w:rsid w:val="00A52A97"/>
    <w:rsid w:val="00A6163A"/>
    <w:rsid w:val="00A635F4"/>
    <w:rsid w:val="00A850E4"/>
    <w:rsid w:val="00A876BB"/>
    <w:rsid w:val="00A90FC0"/>
    <w:rsid w:val="00AA0F7E"/>
    <w:rsid w:val="00AB2859"/>
    <w:rsid w:val="00AC48F4"/>
    <w:rsid w:val="00AD29D5"/>
    <w:rsid w:val="00AD717B"/>
    <w:rsid w:val="00AF01A1"/>
    <w:rsid w:val="00B05FB3"/>
    <w:rsid w:val="00B11322"/>
    <w:rsid w:val="00B17A76"/>
    <w:rsid w:val="00B4353D"/>
    <w:rsid w:val="00B43919"/>
    <w:rsid w:val="00B46099"/>
    <w:rsid w:val="00B63EC2"/>
    <w:rsid w:val="00B70DC7"/>
    <w:rsid w:val="00B724AA"/>
    <w:rsid w:val="00B86A83"/>
    <w:rsid w:val="00B9013B"/>
    <w:rsid w:val="00B95A77"/>
    <w:rsid w:val="00BB7FAC"/>
    <w:rsid w:val="00BC404A"/>
    <w:rsid w:val="00BE1342"/>
    <w:rsid w:val="00C00458"/>
    <w:rsid w:val="00C01602"/>
    <w:rsid w:val="00C02387"/>
    <w:rsid w:val="00C05CDB"/>
    <w:rsid w:val="00C07BC3"/>
    <w:rsid w:val="00C304B6"/>
    <w:rsid w:val="00C41055"/>
    <w:rsid w:val="00C4114A"/>
    <w:rsid w:val="00C53887"/>
    <w:rsid w:val="00C5678E"/>
    <w:rsid w:val="00C57AE3"/>
    <w:rsid w:val="00C647BF"/>
    <w:rsid w:val="00CA16D8"/>
    <w:rsid w:val="00CA1F3D"/>
    <w:rsid w:val="00CA23FC"/>
    <w:rsid w:val="00CA3903"/>
    <w:rsid w:val="00CB0469"/>
    <w:rsid w:val="00CC0735"/>
    <w:rsid w:val="00CC0BD4"/>
    <w:rsid w:val="00CC5372"/>
    <w:rsid w:val="00CC5A1D"/>
    <w:rsid w:val="00CF5D13"/>
    <w:rsid w:val="00D04610"/>
    <w:rsid w:val="00D06561"/>
    <w:rsid w:val="00D268AC"/>
    <w:rsid w:val="00D363C3"/>
    <w:rsid w:val="00D37D0E"/>
    <w:rsid w:val="00D42F58"/>
    <w:rsid w:val="00D5075C"/>
    <w:rsid w:val="00D61088"/>
    <w:rsid w:val="00D70B67"/>
    <w:rsid w:val="00D7241C"/>
    <w:rsid w:val="00D84838"/>
    <w:rsid w:val="00D87344"/>
    <w:rsid w:val="00D91EDB"/>
    <w:rsid w:val="00D95D6A"/>
    <w:rsid w:val="00D9781D"/>
    <w:rsid w:val="00DA37DA"/>
    <w:rsid w:val="00DC6980"/>
    <w:rsid w:val="00DD6BC0"/>
    <w:rsid w:val="00DE2570"/>
    <w:rsid w:val="00DF2292"/>
    <w:rsid w:val="00DF39C4"/>
    <w:rsid w:val="00E00693"/>
    <w:rsid w:val="00E0770D"/>
    <w:rsid w:val="00E2078E"/>
    <w:rsid w:val="00E24CB5"/>
    <w:rsid w:val="00E33976"/>
    <w:rsid w:val="00E57F27"/>
    <w:rsid w:val="00E74D76"/>
    <w:rsid w:val="00EA18E2"/>
    <w:rsid w:val="00EB696A"/>
    <w:rsid w:val="00ED1942"/>
    <w:rsid w:val="00EF6FFC"/>
    <w:rsid w:val="00F01391"/>
    <w:rsid w:val="00F11EA0"/>
    <w:rsid w:val="00F211EF"/>
    <w:rsid w:val="00F27011"/>
    <w:rsid w:val="00F42DF0"/>
    <w:rsid w:val="00F56050"/>
    <w:rsid w:val="00F63D44"/>
    <w:rsid w:val="00F672BF"/>
    <w:rsid w:val="00F70442"/>
    <w:rsid w:val="00F70C3E"/>
    <w:rsid w:val="00F70D93"/>
    <w:rsid w:val="00F76112"/>
    <w:rsid w:val="00F838E8"/>
    <w:rsid w:val="00F96A6B"/>
    <w:rsid w:val="00F97712"/>
    <w:rsid w:val="00FA6595"/>
    <w:rsid w:val="00FC43B0"/>
    <w:rsid w:val="00FC45E2"/>
    <w:rsid w:val="00FD3D3B"/>
    <w:rsid w:val="00FD40DC"/>
    <w:rsid w:val="00FE295E"/>
    <w:rsid w:val="00FE5DF4"/>
    <w:rsid w:val="01141165"/>
    <w:rsid w:val="01205D5C"/>
    <w:rsid w:val="01390BCC"/>
    <w:rsid w:val="015974C0"/>
    <w:rsid w:val="016245C6"/>
    <w:rsid w:val="01632955"/>
    <w:rsid w:val="017E706F"/>
    <w:rsid w:val="0183453D"/>
    <w:rsid w:val="018447D9"/>
    <w:rsid w:val="019678BC"/>
    <w:rsid w:val="01A14B3D"/>
    <w:rsid w:val="01A30B87"/>
    <w:rsid w:val="01AA3877"/>
    <w:rsid w:val="01B6046E"/>
    <w:rsid w:val="01CF32DE"/>
    <w:rsid w:val="01D86637"/>
    <w:rsid w:val="01F01BD2"/>
    <w:rsid w:val="01F33470"/>
    <w:rsid w:val="01FE48CE"/>
    <w:rsid w:val="01FF1E15"/>
    <w:rsid w:val="022573A2"/>
    <w:rsid w:val="02296E92"/>
    <w:rsid w:val="023F0143"/>
    <w:rsid w:val="024C1B2A"/>
    <w:rsid w:val="026003DA"/>
    <w:rsid w:val="0268276F"/>
    <w:rsid w:val="027125E7"/>
    <w:rsid w:val="028B18FB"/>
    <w:rsid w:val="02B32C00"/>
    <w:rsid w:val="02C50921"/>
    <w:rsid w:val="02D45050"/>
    <w:rsid w:val="031C69F7"/>
    <w:rsid w:val="033124A2"/>
    <w:rsid w:val="034E71B9"/>
    <w:rsid w:val="03563CB7"/>
    <w:rsid w:val="035B751F"/>
    <w:rsid w:val="036363D4"/>
    <w:rsid w:val="03637533"/>
    <w:rsid w:val="03675EC4"/>
    <w:rsid w:val="036A59B4"/>
    <w:rsid w:val="039368D6"/>
    <w:rsid w:val="04043713"/>
    <w:rsid w:val="040C7938"/>
    <w:rsid w:val="043F7CF8"/>
    <w:rsid w:val="046C12B8"/>
    <w:rsid w:val="049556AD"/>
    <w:rsid w:val="04BC5D9C"/>
    <w:rsid w:val="04BD7D66"/>
    <w:rsid w:val="04C410F4"/>
    <w:rsid w:val="04C44C50"/>
    <w:rsid w:val="04E672BC"/>
    <w:rsid w:val="052851DF"/>
    <w:rsid w:val="05345979"/>
    <w:rsid w:val="054C3DC9"/>
    <w:rsid w:val="05584EC3"/>
    <w:rsid w:val="055C77B1"/>
    <w:rsid w:val="05B45F91"/>
    <w:rsid w:val="05EE1366"/>
    <w:rsid w:val="05F11A75"/>
    <w:rsid w:val="05F6352F"/>
    <w:rsid w:val="060379FA"/>
    <w:rsid w:val="0614624F"/>
    <w:rsid w:val="06336531"/>
    <w:rsid w:val="063B7194"/>
    <w:rsid w:val="064755E1"/>
    <w:rsid w:val="06581AF4"/>
    <w:rsid w:val="066C1A43"/>
    <w:rsid w:val="068428E9"/>
    <w:rsid w:val="069074E0"/>
    <w:rsid w:val="069114AA"/>
    <w:rsid w:val="06911C3B"/>
    <w:rsid w:val="06AC697C"/>
    <w:rsid w:val="06AE7966"/>
    <w:rsid w:val="06BF6017"/>
    <w:rsid w:val="06C453DB"/>
    <w:rsid w:val="06D73640"/>
    <w:rsid w:val="06E4782C"/>
    <w:rsid w:val="06EC048E"/>
    <w:rsid w:val="07041C7C"/>
    <w:rsid w:val="071F2612"/>
    <w:rsid w:val="07220D11"/>
    <w:rsid w:val="074D53D1"/>
    <w:rsid w:val="0753050D"/>
    <w:rsid w:val="076F17EB"/>
    <w:rsid w:val="07A50D69"/>
    <w:rsid w:val="07B436A2"/>
    <w:rsid w:val="07E04497"/>
    <w:rsid w:val="07EF1E1A"/>
    <w:rsid w:val="081D1247"/>
    <w:rsid w:val="08202AE5"/>
    <w:rsid w:val="08297BEC"/>
    <w:rsid w:val="0835310F"/>
    <w:rsid w:val="08510EF1"/>
    <w:rsid w:val="08872B64"/>
    <w:rsid w:val="088C0AD1"/>
    <w:rsid w:val="088F03E1"/>
    <w:rsid w:val="089332B7"/>
    <w:rsid w:val="089963F4"/>
    <w:rsid w:val="08AE1E9F"/>
    <w:rsid w:val="08FC70AE"/>
    <w:rsid w:val="0904376D"/>
    <w:rsid w:val="090715AF"/>
    <w:rsid w:val="09120546"/>
    <w:rsid w:val="091A7535"/>
    <w:rsid w:val="091C14FF"/>
    <w:rsid w:val="094D790A"/>
    <w:rsid w:val="095A2027"/>
    <w:rsid w:val="095A7114"/>
    <w:rsid w:val="0970184A"/>
    <w:rsid w:val="098B0432"/>
    <w:rsid w:val="098F2C00"/>
    <w:rsid w:val="099A523E"/>
    <w:rsid w:val="09AF2373"/>
    <w:rsid w:val="09B01C47"/>
    <w:rsid w:val="09BE25B6"/>
    <w:rsid w:val="0A0F2E11"/>
    <w:rsid w:val="0A104CF8"/>
    <w:rsid w:val="0A195A3E"/>
    <w:rsid w:val="0A5D3B7D"/>
    <w:rsid w:val="0A875F3B"/>
    <w:rsid w:val="0AA17F4A"/>
    <w:rsid w:val="0AA277E2"/>
    <w:rsid w:val="0ABB4D47"/>
    <w:rsid w:val="0ACD3D08"/>
    <w:rsid w:val="0AFA5870"/>
    <w:rsid w:val="0B187AA4"/>
    <w:rsid w:val="0B2C354F"/>
    <w:rsid w:val="0B330D82"/>
    <w:rsid w:val="0B732F2C"/>
    <w:rsid w:val="0BA31688"/>
    <w:rsid w:val="0BA94BA0"/>
    <w:rsid w:val="0BAB0918"/>
    <w:rsid w:val="0BB2614A"/>
    <w:rsid w:val="0BC814CA"/>
    <w:rsid w:val="0BE36304"/>
    <w:rsid w:val="0C126BE9"/>
    <w:rsid w:val="0C193AD3"/>
    <w:rsid w:val="0C2A3B37"/>
    <w:rsid w:val="0C526FE5"/>
    <w:rsid w:val="0C61547A"/>
    <w:rsid w:val="0C6C00A7"/>
    <w:rsid w:val="0C7B29E0"/>
    <w:rsid w:val="0C8A677F"/>
    <w:rsid w:val="0C8B0ABA"/>
    <w:rsid w:val="0CB33F28"/>
    <w:rsid w:val="0CD10852"/>
    <w:rsid w:val="0CE45BEE"/>
    <w:rsid w:val="0CE560AB"/>
    <w:rsid w:val="0CFB767D"/>
    <w:rsid w:val="0CFF0F1B"/>
    <w:rsid w:val="0D044784"/>
    <w:rsid w:val="0D3F57BC"/>
    <w:rsid w:val="0D4204F4"/>
    <w:rsid w:val="0D755681"/>
    <w:rsid w:val="0D771816"/>
    <w:rsid w:val="0D782A7C"/>
    <w:rsid w:val="0D7A67F4"/>
    <w:rsid w:val="0D7F205C"/>
    <w:rsid w:val="0DAE46EF"/>
    <w:rsid w:val="0DC42165"/>
    <w:rsid w:val="0DF540CC"/>
    <w:rsid w:val="0E04416E"/>
    <w:rsid w:val="0E0B7D94"/>
    <w:rsid w:val="0E194610"/>
    <w:rsid w:val="0E1C7DA5"/>
    <w:rsid w:val="0E1F1149"/>
    <w:rsid w:val="0E230C39"/>
    <w:rsid w:val="0E437B52"/>
    <w:rsid w:val="0E4F7C80"/>
    <w:rsid w:val="0E56100F"/>
    <w:rsid w:val="0E6574A4"/>
    <w:rsid w:val="0E666D78"/>
    <w:rsid w:val="0E757012"/>
    <w:rsid w:val="0E8930D2"/>
    <w:rsid w:val="0ED229F3"/>
    <w:rsid w:val="0F0A3BA7"/>
    <w:rsid w:val="0F296723"/>
    <w:rsid w:val="0F2A5FF8"/>
    <w:rsid w:val="0F8833C8"/>
    <w:rsid w:val="0FAB3524"/>
    <w:rsid w:val="0FAC5F77"/>
    <w:rsid w:val="0FB00BF3"/>
    <w:rsid w:val="0FB57FB7"/>
    <w:rsid w:val="0FBA55CD"/>
    <w:rsid w:val="0FC24095"/>
    <w:rsid w:val="0FDF6DE2"/>
    <w:rsid w:val="0FE93A4C"/>
    <w:rsid w:val="0FED5670"/>
    <w:rsid w:val="0FF26B15"/>
    <w:rsid w:val="1014226A"/>
    <w:rsid w:val="10266D19"/>
    <w:rsid w:val="103669CA"/>
    <w:rsid w:val="103709CC"/>
    <w:rsid w:val="10667503"/>
    <w:rsid w:val="10947B9D"/>
    <w:rsid w:val="10A20C48"/>
    <w:rsid w:val="111156C1"/>
    <w:rsid w:val="112F78F5"/>
    <w:rsid w:val="115B06EA"/>
    <w:rsid w:val="116B3023"/>
    <w:rsid w:val="116E48C1"/>
    <w:rsid w:val="117B2C83"/>
    <w:rsid w:val="117D4B05"/>
    <w:rsid w:val="11CD0783"/>
    <w:rsid w:val="11D12862"/>
    <w:rsid w:val="11D5116A"/>
    <w:rsid w:val="11D82BE7"/>
    <w:rsid w:val="11E931F7"/>
    <w:rsid w:val="11F1104F"/>
    <w:rsid w:val="12211934"/>
    <w:rsid w:val="124C0DF9"/>
    <w:rsid w:val="125735A8"/>
    <w:rsid w:val="1267504E"/>
    <w:rsid w:val="1290132E"/>
    <w:rsid w:val="12AD109A"/>
    <w:rsid w:val="12AD31C8"/>
    <w:rsid w:val="12CC5D44"/>
    <w:rsid w:val="13227B8D"/>
    <w:rsid w:val="1336140F"/>
    <w:rsid w:val="13441D7E"/>
    <w:rsid w:val="13645F7C"/>
    <w:rsid w:val="136844F9"/>
    <w:rsid w:val="136A10B9"/>
    <w:rsid w:val="13785584"/>
    <w:rsid w:val="13BF31B2"/>
    <w:rsid w:val="13C0517C"/>
    <w:rsid w:val="13C92283"/>
    <w:rsid w:val="13FC197A"/>
    <w:rsid w:val="1404150D"/>
    <w:rsid w:val="142179C9"/>
    <w:rsid w:val="14524026"/>
    <w:rsid w:val="14553B17"/>
    <w:rsid w:val="1457491F"/>
    <w:rsid w:val="145A737F"/>
    <w:rsid w:val="145E0C1D"/>
    <w:rsid w:val="147D1432"/>
    <w:rsid w:val="148159AB"/>
    <w:rsid w:val="14860365"/>
    <w:rsid w:val="14E54E9B"/>
    <w:rsid w:val="14E82BDD"/>
    <w:rsid w:val="14F96B98"/>
    <w:rsid w:val="151B08BC"/>
    <w:rsid w:val="15227B83"/>
    <w:rsid w:val="152359C3"/>
    <w:rsid w:val="152E4A94"/>
    <w:rsid w:val="154266A4"/>
    <w:rsid w:val="154A73F4"/>
    <w:rsid w:val="159863B1"/>
    <w:rsid w:val="15A21D76"/>
    <w:rsid w:val="15AB60E4"/>
    <w:rsid w:val="15AE1730"/>
    <w:rsid w:val="15B71322"/>
    <w:rsid w:val="15CF16A7"/>
    <w:rsid w:val="15EC4007"/>
    <w:rsid w:val="161D68B6"/>
    <w:rsid w:val="162E0AC3"/>
    <w:rsid w:val="163A56DD"/>
    <w:rsid w:val="16465E0D"/>
    <w:rsid w:val="16473933"/>
    <w:rsid w:val="1647748F"/>
    <w:rsid w:val="166E7112"/>
    <w:rsid w:val="16781D3E"/>
    <w:rsid w:val="16833E1E"/>
    <w:rsid w:val="16B56AEF"/>
    <w:rsid w:val="16C46D32"/>
    <w:rsid w:val="16E178E4"/>
    <w:rsid w:val="16E465E9"/>
    <w:rsid w:val="16E478DF"/>
    <w:rsid w:val="16F05D79"/>
    <w:rsid w:val="17381893"/>
    <w:rsid w:val="174F50A3"/>
    <w:rsid w:val="176C3651"/>
    <w:rsid w:val="17727954"/>
    <w:rsid w:val="177E3384"/>
    <w:rsid w:val="1787048B"/>
    <w:rsid w:val="17A0779F"/>
    <w:rsid w:val="17AA4179"/>
    <w:rsid w:val="17BE19D3"/>
    <w:rsid w:val="17D9680D"/>
    <w:rsid w:val="17F3167D"/>
    <w:rsid w:val="180A094D"/>
    <w:rsid w:val="180C6BE2"/>
    <w:rsid w:val="18356139"/>
    <w:rsid w:val="183F2B14"/>
    <w:rsid w:val="185F4F64"/>
    <w:rsid w:val="187C3D68"/>
    <w:rsid w:val="18860743"/>
    <w:rsid w:val="18910E95"/>
    <w:rsid w:val="189E3CDE"/>
    <w:rsid w:val="18A60DE5"/>
    <w:rsid w:val="18B54B84"/>
    <w:rsid w:val="18C33745"/>
    <w:rsid w:val="18ED02ED"/>
    <w:rsid w:val="18F7519C"/>
    <w:rsid w:val="1912647A"/>
    <w:rsid w:val="19252D86"/>
    <w:rsid w:val="193828BB"/>
    <w:rsid w:val="194F322A"/>
    <w:rsid w:val="195E16BF"/>
    <w:rsid w:val="19722456"/>
    <w:rsid w:val="197C38F4"/>
    <w:rsid w:val="197E58BE"/>
    <w:rsid w:val="197F6F94"/>
    <w:rsid w:val="198D3D53"/>
    <w:rsid w:val="199926F8"/>
    <w:rsid w:val="199E386A"/>
    <w:rsid w:val="19B117EF"/>
    <w:rsid w:val="19B9022D"/>
    <w:rsid w:val="19F55AB0"/>
    <w:rsid w:val="1A1D50D7"/>
    <w:rsid w:val="1A271AB1"/>
    <w:rsid w:val="1A291523"/>
    <w:rsid w:val="1A3F329F"/>
    <w:rsid w:val="1A42123B"/>
    <w:rsid w:val="1A4E5290"/>
    <w:rsid w:val="1A512FD2"/>
    <w:rsid w:val="1A827381"/>
    <w:rsid w:val="1A976C37"/>
    <w:rsid w:val="1AA573AE"/>
    <w:rsid w:val="1AB23A71"/>
    <w:rsid w:val="1AE45BF4"/>
    <w:rsid w:val="1AE6196C"/>
    <w:rsid w:val="1AEB4D0D"/>
    <w:rsid w:val="1B124510"/>
    <w:rsid w:val="1B1C713C"/>
    <w:rsid w:val="1B28788F"/>
    <w:rsid w:val="1B2F1FB1"/>
    <w:rsid w:val="1B3F29E2"/>
    <w:rsid w:val="1B5F527B"/>
    <w:rsid w:val="1B8B6070"/>
    <w:rsid w:val="1B966EEF"/>
    <w:rsid w:val="1BD23C9F"/>
    <w:rsid w:val="1BD679B7"/>
    <w:rsid w:val="1BE37C5A"/>
    <w:rsid w:val="1C224C26"/>
    <w:rsid w:val="1C7B4336"/>
    <w:rsid w:val="1C961170"/>
    <w:rsid w:val="1CA43DB0"/>
    <w:rsid w:val="1CC21806"/>
    <w:rsid w:val="1CC730D8"/>
    <w:rsid w:val="1CD22580"/>
    <w:rsid w:val="1CE95744"/>
    <w:rsid w:val="1D077978"/>
    <w:rsid w:val="1D084543"/>
    <w:rsid w:val="1D17405F"/>
    <w:rsid w:val="1D175E0D"/>
    <w:rsid w:val="1D28626C"/>
    <w:rsid w:val="1D3712D7"/>
    <w:rsid w:val="1D385D84"/>
    <w:rsid w:val="1D4961E3"/>
    <w:rsid w:val="1D5A219E"/>
    <w:rsid w:val="1D71583C"/>
    <w:rsid w:val="1D75282A"/>
    <w:rsid w:val="1DB60E14"/>
    <w:rsid w:val="1DB64C99"/>
    <w:rsid w:val="1DF60118"/>
    <w:rsid w:val="1DF61EC7"/>
    <w:rsid w:val="1E256308"/>
    <w:rsid w:val="1E2702D2"/>
    <w:rsid w:val="1E573424"/>
    <w:rsid w:val="1E7E1EBC"/>
    <w:rsid w:val="1EB6309B"/>
    <w:rsid w:val="1ED86831"/>
    <w:rsid w:val="1EF459B7"/>
    <w:rsid w:val="1EFB49BD"/>
    <w:rsid w:val="1EFD7285"/>
    <w:rsid w:val="1F0E3240"/>
    <w:rsid w:val="1F1F2361"/>
    <w:rsid w:val="1F394761"/>
    <w:rsid w:val="1F457A27"/>
    <w:rsid w:val="1F7600F9"/>
    <w:rsid w:val="1F7B0539"/>
    <w:rsid w:val="1FA032A3"/>
    <w:rsid w:val="1FBC0EEE"/>
    <w:rsid w:val="1FBF278C"/>
    <w:rsid w:val="1FDC5E3D"/>
    <w:rsid w:val="1FEA15B7"/>
    <w:rsid w:val="200563F1"/>
    <w:rsid w:val="20254CE5"/>
    <w:rsid w:val="203C5B8B"/>
    <w:rsid w:val="204809D3"/>
    <w:rsid w:val="20515ADA"/>
    <w:rsid w:val="20713A86"/>
    <w:rsid w:val="20855784"/>
    <w:rsid w:val="20B63B8F"/>
    <w:rsid w:val="20C75D9C"/>
    <w:rsid w:val="20D467DF"/>
    <w:rsid w:val="20E03959"/>
    <w:rsid w:val="20E922CE"/>
    <w:rsid w:val="20F841A8"/>
    <w:rsid w:val="21090163"/>
    <w:rsid w:val="212E3725"/>
    <w:rsid w:val="217D645B"/>
    <w:rsid w:val="2193098B"/>
    <w:rsid w:val="219C4B33"/>
    <w:rsid w:val="21DE339D"/>
    <w:rsid w:val="21E74BB6"/>
    <w:rsid w:val="21F4671D"/>
    <w:rsid w:val="21FA5CFD"/>
    <w:rsid w:val="21FF03E9"/>
    <w:rsid w:val="22056B7C"/>
    <w:rsid w:val="220B1A78"/>
    <w:rsid w:val="220D3C83"/>
    <w:rsid w:val="22433200"/>
    <w:rsid w:val="224666DB"/>
    <w:rsid w:val="224A0A33"/>
    <w:rsid w:val="224B758B"/>
    <w:rsid w:val="224D407F"/>
    <w:rsid w:val="22511DC1"/>
    <w:rsid w:val="226C6BFB"/>
    <w:rsid w:val="227F3F8D"/>
    <w:rsid w:val="22806203"/>
    <w:rsid w:val="22A31EF1"/>
    <w:rsid w:val="22A7378F"/>
    <w:rsid w:val="22AD2D70"/>
    <w:rsid w:val="22D622C7"/>
    <w:rsid w:val="23072593"/>
    <w:rsid w:val="231F36C8"/>
    <w:rsid w:val="23244DE0"/>
    <w:rsid w:val="23294AEC"/>
    <w:rsid w:val="23580F2E"/>
    <w:rsid w:val="235D02F2"/>
    <w:rsid w:val="2378337E"/>
    <w:rsid w:val="2379726B"/>
    <w:rsid w:val="239A32F4"/>
    <w:rsid w:val="23C16AD3"/>
    <w:rsid w:val="23CB16FF"/>
    <w:rsid w:val="23DC1B5F"/>
    <w:rsid w:val="23EF5C64"/>
    <w:rsid w:val="240864B0"/>
    <w:rsid w:val="240B5FA0"/>
    <w:rsid w:val="241906BD"/>
    <w:rsid w:val="244119C2"/>
    <w:rsid w:val="245A195E"/>
    <w:rsid w:val="245E2574"/>
    <w:rsid w:val="248B0E8F"/>
    <w:rsid w:val="24DB1E16"/>
    <w:rsid w:val="24DD18A1"/>
    <w:rsid w:val="251175E6"/>
    <w:rsid w:val="25270F01"/>
    <w:rsid w:val="25526577"/>
    <w:rsid w:val="25537BFE"/>
    <w:rsid w:val="25653912"/>
    <w:rsid w:val="259D531E"/>
    <w:rsid w:val="25BA1A2C"/>
    <w:rsid w:val="25CE54D7"/>
    <w:rsid w:val="260B04D9"/>
    <w:rsid w:val="263952BC"/>
    <w:rsid w:val="263E265D"/>
    <w:rsid w:val="26BF4371"/>
    <w:rsid w:val="26D45385"/>
    <w:rsid w:val="26E66850"/>
    <w:rsid w:val="26F86CAF"/>
    <w:rsid w:val="27232F2B"/>
    <w:rsid w:val="273A72C8"/>
    <w:rsid w:val="274C6FFB"/>
    <w:rsid w:val="278E2B07"/>
    <w:rsid w:val="27962024"/>
    <w:rsid w:val="279D1605"/>
    <w:rsid w:val="279D5A0B"/>
    <w:rsid w:val="27A74232"/>
    <w:rsid w:val="27A91D58"/>
    <w:rsid w:val="27E2170E"/>
    <w:rsid w:val="27F24D6B"/>
    <w:rsid w:val="27F5667F"/>
    <w:rsid w:val="281D62A2"/>
    <w:rsid w:val="285F68BA"/>
    <w:rsid w:val="28774F35"/>
    <w:rsid w:val="288D78CB"/>
    <w:rsid w:val="28924EE2"/>
    <w:rsid w:val="28AC211E"/>
    <w:rsid w:val="28AE7C47"/>
    <w:rsid w:val="28DF17A9"/>
    <w:rsid w:val="2927562A"/>
    <w:rsid w:val="295105C6"/>
    <w:rsid w:val="297F09CD"/>
    <w:rsid w:val="297F5466"/>
    <w:rsid w:val="29A9603F"/>
    <w:rsid w:val="29B13146"/>
    <w:rsid w:val="29D55086"/>
    <w:rsid w:val="29DF48FE"/>
    <w:rsid w:val="29F21E5A"/>
    <w:rsid w:val="29F319B0"/>
    <w:rsid w:val="2A090D1A"/>
    <w:rsid w:val="2A181417"/>
    <w:rsid w:val="2A1A6F3D"/>
    <w:rsid w:val="2A1D07DB"/>
    <w:rsid w:val="2A2A694A"/>
    <w:rsid w:val="2A475858"/>
    <w:rsid w:val="2A495A74"/>
    <w:rsid w:val="2A557F75"/>
    <w:rsid w:val="2A587A65"/>
    <w:rsid w:val="2A6428AE"/>
    <w:rsid w:val="2A924D25"/>
    <w:rsid w:val="2A992557"/>
    <w:rsid w:val="2AB90504"/>
    <w:rsid w:val="2ABC4498"/>
    <w:rsid w:val="2ABD0537"/>
    <w:rsid w:val="2AC944BF"/>
    <w:rsid w:val="2AD94E65"/>
    <w:rsid w:val="2AE8703B"/>
    <w:rsid w:val="2AE9690F"/>
    <w:rsid w:val="2AFE23BA"/>
    <w:rsid w:val="2B0100FD"/>
    <w:rsid w:val="2B084FE7"/>
    <w:rsid w:val="2B177920"/>
    <w:rsid w:val="2B317A55"/>
    <w:rsid w:val="2B522706"/>
    <w:rsid w:val="2B5C5333"/>
    <w:rsid w:val="2B5E554F"/>
    <w:rsid w:val="2B6448AE"/>
    <w:rsid w:val="2B647A33"/>
    <w:rsid w:val="2B7D59D5"/>
    <w:rsid w:val="2B7F799F"/>
    <w:rsid w:val="2BAA0794"/>
    <w:rsid w:val="2BBD471E"/>
    <w:rsid w:val="2C1D2D14"/>
    <w:rsid w:val="2C4071A7"/>
    <w:rsid w:val="2C424529"/>
    <w:rsid w:val="2C6941AB"/>
    <w:rsid w:val="2C6B7F24"/>
    <w:rsid w:val="2C98683F"/>
    <w:rsid w:val="2CA156F3"/>
    <w:rsid w:val="2CA45202"/>
    <w:rsid w:val="2CA62D0A"/>
    <w:rsid w:val="2CDF621C"/>
    <w:rsid w:val="2D1C121E"/>
    <w:rsid w:val="2D2105E2"/>
    <w:rsid w:val="2D452523"/>
    <w:rsid w:val="2D5C161A"/>
    <w:rsid w:val="2D654973"/>
    <w:rsid w:val="2D9278AF"/>
    <w:rsid w:val="2DC86CB0"/>
    <w:rsid w:val="2DDB2E87"/>
    <w:rsid w:val="2DE17D54"/>
    <w:rsid w:val="2DED484C"/>
    <w:rsid w:val="2E000398"/>
    <w:rsid w:val="2E0E6DB8"/>
    <w:rsid w:val="2E220C46"/>
    <w:rsid w:val="2E504D48"/>
    <w:rsid w:val="2E514EF7"/>
    <w:rsid w:val="2E756E38"/>
    <w:rsid w:val="2E837098"/>
    <w:rsid w:val="2E89643F"/>
    <w:rsid w:val="2E9B5C39"/>
    <w:rsid w:val="2EA15E7F"/>
    <w:rsid w:val="2ECB2EFB"/>
    <w:rsid w:val="2EDF69A7"/>
    <w:rsid w:val="2F176141"/>
    <w:rsid w:val="2F1C5505"/>
    <w:rsid w:val="2F261EE0"/>
    <w:rsid w:val="2F2F6AE2"/>
    <w:rsid w:val="2F452CAE"/>
    <w:rsid w:val="2F590507"/>
    <w:rsid w:val="2F6173BC"/>
    <w:rsid w:val="2F6D7B0F"/>
    <w:rsid w:val="2FA554FB"/>
    <w:rsid w:val="2FDC6A42"/>
    <w:rsid w:val="2FF62D3D"/>
    <w:rsid w:val="3002294D"/>
    <w:rsid w:val="300A35B0"/>
    <w:rsid w:val="300C37CC"/>
    <w:rsid w:val="30204B81"/>
    <w:rsid w:val="30420F9B"/>
    <w:rsid w:val="306233EC"/>
    <w:rsid w:val="309633E9"/>
    <w:rsid w:val="30BC14C6"/>
    <w:rsid w:val="30CB2D3F"/>
    <w:rsid w:val="30F304E8"/>
    <w:rsid w:val="30F46739"/>
    <w:rsid w:val="30F55F00"/>
    <w:rsid w:val="31210BB1"/>
    <w:rsid w:val="312B1A2F"/>
    <w:rsid w:val="31321010"/>
    <w:rsid w:val="315C42DF"/>
    <w:rsid w:val="31681474"/>
    <w:rsid w:val="317D0493"/>
    <w:rsid w:val="31943A79"/>
    <w:rsid w:val="319D2C12"/>
    <w:rsid w:val="319D6E9C"/>
    <w:rsid w:val="31A420AB"/>
    <w:rsid w:val="31E417E2"/>
    <w:rsid w:val="31E85B72"/>
    <w:rsid w:val="31EA18EB"/>
    <w:rsid w:val="31EC7411"/>
    <w:rsid w:val="321855B5"/>
    <w:rsid w:val="322F72FD"/>
    <w:rsid w:val="32546D64"/>
    <w:rsid w:val="32601BAD"/>
    <w:rsid w:val="326E6078"/>
    <w:rsid w:val="326E7E26"/>
    <w:rsid w:val="327F58EB"/>
    <w:rsid w:val="32963820"/>
    <w:rsid w:val="32A26C27"/>
    <w:rsid w:val="32B75C71"/>
    <w:rsid w:val="32C562D7"/>
    <w:rsid w:val="32CB0270"/>
    <w:rsid w:val="32D25971"/>
    <w:rsid w:val="32E5210C"/>
    <w:rsid w:val="32E620B2"/>
    <w:rsid w:val="32E87E44"/>
    <w:rsid w:val="32E95467"/>
    <w:rsid w:val="32EB4802"/>
    <w:rsid w:val="32FA790B"/>
    <w:rsid w:val="33024A12"/>
    <w:rsid w:val="331704BD"/>
    <w:rsid w:val="331C3D26"/>
    <w:rsid w:val="331C6B0B"/>
    <w:rsid w:val="33395984"/>
    <w:rsid w:val="3344327C"/>
    <w:rsid w:val="33550FE6"/>
    <w:rsid w:val="335F7709"/>
    <w:rsid w:val="336631F3"/>
    <w:rsid w:val="33837901"/>
    <w:rsid w:val="33D463AE"/>
    <w:rsid w:val="33DC34B5"/>
    <w:rsid w:val="340A0ECC"/>
    <w:rsid w:val="341C1B03"/>
    <w:rsid w:val="341E6D68"/>
    <w:rsid w:val="342D3D10"/>
    <w:rsid w:val="342F7A89"/>
    <w:rsid w:val="344F1ED9"/>
    <w:rsid w:val="347B2CCE"/>
    <w:rsid w:val="347F27BE"/>
    <w:rsid w:val="34B54432"/>
    <w:rsid w:val="34BA6A5F"/>
    <w:rsid w:val="34D50630"/>
    <w:rsid w:val="34F63C3A"/>
    <w:rsid w:val="350144DB"/>
    <w:rsid w:val="351078BA"/>
    <w:rsid w:val="35165C18"/>
    <w:rsid w:val="351C625F"/>
    <w:rsid w:val="358838F4"/>
    <w:rsid w:val="358E6A31"/>
    <w:rsid w:val="35A149B6"/>
    <w:rsid w:val="35A804C7"/>
    <w:rsid w:val="35B20971"/>
    <w:rsid w:val="35CB37E1"/>
    <w:rsid w:val="35DA7796"/>
    <w:rsid w:val="35F04FF6"/>
    <w:rsid w:val="36017203"/>
    <w:rsid w:val="360C62D3"/>
    <w:rsid w:val="364676BD"/>
    <w:rsid w:val="36483084"/>
    <w:rsid w:val="364D41F6"/>
    <w:rsid w:val="36561896"/>
    <w:rsid w:val="365B6913"/>
    <w:rsid w:val="36990158"/>
    <w:rsid w:val="36A91D74"/>
    <w:rsid w:val="36DD557A"/>
    <w:rsid w:val="36EE59D9"/>
    <w:rsid w:val="36FB00F6"/>
    <w:rsid w:val="37052D23"/>
    <w:rsid w:val="373B6744"/>
    <w:rsid w:val="37537F32"/>
    <w:rsid w:val="375949B6"/>
    <w:rsid w:val="37712166"/>
    <w:rsid w:val="378B76CC"/>
    <w:rsid w:val="37A442EA"/>
    <w:rsid w:val="37B4061F"/>
    <w:rsid w:val="37BE35FD"/>
    <w:rsid w:val="37CB1876"/>
    <w:rsid w:val="37CC4E69"/>
    <w:rsid w:val="37D56B99"/>
    <w:rsid w:val="3816543B"/>
    <w:rsid w:val="38327B47"/>
    <w:rsid w:val="385E093C"/>
    <w:rsid w:val="38686FCB"/>
    <w:rsid w:val="3872263A"/>
    <w:rsid w:val="38CA5FD2"/>
    <w:rsid w:val="38D34707"/>
    <w:rsid w:val="38FE5C7B"/>
    <w:rsid w:val="39205BF2"/>
    <w:rsid w:val="393C7ABF"/>
    <w:rsid w:val="393D7D07"/>
    <w:rsid w:val="393E28D8"/>
    <w:rsid w:val="395F671A"/>
    <w:rsid w:val="396959D4"/>
    <w:rsid w:val="39783C80"/>
    <w:rsid w:val="3998351C"/>
    <w:rsid w:val="39BF540B"/>
    <w:rsid w:val="39DA3FF3"/>
    <w:rsid w:val="39EB26A4"/>
    <w:rsid w:val="39EF3F42"/>
    <w:rsid w:val="39F94DC1"/>
    <w:rsid w:val="39FA6443"/>
    <w:rsid w:val="3A0A0D7C"/>
    <w:rsid w:val="3A0F6392"/>
    <w:rsid w:val="3A43603C"/>
    <w:rsid w:val="3A5C534F"/>
    <w:rsid w:val="3A7D4C62"/>
    <w:rsid w:val="3A9C399E"/>
    <w:rsid w:val="3AA27206"/>
    <w:rsid w:val="3AEF5E90"/>
    <w:rsid w:val="3AFD44E9"/>
    <w:rsid w:val="3B27770B"/>
    <w:rsid w:val="3B2E0A9A"/>
    <w:rsid w:val="3B3D2A8B"/>
    <w:rsid w:val="3B653D90"/>
    <w:rsid w:val="3B660234"/>
    <w:rsid w:val="3B893F22"/>
    <w:rsid w:val="3B912DD7"/>
    <w:rsid w:val="3BA64AD4"/>
    <w:rsid w:val="3BD74C8E"/>
    <w:rsid w:val="3BD80A06"/>
    <w:rsid w:val="3BF73879"/>
    <w:rsid w:val="3BFF2436"/>
    <w:rsid w:val="3C185594"/>
    <w:rsid w:val="3C4328DD"/>
    <w:rsid w:val="3C4542ED"/>
    <w:rsid w:val="3C6D114E"/>
    <w:rsid w:val="3C733064"/>
    <w:rsid w:val="3C982139"/>
    <w:rsid w:val="3CA134EE"/>
    <w:rsid w:val="3CA408E8"/>
    <w:rsid w:val="3CC1149A"/>
    <w:rsid w:val="3CD218F9"/>
    <w:rsid w:val="3CF76F15"/>
    <w:rsid w:val="3CF8471E"/>
    <w:rsid w:val="3D130770"/>
    <w:rsid w:val="3D143CBF"/>
    <w:rsid w:val="3D2739F3"/>
    <w:rsid w:val="3D566086"/>
    <w:rsid w:val="3D6C505E"/>
    <w:rsid w:val="3D6F0EF6"/>
    <w:rsid w:val="3DA05278"/>
    <w:rsid w:val="3DB72FC9"/>
    <w:rsid w:val="3DD31485"/>
    <w:rsid w:val="3DDA0A65"/>
    <w:rsid w:val="3DE25B6C"/>
    <w:rsid w:val="3E0C4997"/>
    <w:rsid w:val="3E2C2637"/>
    <w:rsid w:val="3E630A5B"/>
    <w:rsid w:val="3E704F26"/>
    <w:rsid w:val="3E8B6203"/>
    <w:rsid w:val="3E9E5F37"/>
    <w:rsid w:val="3EB05504"/>
    <w:rsid w:val="3ECB6600"/>
    <w:rsid w:val="3EE33949"/>
    <w:rsid w:val="3EE576C2"/>
    <w:rsid w:val="3EEB0A50"/>
    <w:rsid w:val="3EF11A6F"/>
    <w:rsid w:val="3F0062A9"/>
    <w:rsid w:val="3F06588A"/>
    <w:rsid w:val="3F4E170B"/>
    <w:rsid w:val="3F544847"/>
    <w:rsid w:val="3F9115F7"/>
    <w:rsid w:val="3F9966FE"/>
    <w:rsid w:val="3FA07A8C"/>
    <w:rsid w:val="3FD57736"/>
    <w:rsid w:val="3FD87226"/>
    <w:rsid w:val="3FF676AC"/>
    <w:rsid w:val="40067E42"/>
    <w:rsid w:val="400B7397"/>
    <w:rsid w:val="40287C10"/>
    <w:rsid w:val="402C5E34"/>
    <w:rsid w:val="403613B3"/>
    <w:rsid w:val="4050500F"/>
    <w:rsid w:val="407C02A4"/>
    <w:rsid w:val="40864ED4"/>
    <w:rsid w:val="4096500F"/>
    <w:rsid w:val="40AD2461"/>
    <w:rsid w:val="40B56BEF"/>
    <w:rsid w:val="40D21EC7"/>
    <w:rsid w:val="40DA6FCE"/>
    <w:rsid w:val="412344D1"/>
    <w:rsid w:val="414521B3"/>
    <w:rsid w:val="41597EF3"/>
    <w:rsid w:val="41601281"/>
    <w:rsid w:val="41662610"/>
    <w:rsid w:val="418E2292"/>
    <w:rsid w:val="41BB0BAE"/>
    <w:rsid w:val="41BE1AA9"/>
    <w:rsid w:val="41C23CEA"/>
    <w:rsid w:val="41E2613A"/>
    <w:rsid w:val="41E33C60"/>
    <w:rsid w:val="41E579D9"/>
    <w:rsid w:val="422E75D1"/>
    <w:rsid w:val="42443737"/>
    <w:rsid w:val="425A2175"/>
    <w:rsid w:val="425D3A13"/>
    <w:rsid w:val="425E1F84"/>
    <w:rsid w:val="426240C0"/>
    <w:rsid w:val="42673D51"/>
    <w:rsid w:val="4290203A"/>
    <w:rsid w:val="42AB0C22"/>
    <w:rsid w:val="42B86E9B"/>
    <w:rsid w:val="42BD333D"/>
    <w:rsid w:val="42E2460E"/>
    <w:rsid w:val="431542ED"/>
    <w:rsid w:val="43356E86"/>
    <w:rsid w:val="43425197"/>
    <w:rsid w:val="4348021F"/>
    <w:rsid w:val="435D1CFC"/>
    <w:rsid w:val="437A468B"/>
    <w:rsid w:val="43A51B15"/>
    <w:rsid w:val="43B21B3C"/>
    <w:rsid w:val="43C53318"/>
    <w:rsid w:val="43DD12AF"/>
    <w:rsid w:val="43E34CEB"/>
    <w:rsid w:val="43EC504E"/>
    <w:rsid w:val="44020D16"/>
    <w:rsid w:val="44054362"/>
    <w:rsid w:val="440B5985"/>
    <w:rsid w:val="444B6140"/>
    <w:rsid w:val="44705C7F"/>
    <w:rsid w:val="447F2366"/>
    <w:rsid w:val="44F1406F"/>
    <w:rsid w:val="44F87A23"/>
    <w:rsid w:val="45194931"/>
    <w:rsid w:val="452B7DF8"/>
    <w:rsid w:val="45660E30"/>
    <w:rsid w:val="45723C79"/>
    <w:rsid w:val="45725A27"/>
    <w:rsid w:val="457422F6"/>
    <w:rsid w:val="45B1654F"/>
    <w:rsid w:val="45C2075D"/>
    <w:rsid w:val="45C269AF"/>
    <w:rsid w:val="45C90276"/>
    <w:rsid w:val="45E561F9"/>
    <w:rsid w:val="45EA1A61"/>
    <w:rsid w:val="45F04074"/>
    <w:rsid w:val="45F75F2C"/>
    <w:rsid w:val="45FD79E7"/>
    <w:rsid w:val="461E572A"/>
    <w:rsid w:val="462D194E"/>
    <w:rsid w:val="462F1B6A"/>
    <w:rsid w:val="46317690"/>
    <w:rsid w:val="46470C62"/>
    <w:rsid w:val="46492C2C"/>
    <w:rsid w:val="465061B4"/>
    <w:rsid w:val="465B295F"/>
    <w:rsid w:val="46713F31"/>
    <w:rsid w:val="46926D5F"/>
    <w:rsid w:val="46CB1893"/>
    <w:rsid w:val="46E95789"/>
    <w:rsid w:val="46F72688"/>
    <w:rsid w:val="471A6376"/>
    <w:rsid w:val="471F398D"/>
    <w:rsid w:val="47240FA3"/>
    <w:rsid w:val="47266AC9"/>
    <w:rsid w:val="474048AA"/>
    <w:rsid w:val="47615D53"/>
    <w:rsid w:val="47633879"/>
    <w:rsid w:val="47665118"/>
    <w:rsid w:val="477C2B8D"/>
    <w:rsid w:val="477E4B57"/>
    <w:rsid w:val="477E6905"/>
    <w:rsid w:val="477F7151"/>
    <w:rsid w:val="47881532"/>
    <w:rsid w:val="4792212B"/>
    <w:rsid w:val="47936260"/>
    <w:rsid w:val="479954ED"/>
    <w:rsid w:val="47BF45D4"/>
    <w:rsid w:val="480542BF"/>
    <w:rsid w:val="48111527"/>
    <w:rsid w:val="484E277B"/>
    <w:rsid w:val="48515DC8"/>
    <w:rsid w:val="488634F8"/>
    <w:rsid w:val="48867CE6"/>
    <w:rsid w:val="4893018E"/>
    <w:rsid w:val="489363E0"/>
    <w:rsid w:val="48B13EDA"/>
    <w:rsid w:val="48C93BB0"/>
    <w:rsid w:val="48D250C5"/>
    <w:rsid w:val="48E704DA"/>
    <w:rsid w:val="48EC3D42"/>
    <w:rsid w:val="48F03833"/>
    <w:rsid w:val="49296D45"/>
    <w:rsid w:val="49301D4A"/>
    <w:rsid w:val="497E2BEC"/>
    <w:rsid w:val="49C923B2"/>
    <w:rsid w:val="49CA5E32"/>
    <w:rsid w:val="49F70BF1"/>
    <w:rsid w:val="4A022010"/>
    <w:rsid w:val="4A051986"/>
    <w:rsid w:val="4A0C0D60"/>
    <w:rsid w:val="4A0D21C2"/>
    <w:rsid w:val="4A1277D9"/>
    <w:rsid w:val="4A2F3EE7"/>
    <w:rsid w:val="4A9D3546"/>
    <w:rsid w:val="4AC33C78"/>
    <w:rsid w:val="4AD4683C"/>
    <w:rsid w:val="4B2B0B52"/>
    <w:rsid w:val="4B4A5441"/>
    <w:rsid w:val="4B4E2A92"/>
    <w:rsid w:val="4B5706BD"/>
    <w:rsid w:val="4B667DDC"/>
    <w:rsid w:val="4B8B7843"/>
    <w:rsid w:val="4BD27220"/>
    <w:rsid w:val="4BD5286C"/>
    <w:rsid w:val="4BE07B8E"/>
    <w:rsid w:val="4BF90C50"/>
    <w:rsid w:val="4C0C538C"/>
    <w:rsid w:val="4C1930A0"/>
    <w:rsid w:val="4C417F01"/>
    <w:rsid w:val="4C433C79"/>
    <w:rsid w:val="4C5B602C"/>
    <w:rsid w:val="4C6A56AA"/>
    <w:rsid w:val="4C7D53DD"/>
    <w:rsid w:val="4C9F0C5D"/>
    <w:rsid w:val="4CBA1F3C"/>
    <w:rsid w:val="4CE54D31"/>
    <w:rsid w:val="4D1A2C2C"/>
    <w:rsid w:val="4D2770F7"/>
    <w:rsid w:val="4D31441A"/>
    <w:rsid w:val="4D330192"/>
    <w:rsid w:val="4D344188"/>
    <w:rsid w:val="4D602609"/>
    <w:rsid w:val="4D6E2F78"/>
    <w:rsid w:val="4D7F6F33"/>
    <w:rsid w:val="4D8C1650"/>
    <w:rsid w:val="4D8D78A2"/>
    <w:rsid w:val="4D981DA3"/>
    <w:rsid w:val="4D9F7C07"/>
    <w:rsid w:val="4DD454D1"/>
    <w:rsid w:val="4DDE00FE"/>
    <w:rsid w:val="4DF0398D"/>
    <w:rsid w:val="4E0D0AF3"/>
    <w:rsid w:val="4E1A4345"/>
    <w:rsid w:val="4E1E04FA"/>
    <w:rsid w:val="4E2B2C17"/>
    <w:rsid w:val="4E6173FE"/>
    <w:rsid w:val="4E636855"/>
    <w:rsid w:val="4E7736C6"/>
    <w:rsid w:val="4E8011B5"/>
    <w:rsid w:val="4E9764FE"/>
    <w:rsid w:val="4E9B7D9D"/>
    <w:rsid w:val="4EB10003"/>
    <w:rsid w:val="4EB946C7"/>
    <w:rsid w:val="4EBE7F2F"/>
    <w:rsid w:val="4EEA0D24"/>
    <w:rsid w:val="4EEA76C9"/>
    <w:rsid w:val="4EFA5B54"/>
    <w:rsid w:val="4EFE032C"/>
    <w:rsid w:val="4F05790C"/>
    <w:rsid w:val="4F195165"/>
    <w:rsid w:val="4F79555A"/>
    <w:rsid w:val="4F7F146C"/>
    <w:rsid w:val="4FCE77ED"/>
    <w:rsid w:val="4FED287A"/>
    <w:rsid w:val="4FF73054"/>
    <w:rsid w:val="501F487D"/>
    <w:rsid w:val="502142D2"/>
    <w:rsid w:val="502E5813"/>
    <w:rsid w:val="503A205A"/>
    <w:rsid w:val="50527440"/>
    <w:rsid w:val="50593A6B"/>
    <w:rsid w:val="50A0169A"/>
    <w:rsid w:val="50E13A61"/>
    <w:rsid w:val="50FB0FC7"/>
    <w:rsid w:val="50FE2865"/>
    <w:rsid w:val="51142088"/>
    <w:rsid w:val="512F6EC2"/>
    <w:rsid w:val="51426BF5"/>
    <w:rsid w:val="51540883"/>
    <w:rsid w:val="516813B7"/>
    <w:rsid w:val="517448D5"/>
    <w:rsid w:val="51915487"/>
    <w:rsid w:val="51AC406F"/>
    <w:rsid w:val="51B504C8"/>
    <w:rsid w:val="51B66C9C"/>
    <w:rsid w:val="51B80C66"/>
    <w:rsid w:val="51C64E13"/>
    <w:rsid w:val="51D05FAF"/>
    <w:rsid w:val="51D57A6A"/>
    <w:rsid w:val="51DF2696"/>
    <w:rsid w:val="51F872B4"/>
    <w:rsid w:val="51FF1BFD"/>
    <w:rsid w:val="51FF6894"/>
    <w:rsid w:val="52291DC4"/>
    <w:rsid w:val="52562FEC"/>
    <w:rsid w:val="5264494A"/>
    <w:rsid w:val="52754DA9"/>
    <w:rsid w:val="52854FEC"/>
    <w:rsid w:val="52B92EE7"/>
    <w:rsid w:val="52B94C95"/>
    <w:rsid w:val="52BE22AC"/>
    <w:rsid w:val="52C11D9C"/>
    <w:rsid w:val="5311062D"/>
    <w:rsid w:val="532C190B"/>
    <w:rsid w:val="533B7DA0"/>
    <w:rsid w:val="5373753A"/>
    <w:rsid w:val="53787D4C"/>
    <w:rsid w:val="53A96AB8"/>
    <w:rsid w:val="53B10062"/>
    <w:rsid w:val="53B90F06"/>
    <w:rsid w:val="53B92A73"/>
    <w:rsid w:val="53BA0CC5"/>
    <w:rsid w:val="53BA6F17"/>
    <w:rsid w:val="53C658BC"/>
    <w:rsid w:val="53FD32A8"/>
    <w:rsid w:val="54040192"/>
    <w:rsid w:val="540939FA"/>
    <w:rsid w:val="541303D5"/>
    <w:rsid w:val="541F321E"/>
    <w:rsid w:val="545F7B6D"/>
    <w:rsid w:val="5463135D"/>
    <w:rsid w:val="54662BFB"/>
    <w:rsid w:val="5488491F"/>
    <w:rsid w:val="549C03CB"/>
    <w:rsid w:val="54AF682D"/>
    <w:rsid w:val="54BC281B"/>
    <w:rsid w:val="54CB6136"/>
    <w:rsid w:val="54F93A6F"/>
    <w:rsid w:val="55067F3A"/>
    <w:rsid w:val="5511410F"/>
    <w:rsid w:val="55172147"/>
    <w:rsid w:val="552705DC"/>
    <w:rsid w:val="55547C8D"/>
    <w:rsid w:val="555E4F58"/>
    <w:rsid w:val="55610ADD"/>
    <w:rsid w:val="556E620B"/>
    <w:rsid w:val="557E079B"/>
    <w:rsid w:val="558E505C"/>
    <w:rsid w:val="55A21A11"/>
    <w:rsid w:val="55D50038"/>
    <w:rsid w:val="562E4D67"/>
    <w:rsid w:val="56350AD7"/>
    <w:rsid w:val="563D211B"/>
    <w:rsid w:val="569958AC"/>
    <w:rsid w:val="577B076B"/>
    <w:rsid w:val="579B705F"/>
    <w:rsid w:val="57A93801"/>
    <w:rsid w:val="57B36045"/>
    <w:rsid w:val="57C06AC6"/>
    <w:rsid w:val="57C245EC"/>
    <w:rsid w:val="57CC7219"/>
    <w:rsid w:val="57D36527"/>
    <w:rsid w:val="587F24DD"/>
    <w:rsid w:val="58C85C32"/>
    <w:rsid w:val="58C93758"/>
    <w:rsid w:val="58F9403E"/>
    <w:rsid w:val="59326AFB"/>
    <w:rsid w:val="5934151A"/>
    <w:rsid w:val="59372DB8"/>
    <w:rsid w:val="59611BE3"/>
    <w:rsid w:val="596B04B1"/>
    <w:rsid w:val="597638E0"/>
    <w:rsid w:val="5976568E"/>
    <w:rsid w:val="598C3104"/>
    <w:rsid w:val="59941FB8"/>
    <w:rsid w:val="59A6566E"/>
    <w:rsid w:val="59DB3743"/>
    <w:rsid w:val="59E545C2"/>
    <w:rsid w:val="59EA4BBF"/>
    <w:rsid w:val="5A074538"/>
    <w:rsid w:val="5A0B26DE"/>
    <w:rsid w:val="5A0F163F"/>
    <w:rsid w:val="5A107CE4"/>
    <w:rsid w:val="5A285D45"/>
    <w:rsid w:val="5A584D94"/>
    <w:rsid w:val="5A7122F9"/>
    <w:rsid w:val="5A923AFE"/>
    <w:rsid w:val="5AB32912"/>
    <w:rsid w:val="5AB6510A"/>
    <w:rsid w:val="5AC10B8B"/>
    <w:rsid w:val="5AE42ACB"/>
    <w:rsid w:val="5AEB5538"/>
    <w:rsid w:val="5B1F3B03"/>
    <w:rsid w:val="5B35798F"/>
    <w:rsid w:val="5B5C4D58"/>
    <w:rsid w:val="5B920779"/>
    <w:rsid w:val="5BA5225B"/>
    <w:rsid w:val="5BAD55B3"/>
    <w:rsid w:val="5BB20C89"/>
    <w:rsid w:val="5BC13A9E"/>
    <w:rsid w:val="5BCB77E7"/>
    <w:rsid w:val="5BD42177"/>
    <w:rsid w:val="5BF537A4"/>
    <w:rsid w:val="5BFD54AE"/>
    <w:rsid w:val="5C0C4088"/>
    <w:rsid w:val="5C0F1DCA"/>
    <w:rsid w:val="5C1178F0"/>
    <w:rsid w:val="5C270EC2"/>
    <w:rsid w:val="5C6A0DAE"/>
    <w:rsid w:val="5C9761B3"/>
    <w:rsid w:val="5CA83955"/>
    <w:rsid w:val="5CE45005"/>
    <w:rsid w:val="5D3C6BEF"/>
    <w:rsid w:val="5D722610"/>
    <w:rsid w:val="5D740137"/>
    <w:rsid w:val="5D8F31C2"/>
    <w:rsid w:val="5DC6470A"/>
    <w:rsid w:val="5DEA03F9"/>
    <w:rsid w:val="5E2356B9"/>
    <w:rsid w:val="5E6E102A"/>
    <w:rsid w:val="5E7128C8"/>
    <w:rsid w:val="5EA36DDA"/>
    <w:rsid w:val="5EA70098"/>
    <w:rsid w:val="5ECC5D50"/>
    <w:rsid w:val="5ED30E8D"/>
    <w:rsid w:val="5EDD61AF"/>
    <w:rsid w:val="5EE237C6"/>
    <w:rsid w:val="5EE72B8A"/>
    <w:rsid w:val="5F2368B7"/>
    <w:rsid w:val="5F2B0CC9"/>
    <w:rsid w:val="5F427DC1"/>
    <w:rsid w:val="5F487ACD"/>
    <w:rsid w:val="5F6F2F35"/>
    <w:rsid w:val="5F7026E3"/>
    <w:rsid w:val="5F8C3B8D"/>
    <w:rsid w:val="5FC058B5"/>
    <w:rsid w:val="5FC96529"/>
    <w:rsid w:val="5FD924D3"/>
    <w:rsid w:val="5FF732A1"/>
    <w:rsid w:val="60017C7C"/>
    <w:rsid w:val="60031C46"/>
    <w:rsid w:val="604364E6"/>
    <w:rsid w:val="6065120F"/>
    <w:rsid w:val="60673F83"/>
    <w:rsid w:val="60A16FB8"/>
    <w:rsid w:val="60B42361"/>
    <w:rsid w:val="60BB7E2A"/>
    <w:rsid w:val="60E0135F"/>
    <w:rsid w:val="60E07891"/>
    <w:rsid w:val="60E76E71"/>
    <w:rsid w:val="60FA4DF7"/>
    <w:rsid w:val="611D2893"/>
    <w:rsid w:val="6151229B"/>
    <w:rsid w:val="615C785F"/>
    <w:rsid w:val="615F4C5A"/>
    <w:rsid w:val="619C3F98"/>
    <w:rsid w:val="61A42FB4"/>
    <w:rsid w:val="61E15FB7"/>
    <w:rsid w:val="61E82EA1"/>
    <w:rsid w:val="62031A89"/>
    <w:rsid w:val="6220263B"/>
    <w:rsid w:val="62285994"/>
    <w:rsid w:val="62684D87"/>
    <w:rsid w:val="62726C0F"/>
    <w:rsid w:val="628232F6"/>
    <w:rsid w:val="62B870AD"/>
    <w:rsid w:val="62DE42A4"/>
    <w:rsid w:val="62DF24F6"/>
    <w:rsid w:val="62E775FD"/>
    <w:rsid w:val="62F87114"/>
    <w:rsid w:val="631B1054"/>
    <w:rsid w:val="63332A22"/>
    <w:rsid w:val="633A772C"/>
    <w:rsid w:val="634405AB"/>
    <w:rsid w:val="634467FD"/>
    <w:rsid w:val="634C56B2"/>
    <w:rsid w:val="63515B19"/>
    <w:rsid w:val="635950BB"/>
    <w:rsid w:val="637C1505"/>
    <w:rsid w:val="638D1F52"/>
    <w:rsid w:val="63B35731"/>
    <w:rsid w:val="63C4349A"/>
    <w:rsid w:val="63E1404C"/>
    <w:rsid w:val="63E458E8"/>
    <w:rsid w:val="63FC0E86"/>
    <w:rsid w:val="643215E5"/>
    <w:rsid w:val="64354398"/>
    <w:rsid w:val="64393E88"/>
    <w:rsid w:val="6449399F"/>
    <w:rsid w:val="644F0FB6"/>
    <w:rsid w:val="645111D2"/>
    <w:rsid w:val="64801186"/>
    <w:rsid w:val="64886F98"/>
    <w:rsid w:val="64A95C97"/>
    <w:rsid w:val="64AF7CA6"/>
    <w:rsid w:val="64BB489D"/>
    <w:rsid w:val="64BC23C3"/>
    <w:rsid w:val="64CD637E"/>
    <w:rsid w:val="64CF0348"/>
    <w:rsid w:val="64D650C4"/>
    <w:rsid w:val="64F41B5D"/>
    <w:rsid w:val="650224CC"/>
    <w:rsid w:val="650D2C1F"/>
    <w:rsid w:val="652627A6"/>
    <w:rsid w:val="65BF59BD"/>
    <w:rsid w:val="65D8147F"/>
    <w:rsid w:val="65E10333"/>
    <w:rsid w:val="65F8567D"/>
    <w:rsid w:val="65FC33BF"/>
    <w:rsid w:val="664D08B4"/>
    <w:rsid w:val="665C3212"/>
    <w:rsid w:val="665F56FC"/>
    <w:rsid w:val="66680A54"/>
    <w:rsid w:val="666F593F"/>
    <w:rsid w:val="6679056C"/>
    <w:rsid w:val="668138C4"/>
    <w:rsid w:val="66B337FA"/>
    <w:rsid w:val="66EF4CD2"/>
    <w:rsid w:val="66F44FA3"/>
    <w:rsid w:val="672C55DE"/>
    <w:rsid w:val="6739125D"/>
    <w:rsid w:val="674548F2"/>
    <w:rsid w:val="674E7C4A"/>
    <w:rsid w:val="675E7762"/>
    <w:rsid w:val="67696832"/>
    <w:rsid w:val="679A2421"/>
    <w:rsid w:val="67A61834"/>
    <w:rsid w:val="67E97973"/>
    <w:rsid w:val="68000819"/>
    <w:rsid w:val="68091DC3"/>
    <w:rsid w:val="681B4792"/>
    <w:rsid w:val="68646FFA"/>
    <w:rsid w:val="686B65DA"/>
    <w:rsid w:val="687436E1"/>
    <w:rsid w:val="687C4343"/>
    <w:rsid w:val="6897117D"/>
    <w:rsid w:val="68C13C02"/>
    <w:rsid w:val="68D20407"/>
    <w:rsid w:val="68D67EF7"/>
    <w:rsid w:val="68E249DE"/>
    <w:rsid w:val="68E72104"/>
    <w:rsid w:val="68FE4AC8"/>
    <w:rsid w:val="69054339"/>
    <w:rsid w:val="69164798"/>
    <w:rsid w:val="692A1FF1"/>
    <w:rsid w:val="69714761"/>
    <w:rsid w:val="69886D18"/>
    <w:rsid w:val="699E2D8E"/>
    <w:rsid w:val="69A753F0"/>
    <w:rsid w:val="69B30239"/>
    <w:rsid w:val="69BA3375"/>
    <w:rsid w:val="69DF16BD"/>
    <w:rsid w:val="6A0600BB"/>
    <w:rsid w:val="6A136F29"/>
    <w:rsid w:val="6A1D55B2"/>
    <w:rsid w:val="6A4B66C3"/>
    <w:rsid w:val="6A505A87"/>
    <w:rsid w:val="6A72424A"/>
    <w:rsid w:val="6A883925"/>
    <w:rsid w:val="6A927E4E"/>
    <w:rsid w:val="6AC62E36"/>
    <w:rsid w:val="6B032AFA"/>
    <w:rsid w:val="6B1431FC"/>
    <w:rsid w:val="6B1D005F"/>
    <w:rsid w:val="6B2018FE"/>
    <w:rsid w:val="6B2807B2"/>
    <w:rsid w:val="6B3709F5"/>
    <w:rsid w:val="6B60619E"/>
    <w:rsid w:val="6BDD159D"/>
    <w:rsid w:val="6C034924"/>
    <w:rsid w:val="6C164AAF"/>
    <w:rsid w:val="6C206754"/>
    <w:rsid w:val="6C450EF0"/>
    <w:rsid w:val="6C501D6F"/>
    <w:rsid w:val="6C6D2921"/>
    <w:rsid w:val="6C6E6699"/>
    <w:rsid w:val="6C8934D3"/>
    <w:rsid w:val="6CAD5413"/>
    <w:rsid w:val="6CB5251A"/>
    <w:rsid w:val="6CEB2B59"/>
    <w:rsid w:val="6D056FFD"/>
    <w:rsid w:val="6D1A412B"/>
    <w:rsid w:val="6D237483"/>
    <w:rsid w:val="6D527D69"/>
    <w:rsid w:val="6D54588F"/>
    <w:rsid w:val="6D812853"/>
    <w:rsid w:val="6D8F39B2"/>
    <w:rsid w:val="6D9B38A8"/>
    <w:rsid w:val="6DDD7632"/>
    <w:rsid w:val="6DEF3809"/>
    <w:rsid w:val="6E105AAD"/>
    <w:rsid w:val="6E1F5E9D"/>
    <w:rsid w:val="6E2A65EF"/>
    <w:rsid w:val="6E3000AA"/>
    <w:rsid w:val="6E3556C0"/>
    <w:rsid w:val="6E3631E6"/>
    <w:rsid w:val="6E645FA5"/>
    <w:rsid w:val="6E6715F2"/>
    <w:rsid w:val="6E831CD9"/>
    <w:rsid w:val="6E930639"/>
    <w:rsid w:val="6E9C0F62"/>
    <w:rsid w:val="6E9E14B7"/>
    <w:rsid w:val="6EAD16FA"/>
    <w:rsid w:val="6EC21259"/>
    <w:rsid w:val="6ECC7F00"/>
    <w:rsid w:val="6EFC7F8C"/>
    <w:rsid w:val="6F370FC4"/>
    <w:rsid w:val="6F382294"/>
    <w:rsid w:val="6F4D07E7"/>
    <w:rsid w:val="6F7D7AA6"/>
    <w:rsid w:val="6F8A1A3C"/>
    <w:rsid w:val="6FA10B33"/>
    <w:rsid w:val="6FB95E7D"/>
    <w:rsid w:val="6FC50729"/>
    <w:rsid w:val="6FD64C81"/>
    <w:rsid w:val="6FDE7692"/>
    <w:rsid w:val="6FE86762"/>
    <w:rsid w:val="6FF70753"/>
    <w:rsid w:val="6FFE5F86"/>
    <w:rsid w:val="7004359C"/>
    <w:rsid w:val="70350961"/>
    <w:rsid w:val="70512559"/>
    <w:rsid w:val="70587444"/>
    <w:rsid w:val="705F4C76"/>
    <w:rsid w:val="706627F5"/>
    <w:rsid w:val="706C1141"/>
    <w:rsid w:val="70705916"/>
    <w:rsid w:val="70A53C7A"/>
    <w:rsid w:val="70BC5C25"/>
    <w:rsid w:val="70BF4174"/>
    <w:rsid w:val="70D72A5F"/>
    <w:rsid w:val="70E62CA2"/>
    <w:rsid w:val="71125845"/>
    <w:rsid w:val="712A5284"/>
    <w:rsid w:val="714F4CEB"/>
    <w:rsid w:val="715626B8"/>
    <w:rsid w:val="715916C6"/>
    <w:rsid w:val="71597917"/>
    <w:rsid w:val="719646C8"/>
    <w:rsid w:val="71CA611F"/>
    <w:rsid w:val="71D40D4C"/>
    <w:rsid w:val="71D52F7F"/>
    <w:rsid w:val="71DB657E"/>
    <w:rsid w:val="71E73175"/>
    <w:rsid w:val="71E82A49"/>
    <w:rsid w:val="71ED62B2"/>
    <w:rsid w:val="71F36DA5"/>
    <w:rsid w:val="72031631"/>
    <w:rsid w:val="72255840"/>
    <w:rsid w:val="72312642"/>
    <w:rsid w:val="724759C2"/>
    <w:rsid w:val="725D3437"/>
    <w:rsid w:val="72C86ACF"/>
    <w:rsid w:val="72C94629"/>
    <w:rsid w:val="72D57472"/>
    <w:rsid w:val="732B7092"/>
    <w:rsid w:val="73852C46"/>
    <w:rsid w:val="73A429A0"/>
    <w:rsid w:val="73B928EF"/>
    <w:rsid w:val="73CD639B"/>
    <w:rsid w:val="73F76F74"/>
    <w:rsid w:val="741C4C2C"/>
    <w:rsid w:val="74212243"/>
    <w:rsid w:val="7423649A"/>
    <w:rsid w:val="7439758C"/>
    <w:rsid w:val="74404DBF"/>
    <w:rsid w:val="7456013E"/>
    <w:rsid w:val="745F1FBF"/>
    <w:rsid w:val="74615A0A"/>
    <w:rsid w:val="74956EB9"/>
    <w:rsid w:val="74A62535"/>
    <w:rsid w:val="74D774D1"/>
    <w:rsid w:val="75096F5F"/>
    <w:rsid w:val="750B0F29"/>
    <w:rsid w:val="75243D99"/>
    <w:rsid w:val="75336CB6"/>
    <w:rsid w:val="753D5382"/>
    <w:rsid w:val="7542586E"/>
    <w:rsid w:val="75436915"/>
    <w:rsid w:val="7577036C"/>
    <w:rsid w:val="758D1B00"/>
    <w:rsid w:val="75DA6B4D"/>
    <w:rsid w:val="75DD1AA4"/>
    <w:rsid w:val="760A7432"/>
    <w:rsid w:val="760D0CD1"/>
    <w:rsid w:val="76367761"/>
    <w:rsid w:val="765468FF"/>
    <w:rsid w:val="767E572A"/>
    <w:rsid w:val="76805946"/>
    <w:rsid w:val="769D02A6"/>
    <w:rsid w:val="76A258BD"/>
    <w:rsid w:val="76A35191"/>
    <w:rsid w:val="76B949B4"/>
    <w:rsid w:val="76C05D43"/>
    <w:rsid w:val="76C312D1"/>
    <w:rsid w:val="76C73B80"/>
    <w:rsid w:val="76CE0460"/>
    <w:rsid w:val="76E9529A"/>
    <w:rsid w:val="76EA2DC0"/>
    <w:rsid w:val="77000835"/>
    <w:rsid w:val="776808B4"/>
    <w:rsid w:val="776E32D5"/>
    <w:rsid w:val="77903967"/>
    <w:rsid w:val="77C73D12"/>
    <w:rsid w:val="77EF168E"/>
    <w:rsid w:val="77F327C2"/>
    <w:rsid w:val="77F42148"/>
    <w:rsid w:val="781A76D5"/>
    <w:rsid w:val="7879089F"/>
    <w:rsid w:val="78AC657F"/>
    <w:rsid w:val="78C31B1A"/>
    <w:rsid w:val="78DE0702"/>
    <w:rsid w:val="78F306EB"/>
    <w:rsid w:val="79144124"/>
    <w:rsid w:val="791800B8"/>
    <w:rsid w:val="794F33AE"/>
    <w:rsid w:val="79586707"/>
    <w:rsid w:val="796432FD"/>
    <w:rsid w:val="79856DD0"/>
    <w:rsid w:val="79D7762B"/>
    <w:rsid w:val="79E53975"/>
    <w:rsid w:val="7A020420"/>
    <w:rsid w:val="7A545120"/>
    <w:rsid w:val="7A590988"/>
    <w:rsid w:val="7A792DD8"/>
    <w:rsid w:val="7A811C8D"/>
    <w:rsid w:val="7A834D1A"/>
    <w:rsid w:val="7A862E00"/>
    <w:rsid w:val="7A9C0875"/>
    <w:rsid w:val="7AAF2356"/>
    <w:rsid w:val="7AB636E5"/>
    <w:rsid w:val="7AD26045"/>
    <w:rsid w:val="7AF83CFD"/>
    <w:rsid w:val="7AFE508C"/>
    <w:rsid w:val="7B0F7549"/>
    <w:rsid w:val="7B42141C"/>
    <w:rsid w:val="7B4231CA"/>
    <w:rsid w:val="7B5A49B8"/>
    <w:rsid w:val="7B6C46EB"/>
    <w:rsid w:val="7BD52290"/>
    <w:rsid w:val="7BE6624C"/>
    <w:rsid w:val="7C0D37D8"/>
    <w:rsid w:val="7C1032C9"/>
    <w:rsid w:val="7C2F6ABD"/>
    <w:rsid w:val="7C352D2F"/>
    <w:rsid w:val="7C3F770A"/>
    <w:rsid w:val="7C480644"/>
    <w:rsid w:val="7C923CDE"/>
    <w:rsid w:val="7C975798"/>
    <w:rsid w:val="7C9C2DAE"/>
    <w:rsid w:val="7CE0713F"/>
    <w:rsid w:val="7CF624BE"/>
    <w:rsid w:val="7D0050EB"/>
    <w:rsid w:val="7D0F532E"/>
    <w:rsid w:val="7D245A53"/>
    <w:rsid w:val="7D513857"/>
    <w:rsid w:val="7D5D253D"/>
    <w:rsid w:val="7D6C452F"/>
    <w:rsid w:val="7D796C4C"/>
    <w:rsid w:val="7D7F24B4"/>
    <w:rsid w:val="7D8C697F"/>
    <w:rsid w:val="7DBB54B6"/>
    <w:rsid w:val="7DBC3708"/>
    <w:rsid w:val="7DC66335"/>
    <w:rsid w:val="7DF942A3"/>
    <w:rsid w:val="7E1075B0"/>
    <w:rsid w:val="7E250964"/>
    <w:rsid w:val="7E696CC0"/>
    <w:rsid w:val="7E7318ED"/>
    <w:rsid w:val="7EA61CC2"/>
    <w:rsid w:val="7EE330DC"/>
    <w:rsid w:val="7EEB5927"/>
    <w:rsid w:val="7EED5CFF"/>
    <w:rsid w:val="7F032C71"/>
    <w:rsid w:val="7F0C4EF9"/>
    <w:rsid w:val="7F547198"/>
    <w:rsid w:val="7F9229B1"/>
    <w:rsid w:val="7F9535EC"/>
    <w:rsid w:val="7FB70702"/>
    <w:rsid w:val="7FE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qFormat/>
    <w:uiPriority w:val="0"/>
    <w:pPr>
      <w:widowControl/>
      <w:overflowPunct w:val="0"/>
      <w:autoSpaceDE w:val="0"/>
      <w:autoSpaceDN w:val="0"/>
      <w:adjustRightInd w:val="0"/>
      <w:spacing w:before="20" w:after="20" w:line="400" w:lineRule="exact"/>
      <w:jc w:val="left"/>
      <w:textAlignment w:val="baseline"/>
      <w:outlineLvl w:val="1"/>
    </w:pPr>
    <w:rPr>
      <w:rFonts w:ascii="黑体" w:eastAsia="黑体"/>
      <w:b/>
      <w:kern w:val="0"/>
      <w:sz w:val="24"/>
      <w:szCs w:val="20"/>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rPr>
      <w:rFonts w:ascii="Times New Roman" w:hAnsi="Times New Roman" w:eastAsia="宋体" w:cs="Times New Roman"/>
      <w:szCs w:val="24"/>
    </w:rPr>
  </w:style>
  <w:style w:type="paragraph" w:styleId="5">
    <w:name w:val="Document Map"/>
    <w:basedOn w:val="1"/>
    <w:semiHidden/>
    <w:qFormat/>
    <w:uiPriority w:val="0"/>
    <w:pPr>
      <w:shd w:val="clear" w:color="auto" w:fill="000080"/>
    </w:pPr>
  </w:style>
  <w:style w:type="paragraph" w:styleId="6">
    <w:name w:val="Body Text"/>
    <w:basedOn w:val="1"/>
    <w:link w:val="26"/>
    <w:autoRedefine/>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7">
    <w:name w:val="List 2"/>
    <w:basedOn w:val="1"/>
    <w:autoRedefine/>
    <w:qFormat/>
    <w:uiPriority w:val="0"/>
    <w:pPr>
      <w:ind w:left="100" w:leftChars="200" w:hanging="200" w:hangingChars="200"/>
    </w:pPr>
  </w:style>
  <w:style w:type="paragraph" w:styleId="8">
    <w:name w:val="Body Text Indent 2"/>
    <w:basedOn w:val="1"/>
    <w:autoRedefine/>
    <w:qFormat/>
    <w:uiPriority w:val="0"/>
    <w:pPr>
      <w:spacing w:line="520" w:lineRule="exact"/>
      <w:ind w:firstLine="480" w:firstLineChars="200"/>
    </w:pPr>
    <w:rPr>
      <w:sz w:val="24"/>
      <w:szCs w:val="24"/>
    </w:r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autoRedefine/>
    <w:qFormat/>
    <w:uiPriority w:val="0"/>
    <w:pPr>
      <w:ind w:left="200" w:hanging="200" w:hangingChars="200"/>
    </w:pPr>
  </w:style>
  <w:style w:type="paragraph" w:styleId="13">
    <w:name w:val="Normal (Web)"/>
    <w:basedOn w:val="1"/>
    <w:autoRedefine/>
    <w:qFormat/>
    <w:uiPriority w:val="0"/>
    <w:pPr>
      <w:spacing w:before="100" w:beforeAutospacing="1" w:after="100" w:afterAutospacing="1"/>
      <w:jc w:val="left"/>
    </w:pPr>
    <w:rPr>
      <w:kern w:val="0"/>
      <w:sz w:val="24"/>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semiHidden/>
    <w:unhideWhenUsed/>
    <w:qFormat/>
    <w:uiPriority w:val="99"/>
    <w:rPr>
      <w:color w:val="333333"/>
      <w:u w:val="none"/>
    </w:rPr>
  </w:style>
  <w:style w:type="character" w:styleId="19">
    <w:name w:val="Emphasis"/>
    <w:basedOn w:val="16"/>
    <w:qFormat/>
    <w:uiPriority w:val="20"/>
  </w:style>
  <w:style w:type="character" w:styleId="20">
    <w:name w:val="Hyperlink"/>
    <w:basedOn w:val="16"/>
    <w:autoRedefine/>
    <w:semiHidden/>
    <w:unhideWhenUsed/>
    <w:qFormat/>
    <w:uiPriority w:val="99"/>
    <w:rPr>
      <w:color w:val="0000FF" w:themeColor="hyperlink"/>
      <w:u w:val="single"/>
      <w14:textFill>
        <w14:solidFill>
          <w14:schemeClr w14:val="hlink"/>
        </w14:solidFill>
      </w14:textFill>
    </w:rPr>
  </w:style>
  <w:style w:type="character" w:styleId="21">
    <w:name w:val="HTML Code"/>
    <w:basedOn w:val="16"/>
    <w:semiHidden/>
    <w:unhideWhenUsed/>
    <w:qFormat/>
    <w:uiPriority w:val="99"/>
    <w:rPr>
      <w:rFonts w:ascii="Courier New" w:hAnsi="Courier New"/>
      <w:sz w:val="20"/>
    </w:rPr>
  </w:style>
  <w:style w:type="character" w:styleId="22">
    <w:name w:val="HTML Cite"/>
    <w:basedOn w:val="16"/>
    <w:semiHidden/>
    <w:unhideWhenUsed/>
    <w:qFormat/>
    <w:uiPriority w:val="99"/>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页眉 Char"/>
    <w:basedOn w:val="16"/>
    <w:link w:val="11"/>
    <w:autoRedefine/>
    <w:qFormat/>
    <w:uiPriority w:val="99"/>
    <w:rPr>
      <w:sz w:val="18"/>
      <w:szCs w:val="18"/>
    </w:rPr>
  </w:style>
  <w:style w:type="character" w:customStyle="1" w:styleId="25">
    <w:name w:val="页脚 Char"/>
    <w:basedOn w:val="16"/>
    <w:link w:val="10"/>
    <w:autoRedefine/>
    <w:qFormat/>
    <w:uiPriority w:val="99"/>
    <w:rPr>
      <w:sz w:val="18"/>
      <w:szCs w:val="18"/>
    </w:rPr>
  </w:style>
  <w:style w:type="character" w:customStyle="1" w:styleId="26">
    <w:name w:val="正文文本 Char"/>
    <w:basedOn w:val="16"/>
    <w:link w:val="6"/>
    <w:autoRedefine/>
    <w:semiHidden/>
    <w:qFormat/>
    <w:uiPriority w:val="0"/>
    <w:rPr>
      <w:rFonts w:ascii="Calibri" w:hAnsi="Calibri" w:eastAsia="宋体" w:cs="Times New Roman"/>
      <w:kern w:val="0"/>
      <w:sz w:val="24"/>
      <w:szCs w:val="20"/>
    </w:rPr>
  </w:style>
  <w:style w:type="character" w:customStyle="1" w:styleId="27">
    <w:name w:val="标题 2 Char1"/>
    <w:autoRedefine/>
    <w:qFormat/>
    <w:uiPriority w:val="0"/>
    <w:rPr>
      <w:rFonts w:hint="default" w:ascii="Arial" w:hAnsi="Arial" w:eastAsia="黑体" w:cs="Times New Roman"/>
      <w:bCs/>
      <w:kern w:val="0"/>
      <w:sz w:val="28"/>
      <w:szCs w:val="32"/>
    </w:rPr>
  </w:style>
  <w:style w:type="character" w:customStyle="1" w:styleId="28">
    <w:name w:val="批注框文本 Char"/>
    <w:basedOn w:val="16"/>
    <w:link w:val="9"/>
    <w:autoRedefine/>
    <w:semiHidden/>
    <w:qFormat/>
    <w:uiPriority w:val="99"/>
    <w:rPr>
      <w:sz w:val="18"/>
      <w:szCs w:val="18"/>
    </w:rPr>
  </w:style>
  <w:style w:type="paragraph" w:styleId="29">
    <w:name w:val="List Paragraph"/>
    <w:basedOn w:val="1"/>
    <w:autoRedefine/>
    <w:qFormat/>
    <w:uiPriority w:val="34"/>
    <w:pPr>
      <w:ind w:firstLine="420" w:firstLineChars="200"/>
    </w:pPr>
  </w:style>
  <w:style w:type="table" w:customStyle="1" w:styleId="30">
    <w:name w:val="网格型1"/>
    <w:basedOn w:val="14"/>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No Spacing"/>
    <w:autoRedefine/>
    <w:qFormat/>
    <w:uiPriority w:val="1"/>
    <w:pPr>
      <w:widowControl w:val="0"/>
      <w:adjustRightInd w:val="0"/>
      <w:snapToGrid w:val="0"/>
      <w:spacing w:line="240" w:lineRule="atLeast"/>
    </w:pPr>
    <w:rPr>
      <w:rFonts w:ascii="Calibri" w:hAnsi="Calibri" w:eastAsia="微软雅黑" w:cs="Times New Roman"/>
      <w:kern w:val="2"/>
      <w:sz w:val="21"/>
      <w:szCs w:val="22"/>
      <w:lang w:val="en-US" w:eastAsia="zh-CN" w:bidi="ar-SA"/>
    </w:rPr>
  </w:style>
  <w:style w:type="paragraph" w:customStyle="1" w:styleId="32">
    <w:name w:val=" Char"/>
    <w:basedOn w:val="5"/>
    <w:qFormat/>
    <w:uiPriority w:val="0"/>
    <w:pPr>
      <w:ind w:left="480" w:leftChars="200" w:firstLine="200" w:firstLineChars="200"/>
    </w:pPr>
    <w:rPr>
      <w:rFonts w:ascii="Tahoma" w:hAnsi="Tahoma"/>
      <w:snapToGrid w:val="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4128</Words>
  <Characters>4530</Characters>
  <Lines>32</Lines>
  <Paragraphs>9</Paragraphs>
  <TotalTime>25</TotalTime>
  <ScaleCrop>false</ScaleCrop>
  <LinksUpToDate>false</LinksUpToDate>
  <CharactersWithSpaces>4875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2023-06-05T09:13:00Z</dcterms:created>
  <dc:creator>Administrator</dc:creator>
  <cp:lastModifiedBy>WPS_1663656519</cp:lastModifiedBy>
  <cp:lastPrinted>2024-07-12T07:44:00Z</cp:lastPrinted>
  <dcterms:modified xsi:type="dcterms:W3CDTF">2024-10-09T00:48:21Z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3D2C2A2C74674766A61AE76C78A13677_13</vt:lpwstr>
  </property>
</Properties>
</file>