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36"/>
          <w:szCs w:val="36"/>
        </w:rPr>
      </w:pPr>
    </w:p>
    <w:p>
      <w:pPr>
        <w:jc w:val="center"/>
        <w:rPr>
          <w:b/>
          <w:color w:val="auto"/>
          <w:sz w:val="36"/>
          <w:szCs w:val="36"/>
        </w:rPr>
      </w:pPr>
    </w:p>
    <w:p>
      <w:pPr>
        <w:jc w:val="center"/>
        <w:rPr>
          <w:b/>
          <w:color w:val="auto"/>
          <w:sz w:val="36"/>
          <w:szCs w:val="36"/>
        </w:rPr>
      </w:pPr>
    </w:p>
    <w:p>
      <w:pPr>
        <w:jc w:val="center"/>
        <w:rPr>
          <w:b/>
          <w:color w:val="auto"/>
          <w:sz w:val="36"/>
          <w:szCs w:val="36"/>
        </w:rPr>
      </w:pPr>
    </w:p>
    <w:p>
      <w:pPr>
        <w:jc w:val="center"/>
        <w:rPr>
          <w:b/>
          <w:color w:val="auto"/>
          <w:sz w:val="44"/>
          <w:szCs w:val="44"/>
        </w:rPr>
      </w:pPr>
      <w:r>
        <w:rPr>
          <w:rFonts w:hint="eastAsia"/>
          <w:b/>
          <w:color w:val="auto"/>
          <w:sz w:val="44"/>
          <w:szCs w:val="44"/>
        </w:rPr>
        <w:t>赣州高速公路有限责任公司</w:t>
      </w:r>
    </w:p>
    <w:p>
      <w:pPr>
        <w:jc w:val="center"/>
        <w:rPr>
          <w:rFonts w:hint="eastAsia" w:ascii="Times New Roman" w:hAnsi="Times New Roman" w:eastAsia="宋体" w:cs="Times New Roman"/>
          <w:b/>
          <w:color w:val="auto"/>
          <w:spacing w:val="40"/>
          <w:sz w:val="72"/>
          <w:szCs w:val="72"/>
        </w:rPr>
      </w:pPr>
    </w:p>
    <w:p>
      <w:pPr>
        <w:jc w:val="center"/>
        <w:rPr>
          <w:rFonts w:hint="eastAsia" w:ascii="Times New Roman" w:hAnsi="Times New Roman" w:eastAsia="宋体" w:cs="Times New Roman"/>
          <w:b/>
          <w:color w:val="auto"/>
          <w:spacing w:val="40"/>
          <w:sz w:val="72"/>
          <w:szCs w:val="72"/>
        </w:rPr>
      </w:pPr>
      <w:r>
        <w:rPr>
          <w:rFonts w:hint="eastAsia" w:ascii="Times New Roman" w:hAnsi="Times New Roman" w:eastAsia="宋体" w:cs="Times New Roman"/>
          <w:b/>
          <w:color w:val="auto"/>
          <w:spacing w:val="40"/>
          <w:sz w:val="72"/>
          <w:szCs w:val="72"/>
        </w:rPr>
        <w:t>和畅机关及龙杨高速</w:t>
      </w:r>
    </w:p>
    <w:p>
      <w:pPr>
        <w:jc w:val="center"/>
        <w:rPr>
          <w:rFonts w:hint="eastAsia" w:ascii="Times New Roman" w:hAnsi="Times New Roman" w:eastAsia="宋体" w:cs="Times New Roman"/>
          <w:b/>
          <w:color w:val="auto"/>
          <w:spacing w:val="40"/>
          <w:sz w:val="72"/>
          <w:szCs w:val="72"/>
        </w:rPr>
      </w:pPr>
      <w:r>
        <w:rPr>
          <w:rFonts w:hint="eastAsia" w:ascii="Times New Roman" w:hAnsi="Times New Roman" w:eastAsia="宋体" w:cs="Times New Roman"/>
          <w:b/>
          <w:color w:val="auto"/>
          <w:spacing w:val="40"/>
          <w:sz w:val="72"/>
          <w:szCs w:val="72"/>
        </w:rPr>
        <w:t>交通车服务项目</w:t>
      </w:r>
    </w:p>
    <w:p>
      <w:pPr>
        <w:jc w:val="center"/>
        <w:rPr>
          <w:rFonts w:hint="eastAsia" w:ascii="Times New Roman" w:hAnsi="Times New Roman" w:eastAsia="宋体" w:cs="Times New Roman"/>
          <w:b/>
          <w:color w:val="auto"/>
          <w:spacing w:val="40"/>
          <w:sz w:val="72"/>
          <w:szCs w:val="72"/>
        </w:rPr>
      </w:pPr>
      <w:r>
        <w:rPr>
          <w:rFonts w:hint="eastAsia" w:ascii="Times New Roman" w:hAnsi="Times New Roman" w:eastAsia="宋体" w:cs="Times New Roman"/>
          <w:b/>
          <w:color w:val="auto"/>
          <w:spacing w:val="40"/>
          <w:sz w:val="72"/>
          <w:szCs w:val="72"/>
        </w:rPr>
        <w:t>询价文件</w:t>
      </w:r>
    </w:p>
    <w:p>
      <w:pPr>
        <w:jc w:val="center"/>
        <w:rPr>
          <w:rFonts w:hint="eastAsia" w:ascii="Times New Roman" w:hAnsi="Times New Roman" w:eastAsia="宋体" w:cs="Times New Roman"/>
          <w:b/>
          <w:color w:val="auto"/>
          <w:spacing w:val="40"/>
          <w:sz w:val="72"/>
          <w:szCs w:val="72"/>
        </w:rPr>
      </w:pPr>
      <w:r>
        <w:rPr>
          <w:rFonts w:hint="eastAsia" w:ascii="Times New Roman" w:hAnsi="Times New Roman" w:eastAsia="宋体" w:cs="Times New Roman"/>
          <w:b/>
          <w:color w:val="auto"/>
          <w:spacing w:val="40"/>
          <w:sz w:val="72"/>
          <w:szCs w:val="72"/>
          <w:lang w:eastAsia="zh-CN"/>
        </w:rPr>
        <w:t>（</w:t>
      </w:r>
      <w:r>
        <w:rPr>
          <w:rFonts w:hint="eastAsia" w:ascii="Times New Roman" w:hAnsi="Times New Roman" w:eastAsia="宋体" w:cs="Times New Roman"/>
          <w:b/>
          <w:color w:val="auto"/>
          <w:spacing w:val="40"/>
          <w:sz w:val="72"/>
          <w:szCs w:val="72"/>
          <w:lang w:val="en-US" w:eastAsia="zh-CN"/>
        </w:rPr>
        <w:t>第</w:t>
      </w:r>
      <w:r>
        <w:rPr>
          <w:rFonts w:hint="eastAsia" w:cs="Times New Roman"/>
          <w:b/>
          <w:color w:val="auto"/>
          <w:spacing w:val="40"/>
          <w:sz w:val="72"/>
          <w:szCs w:val="72"/>
          <w:lang w:val="en-US" w:eastAsia="zh-CN"/>
        </w:rPr>
        <w:t>四</w:t>
      </w:r>
      <w:r>
        <w:rPr>
          <w:rFonts w:hint="eastAsia" w:ascii="Times New Roman" w:hAnsi="Times New Roman" w:eastAsia="宋体" w:cs="Times New Roman"/>
          <w:b/>
          <w:color w:val="auto"/>
          <w:spacing w:val="40"/>
          <w:sz w:val="72"/>
          <w:szCs w:val="72"/>
          <w:lang w:val="en-US" w:eastAsia="zh-CN"/>
        </w:rPr>
        <w:t>次</w:t>
      </w:r>
      <w:r>
        <w:rPr>
          <w:rFonts w:hint="eastAsia" w:ascii="Times New Roman" w:hAnsi="Times New Roman" w:eastAsia="宋体" w:cs="Times New Roman"/>
          <w:b/>
          <w:color w:val="auto"/>
          <w:spacing w:val="40"/>
          <w:sz w:val="72"/>
          <w:szCs w:val="72"/>
          <w:lang w:eastAsia="zh-CN"/>
        </w:rPr>
        <w:t>）</w:t>
      </w:r>
    </w:p>
    <w:p>
      <w:pPr>
        <w:jc w:val="center"/>
        <w:rPr>
          <w:b/>
          <w:color w:val="auto"/>
          <w:sz w:val="36"/>
          <w:szCs w:val="36"/>
        </w:rPr>
      </w:pPr>
    </w:p>
    <w:p>
      <w:pPr>
        <w:jc w:val="center"/>
        <w:rPr>
          <w:b/>
          <w:color w:val="auto"/>
          <w:sz w:val="36"/>
          <w:szCs w:val="36"/>
        </w:rPr>
      </w:pPr>
    </w:p>
    <w:p>
      <w:pPr>
        <w:jc w:val="center"/>
        <w:rPr>
          <w:b/>
          <w:color w:val="auto"/>
          <w:sz w:val="36"/>
          <w:szCs w:val="36"/>
        </w:rPr>
      </w:pPr>
    </w:p>
    <w:p>
      <w:pPr>
        <w:jc w:val="center"/>
        <w:rPr>
          <w:b/>
          <w:color w:val="auto"/>
          <w:sz w:val="36"/>
          <w:szCs w:val="36"/>
        </w:rPr>
      </w:pPr>
    </w:p>
    <w:p>
      <w:pPr>
        <w:jc w:val="center"/>
        <w:rPr>
          <w:b/>
          <w:color w:val="auto"/>
          <w:sz w:val="36"/>
          <w:szCs w:val="36"/>
        </w:rPr>
      </w:pPr>
    </w:p>
    <w:p>
      <w:pPr>
        <w:jc w:val="center"/>
        <w:rPr>
          <w:b/>
          <w:color w:val="auto"/>
          <w:sz w:val="36"/>
          <w:szCs w:val="36"/>
        </w:rPr>
      </w:pPr>
    </w:p>
    <w:p>
      <w:pPr>
        <w:jc w:val="center"/>
        <w:rPr>
          <w:b/>
          <w:color w:val="auto"/>
          <w:sz w:val="36"/>
          <w:szCs w:val="36"/>
        </w:rPr>
      </w:pPr>
    </w:p>
    <w:p>
      <w:pPr>
        <w:jc w:val="center"/>
        <w:rPr>
          <w:b/>
          <w:color w:val="auto"/>
          <w:sz w:val="36"/>
          <w:szCs w:val="36"/>
        </w:rPr>
      </w:pPr>
      <w:r>
        <w:rPr>
          <w:rFonts w:hint="eastAsia"/>
          <w:b/>
          <w:color w:val="auto"/>
          <w:sz w:val="36"/>
          <w:szCs w:val="36"/>
        </w:rPr>
        <w:t>赣州高速公路有限责任公司</w:t>
      </w:r>
    </w:p>
    <w:p>
      <w:pPr>
        <w:jc w:val="center"/>
        <w:rPr>
          <w:b/>
          <w:color w:val="auto"/>
          <w:sz w:val="36"/>
          <w:szCs w:val="36"/>
        </w:rPr>
      </w:pPr>
      <w:r>
        <w:rPr>
          <w:rFonts w:hint="eastAsia"/>
          <w:b/>
          <w:color w:val="auto"/>
          <w:sz w:val="36"/>
          <w:szCs w:val="36"/>
        </w:rPr>
        <w:t>二O二四年</w:t>
      </w:r>
      <w:r>
        <w:rPr>
          <w:rFonts w:hint="eastAsia"/>
          <w:b/>
          <w:color w:val="auto"/>
          <w:sz w:val="36"/>
          <w:szCs w:val="36"/>
          <w:lang w:val="en-US" w:eastAsia="zh-CN"/>
        </w:rPr>
        <w:t>九</w:t>
      </w:r>
      <w:bookmarkStart w:id="5" w:name="_GoBack"/>
      <w:bookmarkEnd w:id="5"/>
      <w:r>
        <w:rPr>
          <w:rFonts w:hint="eastAsia"/>
          <w:b/>
          <w:color w:val="auto"/>
          <w:sz w:val="36"/>
          <w:szCs w:val="36"/>
        </w:rPr>
        <w:t>月</w:t>
      </w:r>
    </w:p>
    <w:p>
      <w:pPr>
        <w:jc w:val="center"/>
        <w:rPr>
          <w:rFonts w:ascii="黑体" w:eastAsia="黑体"/>
          <w:color w:val="auto"/>
          <w:sz w:val="30"/>
          <w:szCs w:val="30"/>
        </w:rPr>
      </w:pPr>
    </w:p>
    <w:p>
      <w:pPr>
        <w:jc w:val="center"/>
        <w:rPr>
          <w:rFonts w:ascii="黑体" w:eastAsia="黑体"/>
          <w:color w:val="auto"/>
          <w:sz w:val="30"/>
          <w:szCs w:val="30"/>
        </w:rPr>
        <w:sectPr>
          <w:pgSz w:w="11906" w:h="16838"/>
          <w:pgMar w:top="1440" w:right="1800" w:bottom="1440" w:left="1800" w:header="851" w:footer="992" w:gutter="0"/>
          <w:cols w:space="425" w:num="1"/>
          <w:docGrid w:type="lines" w:linePitch="312" w:charSpace="0"/>
        </w:sectPr>
      </w:pPr>
    </w:p>
    <w:p>
      <w:pPr>
        <w:jc w:val="center"/>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和畅机关及龙杨高速交通车服务项目询价公告</w:t>
      </w:r>
    </w:p>
    <w:p>
      <w:pPr>
        <w:spacing w:line="400" w:lineRule="exact"/>
        <w:jc w:val="center"/>
        <w:rPr>
          <w:b/>
          <w:color w:val="auto"/>
          <w:sz w:val="24"/>
        </w:rPr>
      </w:pPr>
      <w:r>
        <w:rPr>
          <w:rFonts w:hint="eastAsia" w:asciiTheme="majorEastAsia" w:hAnsiTheme="majorEastAsia" w:eastAsiaTheme="majorEastAsia" w:cstheme="majorEastAsia"/>
          <w:b/>
          <w:bCs/>
          <w:color w:val="auto"/>
          <w:sz w:val="36"/>
          <w:szCs w:val="36"/>
          <w:lang w:eastAsia="zh-CN"/>
        </w:rPr>
        <w:t>（</w:t>
      </w:r>
      <w:r>
        <w:rPr>
          <w:rFonts w:hint="eastAsia" w:asciiTheme="majorEastAsia" w:hAnsiTheme="majorEastAsia" w:eastAsiaTheme="majorEastAsia" w:cstheme="majorEastAsia"/>
          <w:b/>
          <w:bCs/>
          <w:color w:val="auto"/>
          <w:sz w:val="36"/>
          <w:szCs w:val="36"/>
          <w:lang w:val="en-US" w:eastAsia="zh-CN"/>
        </w:rPr>
        <w:t>第四次</w:t>
      </w:r>
      <w:r>
        <w:rPr>
          <w:rFonts w:hint="eastAsia" w:asciiTheme="majorEastAsia" w:hAnsiTheme="majorEastAsia" w:eastAsiaTheme="majorEastAsia" w:cstheme="majorEastAsia"/>
          <w:b/>
          <w:bCs/>
          <w:color w:val="auto"/>
          <w:sz w:val="36"/>
          <w:szCs w:val="36"/>
          <w:lang w:eastAsia="zh-CN"/>
        </w:rPr>
        <w:t>）</w:t>
      </w:r>
    </w:p>
    <w:p>
      <w:pPr>
        <w:spacing w:line="400" w:lineRule="exact"/>
        <w:ind w:firstLine="482" w:firstLineChars="200"/>
        <w:rPr>
          <w:rFonts w:hint="eastAsia" w:ascii="宋体" w:hAnsi="宋体"/>
          <w:b/>
          <w:color w:val="auto"/>
          <w:sz w:val="24"/>
        </w:rPr>
      </w:pPr>
    </w:p>
    <w:p>
      <w:pPr>
        <w:spacing w:line="400" w:lineRule="exact"/>
        <w:ind w:firstLine="482" w:firstLineChars="200"/>
        <w:rPr>
          <w:rFonts w:ascii="宋体" w:hAnsi="宋体"/>
          <w:b/>
          <w:color w:val="auto"/>
          <w:sz w:val="24"/>
        </w:rPr>
      </w:pPr>
      <w:r>
        <w:rPr>
          <w:rFonts w:hint="eastAsia" w:ascii="宋体" w:hAnsi="宋体"/>
          <w:b/>
          <w:color w:val="auto"/>
          <w:sz w:val="24"/>
        </w:rPr>
        <w:t>一、询价条件</w:t>
      </w:r>
    </w:p>
    <w:p>
      <w:pPr>
        <w:spacing w:line="400" w:lineRule="exact"/>
        <w:ind w:firstLine="480" w:firstLineChars="200"/>
        <w:rPr>
          <w:rFonts w:ascii="宋体" w:hAnsi="宋体"/>
          <w:color w:val="auto"/>
          <w:sz w:val="24"/>
        </w:rPr>
      </w:pPr>
      <w:r>
        <w:rPr>
          <w:rFonts w:hint="eastAsia" w:ascii="宋体" w:hAnsi="宋体"/>
          <w:color w:val="auto"/>
          <w:sz w:val="24"/>
        </w:rPr>
        <w:t>因工作需要，现开展和畅机关及龙杨高速交通车服务项目询价，</w:t>
      </w:r>
      <w:r>
        <w:rPr>
          <w:rFonts w:ascii="宋体" w:hAnsi="宋体"/>
          <w:color w:val="auto"/>
          <w:sz w:val="24"/>
        </w:rPr>
        <w:t>资金来源</w:t>
      </w:r>
      <w:r>
        <w:rPr>
          <w:rFonts w:hint="eastAsia" w:ascii="宋体" w:hAnsi="宋体"/>
          <w:color w:val="auto"/>
          <w:sz w:val="24"/>
        </w:rPr>
        <w:t>已落实</w:t>
      </w:r>
      <w:r>
        <w:rPr>
          <w:rFonts w:ascii="宋体" w:hAnsi="宋体"/>
          <w:color w:val="auto"/>
          <w:sz w:val="24"/>
        </w:rPr>
        <w:t>，该项目已具备</w:t>
      </w:r>
      <w:r>
        <w:rPr>
          <w:rFonts w:hint="eastAsia" w:ascii="宋体" w:hAnsi="宋体"/>
          <w:color w:val="auto"/>
          <w:sz w:val="24"/>
        </w:rPr>
        <w:t>询价</w:t>
      </w:r>
      <w:r>
        <w:rPr>
          <w:rFonts w:ascii="宋体" w:hAnsi="宋体"/>
          <w:color w:val="auto"/>
          <w:sz w:val="24"/>
        </w:rPr>
        <w:t>条件，现</w:t>
      </w:r>
      <w:r>
        <w:rPr>
          <w:rFonts w:hint="eastAsia" w:ascii="宋体" w:hAnsi="宋体"/>
          <w:color w:val="auto"/>
          <w:sz w:val="24"/>
        </w:rPr>
        <w:t>对该项目进行公开</w:t>
      </w:r>
      <w:r>
        <w:rPr>
          <w:rFonts w:ascii="宋体" w:hAnsi="宋体"/>
          <w:color w:val="auto"/>
          <w:sz w:val="24"/>
        </w:rPr>
        <w:t>询价</w:t>
      </w:r>
      <w:r>
        <w:rPr>
          <w:rFonts w:hint="eastAsia" w:ascii="宋体" w:hAnsi="宋体"/>
          <w:color w:val="auto"/>
          <w:sz w:val="24"/>
        </w:rPr>
        <w:t>。</w:t>
      </w:r>
    </w:p>
    <w:p>
      <w:pPr>
        <w:spacing w:line="400" w:lineRule="exact"/>
        <w:ind w:firstLine="480" w:firstLineChars="200"/>
        <w:rPr>
          <w:rFonts w:ascii="宋体" w:hAnsi="宋体"/>
          <w:color w:val="auto"/>
          <w:sz w:val="24"/>
        </w:rPr>
      </w:pPr>
      <w:r>
        <w:rPr>
          <w:rFonts w:hint="eastAsia" w:ascii="宋体" w:hAnsi="宋体"/>
          <w:color w:val="auto"/>
          <w:sz w:val="24"/>
        </w:rPr>
        <w:t>本次询价项目名称：和畅机关及龙杨高速交通车服务项目。询价</w:t>
      </w:r>
      <w:r>
        <w:rPr>
          <w:rFonts w:ascii="宋体" w:hAnsi="宋体"/>
          <w:color w:val="auto"/>
          <w:sz w:val="24"/>
        </w:rPr>
        <w:t>人</w:t>
      </w:r>
      <w:r>
        <w:rPr>
          <w:rFonts w:hint="eastAsia" w:ascii="宋体" w:hAnsi="宋体"/>
          <w:color w:val="auto"/>
          <w:sz w:val="24"/>
        </w:rPr>
        <w:t xml:space="preserve">：赣州高速公路有限责任公司，合同签订人为: 赣州高速公路有限责任公司（用车人）。 </w:t>
      </w:r>
    </w:p>
    <w:p>
      <w:pPr>
        <w:spacing w:line="400" w:lineRule="exact"/>
        <w:ind w:firstLine="482" w:firstLineChars="200"/>
        <w:rPr>
          <w:rFonts w:ascii="宋体" w:hAnsi="宋体"/>
          <w:b/>
          <w:color w:val="auto"/>
          <w:sz w:val="24"/>
        </w:rPr>
      </w:pPr>
      <w:r>
        <w:rPr>
          <w:rFonts w:hint="eastAsia" w:ascii="宋体" w:hAnsi="宋体"/>
          <w:b/>
          <w:color w:val="auto"/>
          <w:sz w:val="24"/>
        </w:rPr>
        <w:t>二、询价内容及要求</w:t>
      </w:r>
    </w:p>
    <w:p>
      <w:pPr>
        <w:spacing w:line="400" w:lineRule="exact"/>
        <w:rPr>
          <w:color w:val="auto"/>
          <w:sz w:val="24"/>
        </w:rPr>
      </w:pPr>
      <w:r>
        <w:rPr>
          <w:rFonts w:hint="eastAsia"/>
          <w:color w:val="auto"/>
          <w:sz w:val="24"/>
        </w:rPr>
        <w:t xml:space="preserve">    （一）询价内容</w:t>
      </w:r>
    </w:p>
    <w:p>
      <w:pPr>
        <w:spacing w:line="400" w:lineRule="exact"/>
        <w:ind w:firstLine="470" w:firstLineChars="196"/>
        <w:rPr>
          <w:color w:val="auto"/>
          <w:sz w:val="24"/>
        </w:rPr>
      </w:pPr>
      <w:r>
        <w:rPr>
          <w:rFonts w:hint="eastAsia"/>
          <w:color w:val="auto"/>
          <w:sz w:val="24"/>
        </w:rPr>
        <w:t>1、和畅机关交通车：33座或以上大巴，每个工作日往返赣州市区至南康和畅公司（往返计1趟），每月运行约13趟（每周逢一三五的工作日），每年运行约158趟。起（终）点为赣州汽车站或东门市场，途经红旗大道、南门口、东阳山路、南河大桥、长征大道、十龙聚龟、赣州大道、新世纪大桥、赣南大道或和谐大道、龙岭工业西园，终（起）点为和畅公司。早上从赣州出发，送上班员工至和畅公司；下午从和畅公司出发，送下班员工回赣州。1趟往返约60公里。</w:t>
      </w:r>
    </w:p>
    <w:p>
      <w:pPr>
        <w:spacing w:line="400" w:lineRule="exact"/>
        <w:ind w:firstLine="470" w:firstLineChars="196"/>
        <w:rPr>
          <w:color w:val="auto"/>
          <w:sz w:val="24"/>
        </w:rPr>
      </w:pPr>
      <w:r>
        <w:rPr>
          <w:rFonts w:hint="eastAsia"/>
          <w:color w:val="auto"/>
          <w:sz w:val="24"/>
        </w:rPr>
        <w:t>2、龙杨高速交通车：33座或以上大巴，每3天往返赣州火车站与龙南杨村（往返计1趟），每月运行约10趟，每年运行约122趟。起（终）点为赣州火车站，途经和谐大道、赣州南站、和畅公司、南康服务区、信丰所、信丰服务区、龙南所、龙南服务区，起（终）点为龙杨省界所。先从龙杨省界所出发，接休假员工回赣州；再从赣州出发，送返岗员工到各所站。1趟往返约400公里。</w:t>
      </w:r>
    </w:p>
    <w:p>
      <w:pPr>
        <w:spacing w:line="400" w:lineRule="exact"/>
        <w:ind w:firstLine="470" w:firstLineChars="196"/>
        <w:rPr>
          <w:color w:val="auto"/>
          <w:sz w:val="24"/>
        </w:rPr>
      </w:pPr>
      <w:r>
        <w:rPr>
          <w:rFonts w:hint="eastAsia"/>
          <w:color w:val="auto"/>
          <w:sz w:val="24"/>
        </w:rPr>
        <w:t>服务期限：1年，自合同签字盖章之日起计算。</w:t>
      </w:r>
    </w:p>
    <w:p>
      <w:pPr>
        <w:spacing w:line="400" w:lineRule="exact"/>
        <w:rPr>
          <w:color w:val="auto"/>
          <w:sz w:val="24"/>
        </w:rPr>
      </w:pPr>
      <w:r>
        <w:rPr>
          <w:rFonts w:hint="eastAsia"/>
          <w:color w:val="auto"/>
          <w:sz w:val="24"/>
        </w:rPr>
        <w:t xml:space="preserve">    （二）询价要求</w:t>
      </w:r>
    </w:p>
    <w:p>
      <w:pPr>
        <w:spacing w:line="400" w:lineRule="exact"/>
        <w:ind w:firstLine="480"/>
        <w:rPr>
          <w:color w:val="auto"/>
          <w:sz w:val="24"/>
        </w:rPr>
      </w:pPr>
      <w:r>
        <w:rPr>
          <w:rFonts w:hint="eastAsia"/>
          <w:color w:val="auto"/>
          <w:sz w:val="24"/>
        </w:rPr>
        <w:t>1、合同签订前，报价人须提供车辆的行驶证及全部保险信息（交强险、第三者责任险、驾驶员及全车乘客座位险等其它商业险种且车辆单个乘客座位险保额不得低于60万元）等供询价人核查，报价人须保证提供车辆的各类手续必须齐全，车辆内部和外观干净整洁，车龄须在7年以内（车辆行驶证上注册日期为2017年</w:t>
      </w:r>
      <w:r>
        <w:rPr>
          <w:rFonts w:hint="eastAsia"/>
          <w:color w:val="auto"/>
          <w:sz w:val="24"/>
          <w:lang w:val="en-US" w:eastAsia="zh-CN"/>
        </w:rPr>
        <w:t>6</w:t>
      </w:r>
      <w:r>
        <w:rPr>
          <w:rFonts w:hint="eastAsia"/>
          <w:color w:val="auto"/>
          <w:sz w:val="24"/>
        </w:rPr>
        <w:t>月1日及以后），报价人提供的车辆须相对固定，以确保用车人用车稳定，如报价人须更换车辆须提前1天通知询价人并经用车人审核同意后方可更换。</w:t>
      </w:r>
    </w:p>
    <w:p>
      <w:pPr>
        <w:spacing w:line="400" w:lineRule="exact"/>
        <w:ind w:firstLine="480" w:firstLineChars="200"/>
        <w:rPr>
          <w:color w:val="auto"/>
        </w:rPr>
      </w:pPr>
      <w:r>
        <w:rPr>
          <w:rFonts w:hint="eastAsia"/>
          <w:color w:val="auto"/>
          <w:sz w:val="24"/>
        </w:rPr>
        <w:t>2、报价人负责车辆的定期维修及保养，并符合国家的相关规定，用车人有权要求报价人出具相应的维修及保养记录；如车辆在使用期间需维修或保养，报价人应派同等类型的车辆为用车人服务；若报价人不能及时提供替代车辆，用车人有权以其他方式替代解决，由此产生的费用或造成的损失及后果由报价人承担。</w:t>
      </w:r>
    </w:p>
    <w:p>
      <w:pPr>
        <w:spacing w:line="400" w:lineRule="exact"/>
        <w:ind w:firstLine="480" w:firstLineChars="200"/>
        <w:rPr>
          <w:color w:val="auto"/>
          <w:sz w:val="24"/>
        </w:rPr>
      </w:pPr>
      <w:r>
        <w:rPr>
          <w:rFonts w:hint="eastAsia"/>
          <w:color w:val="auto"/>
          <w:sz w:val="24"/>
        </w:rPr>
        <w:t>3、报价人必须按照询价人提供的上下班路线站点准时接送职工，如因车辆故障或报价人因素导致行车过程中出现延误，报价人必须在1个小时内派遣同类型车辆到达事发地替换故障车辆，若报价人不能及时提供替代车辆，用车人有权以其他方式替代解决，由此产生的费用或造成的损失及后果由报价人承担。</w:t>
      </w:r>
    </w:p>
    <w:p>
      <w:pPr>
        <w:spacing w:line="400" w:lineRule="exact"/>
        <w:ind w:firstLine="480"/>
        <w:rPr>
          <w:color w:val="auto"/>
          <w:sz w:val="24"/>
        </w:rPr>
      </w:pPr>
      <w:r>
        <w:rPr>
          <w:rFonts w:hint="eastAsia"/>
          <w:color w:val="auto"/>
          <w:sz w:val="24"/>
        </w:rPr>
        <w:t>4、合同签订前报价人须提供驾驶员的身份证复印件、驾驶证复印件、道路运输从业人员从业资格证及与报价人劳动关系证明等相关资料，报价人拟派遣的驾驶员年龄须在50周岁以内，持有A1驾照及道路运输从业人员从业资格证 ，具备5年以上</w:t>
      </w:r>
      <w:r>
        <w:rPr>
          <w:rFonts w:hint="eastAsia"/>
          <w:color w:val="auto"/>
          <w:sz w:val="24"/>
          <w:highlight w:val="none"/>
        </w:rPr>
        <w:t>客车驾驶经验</w:t>
      </w:r>
      <w:r>
        <w:rPr>
          <w:rFonts w:hint="eastAsia"/>
          <w:color w:val="auto"/>
          <w:sz w:val="24"/>
        </w:rPr>
        <w:t>，并对行程路线熟悉，报价人拟派遣的驾驶员须相对固定，以确保用车人用车稳定，如报价人须更换驾驶员须提前1天通知询价人并经用车人审核同意后方可更换。</w:t>
      </w:r>
    </w:p>
    <w:p>
      <w:pPr>
        <w:spacing w:line="400" w:lineRule="exact"/>
        <w:rPr>
          <w:color w:val="auto"/>
          <w:sz w:val="24"/>
        </w:rPr>
      </w:pPr>
      <w:r>
        <w:rPr>
          <w:rFonts w:hint="eastAsia"/>
          <w:color w:val="auto"/>
          <w:sz w:val="24"/>
        </w:rPr>
        <w:t xml:space="preserve">    5、报价人驾驶员有义务核实用车人乘车职工的身份；若不能出示相关身份证明，报价人驾驶员应拒绝其上车并告知用车人。</w:t>
      </w:r>
    </w:p>
    <w:p>
      <w:pPr>
        <w:spacing w:line="400" w:lineRule="exact"/>
        <w:rPr>
          <w:color w:val="auto"/>
          <w:sz w:val="24"/>
        </w:rPr>
      </w:pPr>
      <w:r>
        <w:rPr>
          <w:rFonts w:hint="eastAsia"/>
          <w:color w:val="auto"/>
          <w:sz w:val="24"/>
        </w:rPr>
        <w:t xml:space="preserve">    6、如因特殊情况造成报价人车辆无法运行（例：交通管制、政府新规章制度此路线范围属禁行路段），由双方协商解决路线变更等事宜。</w:t>
      </w:r>
    </w:p>
    <w:p>
      <w:pPr>
        <w:spacing w:line="400" w:lineRule="exact"/>
        <w:ind w:firstLine="480" w:firstLineChars="200"/>
        <w:rPr>
          <w:color w:val="auto"/>
          <w:sz w:val="24"/>
        </w:rPr>
      </w:pPr>
      <w:r>
        <w:rPr>
          <w:rFonts w:hint="eastAsia"/>
          <w:color w:val="auto"/>
          <w:sz w:val="24"/>
        </w:rPr>
        <w:t>7、如用车人要求增加路线或者调整车辆大小，报价人须按用车人的要求及时提供接送服务，具体费用双方协商解决。</w:t>
      </w:r>
    </w:p>
    <w:p>
      <w:pPr>
        <w:spacing w:line="400" w:lineRule="exact"/>
        <w:ind w:firstLine="482"/>
        <w:rPr>
          <w:color w:val="auto"/>
          <w:sz w:val="24"/>
        </w:rPr>
      </w:pPr>
      <w:r>
        <w:rPr>
          <w:rFonts w:hint="eastAsia"/>
          <w:color w:val="auto"/>
          <w:sz w:val="24"/>
        </w:rPr>
        <w:t>8、用车人的用车时间以及其他要求根据实际情况，由用车人提前告知报价人。</w:t>
      </w:r>
    </w:p>
    <w:p>
      <w:pPr>
        <w:pStyle w:val="2"/>
        <w:spacing w:before="0" w:after="0" w:line="400" w:lineRule="exact"/>
        <w:ind w:firstLine="482"/>
        <w:rPr>
          <w:b w:val="0"/>
          <w:color w:val="auto"/>
          <w:sz w:val="24"/>
        </w:rPr>
      </w:pPr>
      <w:r>
        <w:rPr>
          <w:rFonts w:hint="eastAsia"/>
          <w:b w:val="0"/>
          <w:color w:val="auto"/>
          <w:sz w:val="24"/>
        </w:rPr>
        <w:t>9、报价人要采取必要的措施，避免在运输过程中出现侵害双方人身、财产安全的违法行为。若发生道路交通安全事故，须按国家有关法律、政策迅速有效进行处置等相关工作。</w:t>
      </w:r>
    </w:p>
    <w:p>
      <w:pPr>
        <w:spacing w:line="400" w:lineRule="exact"/>
        <w:ind w:firstLine="482" w:firstLineChars="200"/>
        <w:rPr>
          <w:rFonts w:ascii="宋体" w:hAnsi="宋体"/>
          <w:b/>
          <w:color w:val="auto"/>
          <w:sz w:val="24"/>
        </w:rPr>
      </w:pPr>
      <w:r>
        <w:rPr>
          <w:rFonts w:hint="eastAsia" w:ascii="宋体" w:hAnsi="宋体"/>
          <w:b/>
          <w:color w:val="auto"/>
          <w:sz w:val="24"/>
        </w:rPr>
        <w:t>三、本次询价的控制价上限及要求</w:t>
      </w:r>
    </w:p>
    <w:p>
      <w:pPr>
        <w:spacing w:line="400" w:lineRule="exact"/>
        <w:ind w:firstLine="482" w:firstLineChars="200"/>
        <w:rPr>
          <w:rFonts w:ascii="宋体"/>
          <w:color w:val="auto"/>
          <w:sz w:val="28"/>
          <w:szCs w:val="28"/>
        </w:rPr>
      </w:pPr>
      <w:r>
        <w:rPr>
          <w:rFonts w:hint="eastAsia" w:ascii="宋体" w:hAnsi="宋体"/>
          <w:b/>
          <w:color w:val="auto"/>
          <w:sz w:val="24"/>
        </w:rPr>
        <w:t>控制价上限：43万元</w:t>
      </w:r>
      <w:r>
        <w:rPr>
          <w:rFonts w:hint="eastAsia" w:ascii="宋体" w:hAnsi="宋体"/>
          <w:b/>
          <w:color w:val="auto"/>
          <w:sz w:val="24"/>
          <w:lang w:eastAsia="zh-CN"/>
        </w:rPr>
        <w:t>（</w:t>
      </w:r>
      <w:r>
        <w:rPr>
          <w:rFonts w:hint="eastAsia" w:ascii="宋体" w:hAnsi="宋体"/>
          <w:b/>
          <w:color w:val="auto"/>
          <w:sz w:val="24"/>
          <w:lang w:val="en-US" w:eastAsia="zh-CN"/>
        </w:rPr>
        <w:t>其中子目1：和畅机关交通车控制价上限为11.6万元、子目2：龙杨高速交通车控制价上限为31.4万元</w:t>
      </w:r>
      <w:r>
        <w:rPr>
          <w:rFonts w:hint="eastAsia" w:ascii="宋体" w:hAnsi="宋体"/>
          <w:b/>
          <w:color w:val="auto"/>
          <w:sz w:val="24"/>
          <w:lang w:eastAsia="zh-CN"/>
        </w:rPr>
        <w:t>）</w:t>
      </w:r>
      <w:r>
        <w:rPr>
          <w:rFonts w:hint="eastAsia" w:ascii="宋体" w:hAnsi="宋体"/>
          <w:b/>
          <w:color w:val="auto"/>
          <w:sz w:val="24"/>
        </w:rPr>
        <w:t>。</w:t>
      </w:r>
      <w:r>
        <w:rPr>
          <w:rFonts w:hint="eastAsia" w:ascii="宋体" w:hAnsi="宋体"/>
          <w:color w:val="auto"/>
          <w:sz w:val="24"/>
        </w:rPr>
        <w:t>报价人的</w:t>
      </w:r>
      <w:r>
        <w:rPr>
          <w:rFonts w:hint="eastAsia" w:ascii="宋体" w:hAnsi="宋体"/>
          <w:color w:val="auto"/>
          <w:sz w:val="24"/>
          <w:lang w:val="en-US" w:eastAsia="zh-CN"/>
        </w:rPr>
        <w:t>总</w:t>
      </w:r>
      <w:r>
        <w:rPr>
          <w:rFonts w:hint="eastAsia" w:ascii="宋体" w:hAnsi="宋体"/>
          <w:color w:val="auto"/>
          <w:sz w:val="24"/>
        </w:rPr>
        <w:t>报价</w:t>
      </w:r>
      <w:r>
        <w:rPr>
          <w:rFonts w:hint="eastAsia" w:ascii="宋体" w:hAnsi="宋体"/>
          <w:color w:val="auto"/>
          <w:sz w:val="24"/>
          <w:lang w:val="en-US" w:eastAsia="zh-CN"/>
        </w:rPr>
        <w:t>及各子目报价均</w:t>
      </w:r>
      <w:r>
        <w:rPr>
          <w:rFonts w:hint="eastAsia" w:ascii="宋体" w:hAnsi="宋体"/>
          <w:color w:val="auto"/>
          <w:sz w:val="24"/>
        </w:rPr>
        <w:t>不得高于控制价，否则视为不响应询价文件，而被询价人拒绝。</w:t>
      </w:r>
    </w:p>
    <w:p>
      <w:pPr>
        <w:spacing w:line="400" w:lineRule="exact"/>
        <w:ind w:firstLine="480" w:firstLineChars="200"/>
        <w:rPr>
          <w:rFonts w:ascii="宋体" w:hAnsi="宋体"/>
          <w:color w:val="auto"/>
          <w:sz w:val="24"/>
        </w:rPr>
      </w:pPr>
      <w:r>
        <w:rPr>
          <w:rFonts w:hint="eastAsia" w:ascii="宋体" w:hAnsi="宋体"/>
          <w:color w:val="auto"/>
          <w:sz w:val="24"/>
        </w:rPr>
        <w:t>本报价包含服务（租赁）费、油费、高速通行费、维修费、保养费、保险费、年审费、驾驶员工资、利润、税金等所有费用，询价人不再另行支付其他费用。</w:t>
      </w:r>
    </w:p>
    <w:p>
      <w:pPr>
        <w:autoSpaceDE w:val="0"/>
        <w:spacing w:line="400" w:lineRule="exact"/>
        <w:ind w:firstLine="482" w:firstLineChars="200"/>
        <w:rPr>
          <w:rFonts w:ascii="宋体" w:hAnsi="宋体" w:cs="宋体"/>
          <w:b/>
          <w:bCs/>
          <w:color w:val="auto"/>
          <w:sz w:val="24"/>
        </w:rPr>
      </w:pPr>
      <w:bookmarkStart w:id="0" w:name="_Toc5310"/>
      <w:r>
        <w:rPr>
          <w:rFonts w:ascii="宋体" w:hAnsi="宋体"/>
          <w:b/>
          <w:bCs/>
          <w:color w:val="auto"/>
          <w:sz w:val="24"/>
        </w:rPr>
        <w:t>四、</w:t>
      </w:r>
      <w:r>
        <w:rPr>
          <w:rFonts w:hint="eastAsia" w:ascii="宋体" w:hAnsi="宋体" w:cs="宋体"/>
          <w:b/>
          <w:bCs/>
          <w:color w:val="auto"/>
          <w:sz w:val="24"/>
        </w:rPr>
        <w:t>询价保证金</w:t>
      </w:r>
    </w:p>
    <w:p>
      <w:pPr>
        <w:spacing w:line="400" w:lineRule="exact"/>
        <w:ind w:firstLine="480" w:firstLineChars="200"/>
        <w:rPr>
          <w:rFonts w:ascii="宋体" w:hAnsi="宋体"/>
          <w:color w:val="auto"/>
          <w:sz w:val="24"/>
        </w:rPr>
      </w:pPr>
      <w:r>
        <w:rPr>
          <w:rFonts w:hint="eastAsia" w:ascii="宋体" w:hAnsi="宋体"/>
          <w:color w:val="auto"/>
          <w:sz w:val="24"/>
        </w:rPr>
        <w:t>该项目询价保证金为人民币</w:t>
      </w:r>
      <w:r>
        <w:rPr>
          <w:rFonts w:hint="eastAsia" w:ascii="宋体" w:hAnsi="宋体"/>
          <w:color w:val="auto"/>
          <w:sz w:val="24"/>
          <w:u w:val="single"/>
          <w:lang w:val="en-US" w:eastAsia="zh-CN"/>
        </w:rPr>
        <w:t>捌仟陆佰</w:t>
      </w:r>
      <w:r>
        <w:rPr>
          <w:rFonts w:hint="eastAsia" w:ascii="宋体" w:hAnsi="宋体"/>
          <w:color w:val="auto"/>
          <w:sz w:val="24"/>
          <w:u w:val="single"/>
        </w:rPr>
        <w:t>圆整</w:t>
      </w:r>
      <w:r>
        <w:rPr>
          <w:rFonts w:hint="eastAsia" w:ascii="宋体" w:hAnsi="宋体"/>
          <w:color w:val="auto"/>
          <w:sz w:val="24"/>
        </w:rPr>
        <w:t>(¥：</w:t>
      </w:r>
      <w:r>
        <w:rPr>
          <w:rFonts w:hint="eastAsia" w:ascii="宋体" w:hAnsi="宋体"/>
          <w:color w:val="auto"/>
          <w:sz w:val="24"/>
          <w:lang w:val="en-US" w:eastAsia="zh-CN"/>
        </w:rPr>
        <w:t>8600</w:t>
      </w:r>
      <w:r>
        <w:rPr>
          <w:rFonts w:hint="eastAsia" w:ascii="宋体" w:hAnsi="宋体"/>
          <w:color w:val="auto"/>
          <w:sz w:val="24"/>
        </w:rPr>
        <w:t>元)。报价单位必须在报价文件的递交截止时间之前将询价保证金以现金或银行保函形式（现金形式或银行保函的原件，均应密封完好在一个单独的封套内，并在封套的封口处加盖报价人单位公章），在递交报价文件时一并递交给询价人，逾期不予受理。</w:t>
      </w:r>
    </w:p>
    <w:p>
      <w:pPr>
        <w:spacing w:line="400" w:lineRule="exact"/>
        <w:ind w:firstLine="480" w:firstLineChars="200"/>
        <w:rPr>
          <w:rFonts w:ascii="宋体" w:hAnsi="宋体"/>
          <w:color w:val="auto"/>
          <w:sz w:val="24"/>
        </w:rPr>
      </w:pPr>
      <w:r>
        <w:rPr>
          <w:rFonts w:hint="eastAsia" w:ascii="宋体" w:hAnsi="宋体"/>
          <w:color w:val="auto"/>
          <w:sz w:val="24"/>
        </w:rPr>
        <w:t>询价保证金必须按上述的时限、密封要求递交，否则其询价保证金无效，询价单位有权拒绝其报价文件。</w:t>
      </w:r>
    </w:p>
    <w:p>
      <w:pPr>
        <w:spacing w:line="400" w:lineRule="exact"/>
        <w:ind w:firstLine="480" w:firstLineChars="200"/>
        <w:rPr>
          <w:rFonts w:ascii="宋体" w:hAnsi="宋体" w:cs="宋体"/>
          <w:bCs/>
          <w:color w:val="auto"/>
          <w:sz w:val="24"/>
        </w:rPr>
      </w:pPr>
      <w:r>
        <w:rPr>
          <w:rFonts w:hint="eastAsia" w:ascii="宋体" w:hAnsi="宋体"/>
          <w:color w:val="auto"/>
          <w:sz w:val="24"/>
        </w:rPr>
        <w:t>询价保证金的核验及退还：在第二轮报价后，由询价人核验并收取第二轮报价后确定的第一候选人的保证金，其余报价单位的保证金当场退还（如第一候选人的保证金不满足要求，则报价文件视为无效，保证金予以退还，再按候选人顺序收取并核验保证金，直至保证金满足要求）。中选单位的询价保证金在合同签订后一次性退还，</w:t>
      </w:r>
      <w:r>
        <w:rPr>
          <w:rFonts w:hint="eastAsia" w:ascii="宋体" w:hAnsi="宋体" w:cs="宋体"/>
          <w:bCs/>
          <w:color w:val="auto"/>
          <w:sz w:val="24"/>
        </w:rPr>
        <w:t>如中选人拒绝签订合同或存在其他损害询价人利益的情况，</w:t>
      </w:r>
      <w:r>
        <w:rPr>
          <w:rFonts w:hint="eastAsia" w:ascii="宋体" w:hAnsi="宋体"/>
          <w:color w:val="auto"/>
          <w:sz w:val="24"/>
        </w:rPr>
        <w:t>询价单位</w:t>
      </w:r>
      <w:r>
        <w:rPr>
          <w:rFonts w:hint="eastAsia" w:ascii="宋体" w:hAnsi="宋体" w:cs="宋体"/>
          <w:bCs/>
          <w:color w:val="auto"/>
          <w:sz w:val="24"/>
        </w:rPr>
        <w:t>有权拒绝退还中选单位的询价保证金。</w:t>
      </w:r>
    </w:p>
    <w:p>
      <w:pPr>
        <w:spacing w:line="400" w:lineRule="exact"/>
        <w:ind w:firstLine="480" w:firstLineChars="200"/>
        <w:rPr>
          <w:rFonts w:hint="eastAsia" w:ascii="宋体" w:hAnsi="宋体" w:cs="宋体"/>
          <w:b/>
          <w:color w:val="auto"/>
          <w:sz w:val="24"/>
        </w:rPr>
      </w:pPr>
      <w:r>
        <w:rPr>
          <w:rFonts w:hint="eastAsia" w:ascii="宋体" w:hAnsi="宋体" w:eastAsia="宋体" w:cs="宋体"/>
          <w:bCs/>
          <w:color w:val="auto"/>
          <w:sz w:val="24"/>
          <w:lang w:val="en-US" w:eastAsia="zh-CN"/>
        </w:rPr>
        <w:t>若报价人在报价文件的递交截止时间后要求撤回报价文件、拒绝二次报价或出现第二轮报价高于第一轮报价的情况，询价人有权拒绝退还报价人的询价保证金。</w:t>
      </w:r>
    </w:p>
    <w:p>
      <w:pPr>
        <w:spacing w:line="400" w:lineRule="exact"/>
        <w:ind w:firstLine="482" w:firstLineChars="200"/>
        <w:outlineLvl w:val="1"/>
        <w:rPr>
          <w:rFonts w:ascii="宋体" w:hAnsi="宋体" w:cs="宋体"/>
          <w:b/>
          <w:color w:val="auto"/>
          <w:sz w:val="24"/>
        </w:rPr>
      </w:pPr>
      <w:r>
        <w:rPr>
          <w:rFonts w:hint="eastAsia" w:ascii="宋体" w:hAnsi="宋体" w:cs="宋体"/>
          <w:b/>
          <w:color w:val="auto"/>
          <w:sz w:val="24"/>
        </w:rPr>
        <w:t>五、履约担保</w:t>
      </w:r>
    </w:p>
    <w:p>
      <w:pPr>
        <w:spacing w:line="400" w:lineRule="exact"/>
        <w:ind w:firstLine="480" w:firstLineChars="200"/>
        <w:rPr>
          <w:rFonts w:ascii="宋体" w:hAnsi="宋体"/>
          <w:color w:val="auto"/>
          <w:sz w:val="24"/>
        </w:rPr>
      </w:pPr>
      <w:r>
        <w:rPr>
          <w:rFonts w:hint="eastAsia" w:ascii="宋体" w:hAnsi="宋体"/>
          <w:color w:val="auto"/>
          <w:sz w:val="24"/>
        </w:rPr>
        <w:t>1、在收到</w:t>
      </w:r>
      <w:r>
        <w:rPr>
          <w:rFonts w:hint="eastAsia" w:ascii="宋体" w:hAnsi="宋体"/>
          <w:color w:val="auto"/>
          <w:sz w:val="24"/>
          <w:lang w:val="en-US" w:eastAsia="zh-CN"/>
        </w:rPr>
        <w:t>询价</w:t>
      </w:r>
      <w:r>
        <w:rPr>
          <w:rFonts w:hint="eastAsia" w:ascii="宋体" w:hAnsi="宋体"/>
          <w:color w:val="auto"/>
          <w:sz w:val="24"/>
        </w:rPr>
        <w:t>人发出的</w:t>
      </w:r>
      <w:r>
        <w:rPr>
          <w:rFonts w:hint="eastAsia" w:ascii="宋体" w:hAnsi="宋体"/>
          <w:color w:val="auto"/>
          <w:sz w:val="24"/>
          <w:lang w:val="en-US" w:eastAsia="zh-CN"/>
        </w:rPr>
        <w:t>成交</w:t>
      </w:r>
      <w:r>
        <w:rPr>
          <w:rFonts w:hint="eastAsia" w:ascii="宋体" w:hAnsi="宋体"/>
          <w:color w:val="auto"/>
          <w:sz w:val="24"/>
        </w:rPr>
        <w:t>通知书后</w:t>
      </w:r>
      <w:r>
        <w:rPr>
          <w:rFonts w:hint="eastAsia" w:ascii="宋体" w:hAnsi="宋体"/>
          <w:color w:val="auto"/>
          <w:sz w:val="24"/>
          <w:lang w:val="en-US" w:eastAsia="zh-CN"/>
        </w:rPr>
        <w:t>14</w:t>
      </w:r>
      <w:r>
        <w:rPr>
          <w:rFonts w:hint="eastAsia" w:ascii="宋体" w:hAnsi="宋体"/>
          <w:color w:val="auto"/>
          <w:sz w:val="24"/>
        </w:rPr>
        <w:t>天内成交人应向</w:t>
      </w:r>
      <w:r>
        <w:rPr>
          <w:rFonts w:hint="eastAsia" w:ascii="宋体" w:hAnsi="宋体"/>
          <w:color w:val="auto"/>
          <w:sz w:val="24"/>
          <w:lang w:val="en-US" w:eastAsia="zh-CN"/>
        </w:rPr>
        <w:t>询价</w:t>
      </w:r>
      <w:r>
        <w:rPr>
          <w:rFonts w:hint="eastAsia" w:ascii="宋体" w:hAnsi="宋体"/>
          <w:color w:val="auto"/>
          <w:sz w:val="24"/>
        </w:rPr>
        <w:t>人提交履约担保并签订合同</w:t>
      </w:r>
      <w:r>
        <w:rPr>
          <w:rFonts w:hint="eastAsia" w:ascii="宋体" w:hAnsi="宋体"/>
          <w:color w:val="auto"/>
          <w:sz w:val="24"/>
          <w:lang w:eastAsia="zh-CN"/>
        </w:rPr>
        <w:t>，</w:t>
      </w:r>
      <w:r>
        <w:rPr>
          <w:rFonts w:hint="eastAsia" w:ascii="宋体" w:hAnsi="宋体"/>
          <w:color w:val="auto"/>
          <w:sz w:val="24"/>
        </w:rPr>
        <w:t>履约保证金的金额：签约合同价的10%。</w:t>
      </w:r>
    </w:p>
    <w:p>
      <w:pPr>
        <w:spacing w:line="400" w:lineRule="exact"/>
        <w:ind w:firstLine="480" w:firstLineChars="200"/>
        <w:rPr>
          <w:rFonts w:hint="eastAsia" w:ascii="宋体" w:hAnsi="宋体"/>
          <w:color w:val="auto"/>
          <w:sz w:val="24"/>
        </w:rPr>
      </w:pPr>
      <w:r>
        <w:rPr>
          <w:rFonts w:hint="eastAsia" w:ascii="宋体" w:hAnsi="宋体"/>
          <w:color w:val="auto"/>
          <w:sz w:val="24"/>
        </w:rPr>
        <w:t>2、履约担保的形式：保函（银行保函、财务公司保函、保险公司保函、第三方担保公司保函）或现金保证金。</w:t>
      </w:r>
    </w:p>
    <w:p>
      <w:pPr>
        <w:spacing w:line="400" w:lineRule="exact"/>
        <w:ind w:firstLine="480" w:firstLineChars="200"/>
        <w:rPr>
          <w:rFonts w:hint="eastAsia" w:ascii="宋体" w:hAnsi="宋体"/>
          <w:color w:val="auto"/>
          <w:sz w:val="24"/>
        </w:rPr>
      </w:pPr>
      <w:r>
        <w:rPr>
          <w:rFonts w:hint="eastAsia" w:ascii="宋体" w:hAnsi="宋体"/>
          <w:color w:val="auto"/>
          <w:sz w:val="24"/>
        </w:rPr>
        <w:t>若采用银行保函，出具履约保证金的银行级别：成交人所在地的国有商业银行或股份制商业银行的支行及以上级别且具有相应担保能力；</w:t>
      </w:r>
    </w:p>
    <w:p>
      <w:pPr>
        <w:spacing w:line="400" w:lineRule="exact"/>
        <w:ind w:firstLine="480" w:firstLineChars="200"/>
        <w:rPr>
          <w:rFonts w:hint="eastAsia" w:ascii="宋体" w:hAnsi="宋体"/>
          <w:color w:val="auto"/>
          <w:sz w:val="24"/>
        </w:rPr>
      </w:pPr>
      <w:r>
        <w:rPr>
          <w:rFonts w:hint="eastAsia" w:ascii="宋体" w:hAnsi="宋体"/>
          <w:color w:val="auto"/>
          <w:sz w:val="24"/>
        </w:rPr>
        <w:t>若采用财务公司保函，财务公司应属于中国银行保险监管委员会批准的国有财务公司且经合同签订人认可；</w:t>
      </w:r>
    </w:p>
    <w:p>
      <w:pPr>
        <w:spacing w:line="400" w:lineRule="exact"/>
        <w:ind w:firstLine="480" w:firstLineChars="200"/>
        <w:rPr>
          <w:rFonts w:hint="eastAsia" w:ascii="宋体" w:hAnsi="宋体"/>
          <w:color w:val="auto"/>
          <w:sz w:val="24"/>
        </w:rPr>
      </w:pPr>
      <w:r>
        <w:rPr>
          <w:rFonts w:hint="eastAsia" w:ascii="宋体" w:hAnsi="宋体"/>
          <w:color w:val="auto"/>
          <w:sz w:val="24"/>
        </w:rPr>
        <w:t>若采用保险公司保函或第三方担保公司保函，应经合同签订人认可；</w:t>
      </w:r>
    </w:p>
    <w:p>
      <w:pPr>
        <w:spacing w:line="400" w:lineRule="exact"/>
        <w:ind w:firstLine="480" w:firstLineChars="200"/>
        <w:rPr>
          <w:rFonts w:hint="eastAsia" w:ascii="宋体" w:hAnsi="宋体"/>
          <w:color w:val="auto"/>
          <w:sz w:val="24"/>
        </w:rPr>
      </w:pPr>
      <w:r>
        <w:rPr>
          <w:rFonts w:hint="eastAsia" w:ascii="宋体" w:hAnsi="宋体"/>
          <w:color w:val="auto"/>
          <w:sz w:val="24"/>
        </w:rPr>
        <w:t>若采用现金，成交人应从其基本账户以转账或电汇形式一次性转入合同签订人指定的银行账户内（退还时不计利息）。</w:t>
      </w:r>
    </w:p>
    <w:p>
      <w:pPr>
        <w:spacing w:line="400" w:lineRule="exact"/>
        <w:ind w:firstLine="480" w:firstLineChars="200"/>
        <w:rPr>
          <w:rFonts w:hint="eastAsia" w:ascii="宋体" w:hAnsi="宋体"/>
          <w:color w:val="auto"/>
          <w:sz w:val="24"/>
        </w:rPr>
      </w:pPr>
      <w:r>
        <w:rPr>
          <w:rFonts w:hint="eastAsia" w:ascii="宋体" w:hAnsi="宋体"/>
          <w:color w:val="auto"/>
          <w:sz w:val="24"/>
        </w:rPr>
        <w:t>3、成交人不能按要求提交履约担保的，</w:t>
      </w:r>
      <w:r>
        <w:rPr>
          <w:rFonts w:hint="eastAsia" w:ascii="宋体" w:hAnsi="宋体"/>
          <w:color w:val="auto"/>
          <w:sz w:val="24"/>
          <w:lang w:eastAsia="zh-CN"/>
        </w:rPr>
        <w:t>询价人</w:t>
      </w:r>
      <w:r>
        <w:rPr>
          <w:rFonts w:hint="eastAsia" w:ascii="宋体" w:hAnsi="宋体"/>
          <w:color w:val="auto"/>
          <w:sz w:val="24"/>
        </w:rPr>
        <w:t>可取消其成交资格。</w:t>
      </w:r>
    </w:p>
    <w:p>
      <w:pPr>
        <w:spacing w:line="400" w:lineRule="exact"/>
        <w:ind w:firstLine="480" w:firstLineChars="200"/>
        <w:rPr>
          <w:rFonts w:hint="eastAsia" w:ascii="宋体" w:hAnsi="宋体"/>
          <w:color w:val="auto"/>
          <w:sz w:val="24"/>
        </w:rPr>
      </w:pPr>
      <w:r>
        <w:rPr>
          <w:rFonts w:hint="eastAsia" w:ascii="宋体" w:hAnsi="宋体"/>
          <w:color w:val="auto"/>
          <w:sz w:val="24"/>
        </w:rPr>
        <w:t>4、在项目实施完成合同工作内容并经业主验收合格后</w:t>
      </w:r>
      <w:r>
        <w:rPr>
          <w:rFonts w:hint="eastAsia" w:ascii="宋体" w:hAnsi="宋体"/>
          <w:color w:val="auto"/>
          <w:sz w:val="24"/>
          <w:lang w:val="en-US" w:eastAsia="zh-CN"/>
        </w:rPr>
        <w:t>28</w:t>
      </w:r>
      <w:r>
        <w:rPr>
          <w:rFonts w:hint="eastAsia" w:ascii="宋体" w:hAnsi="宋体"/>
          <w:color w:val="auto"/>
          <w:sz w:val="24"/>
        </w:rPr>
        <w:t>天内将履约担保退还成交人。</w:t>
      </w:r>
    </w:p>
    <w:p>
      <w:pPr>
        <w:spacing w:line="400" w:lineRule="exact"/>
        <w:ind w:firstLine="480" w:firstLineChars="200"/>
        <w:rPr>
          <w:color w:val="auto"/>
        </w:rPr>
      </w:pPr>
      <w:r>
        <w:rPr>
          <w:rFonts w:hint="eastAsia" w:ascii="宋体" w:hAnsi="宋体"/>
          <w:color w:val="auto"/>
          <w:sz w:val="24"/>
          <w:lang w:val="en-US" w:eastAsia="zh-CN"/>
        </w:rPr>
        <w:t>5</w:t>
      </w:r>
      <w:r>
        <w:rPr>
          <w:rFonts w:hint="eastAsia" w:ascii="宋体" w:hAnsi="宋体"/>
          <w:color w:val="auto"/>
          <w:sz w:val="24"/>
        </w:rPr>
        <w:t>、履约担保采用公路工程标准施工招标文件（2018版本）履约担保的格式。</w:t>
      </w:r>
    </w:p>
    <w:p>
      <w:pPr>
        <w:spacing w:line="400" w:lineRule="exact"/>
        <w:ind w:firstLine="482" w:firstLineChars="200"/>
        <w:outlineLvl w:val="1"/>
        <w:rPr>
          <w:rFonts w:ascii="宋体" w:hAnsi="宋体"/>
          <w:b/>
          <w:color w:val="auto"/>
          <w:sz w:val="24"/>
        </w:rPr>
      </w:pPr>
      <w:r>
        <w:rPr>
          <w:rFonts w:hint="eastAsia" w:ascii="宋体" w:hAnsi="宋体" w:cs="宋体"/>
          <w:b/>
          <w:color w:val="auto"/>
          <w:sz w:val="24"/>
        </w:rPr>
        <w:t>六、</w:t>
      </w:r>
      <w:r>
        <w:rPr>
          <w:rFonts w:hint="eastAsia" w:ascii="宋体" w:hAnsi="宋体"/>
          <w:b/>
          <w:color w:val="auto"/>
          <w:sz w:val="24"/>
        </w:rPr>
        <w:t>费用支付</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按月结算，根据交通车实际运行次数，按合同单价和实际发生趟数</w:t>
      </w:r>
      <w:r>
        <w:rPr>
          <w:rFonts w:hint="eastAsia" w:ascii="宋体" w:hAnsi="宋体"/>
          <w:color w:val="auto"/>
          <w:sz w:val="24"/>
          <w:lang w:val="en-US" w:eastAsia="zh-CN"/>
        </w:rPr>
        <w:t>按约</w:t>
      </w:r>
      <w:r>
        <w:rPr>
          <w:rFonts w:hint="eastAsia" w:ascii="宋体" w:hAnsi="宋体"/>
          <w:color w:val="auto"/>
          <w:sz w:val="24"/>
        </w:rPr>
        <w:t>进行结算。中标</w:t>
      </w:r>
      <w:r>
        <w:rPr>
          <w:rFonts w:hint="eastAsia" w:ascii="宋体" w:hAnsi="宋体"/>
          <w:color w:val="auto"/>
          <w:sz w:val="24"/>
          <w:lang w:val="en-US" w:eastAsia="zh-CN"/>
        </w:rPr>
        <w:t>人</w:t>
      </w:r>
      <w:r>
        <w:rPr>
          <w:rFonts w:hint="eastAsia" w:ascii="宋体" w:hAnsi="宋体"/>
          <w:color w:val="auto"/>
          <w:sz w:val="24"/>
        </w:rPr>
        <w:t>按要求提供真实有效的发票</w:t>
      </w:r>
      <w:r>
        <w:rPr>
          <w:rFonts w:hint="eastAsia" w:ascii="宋体" w:hAnsi="宋体"/>
          <w:color w:val="auto"/>
          <w:sz w:val="24"/>
          <w:lang w:val="en-US" w:eastAsia="zh-CN"/>
        </w:rPr>
        <w:t>及经询价人签字确认的</w:t>
      </w:r>
      <w:r>
        <w:rPr>
          <w:rFonts w:hint="eastAsia" w:ascii="宋体" w:hAnsi="宋体"/>
          <w:color w:val="auto"/>
          <w:sz w:val="24"/>
        </w:rPr>
        <w:t>实际运行趟数佐证资料</w:t>
      </w:r>
      <w:r>
        <w:rPr>
          <w:rFonts w:hint="eastAsia" w:ascii="宋体" w:hAnsi="宋体"/>
          <w:color w:val="auto"/>
          <w:sz w:val="24"/>
          <w:lang w:eastAsia="zh-CN"/>
        </w:rPr>
        <w:t>，</w:t>
      </w:r>
      <w:r>
        <w:rPr>
          <w:rFonts w:hint="eastAsia" w:ascii="宋体" w:hAnsi="宋体"/>
          <w:color w:val="auto"/>
          <w:sz w:val="24"/>
          <w:lang w:val="en-US" w:eastAsia="zh-CN"/>
        </w:rPr>
        <w:t>并经询价人确认无误后支付上月结算款</w:t>
      </w:r>
      <w:r>
        <w:rPr>
          <w:rFonts w:hint="eastAsia" w:ascii="宋体" w:hAnsi="宋体"/>
          <w:color w:val="auto"/>
          <w:sz w:val="24"/>
        </w:rPr>
        <w:t>。</w:t>
      </w:r>
    </w:p>
    <w:p>
      <w:pPr>
        <w:adjustRightInd w:val="0"/>
        <w:snapToGrid w:val="0"/>
        <w:spacing w:line="400" w:lineRule="exact"/>
        <w:ind w:firstLine="480" w:firstLineChars="200"/>
        <w:rPr>
          <w:rFonts w:ascii="宋体" w:hAnsi="宋体" w:cs="宋体"/>
          <w:b/>
          <w:bCs/>
          <w:color w:val="auto"/>
          <w:kern w:val="0"/>
          <w:sz w:val="24"/>
        </w:rPr>
      </w:pPr>
      <w:r>
        <w:rPr>
          <w:rFonts w:hint="eastAsia"/>
          <w:color w:val="auto"/>
          <w:sz w:val="24"/>
        </w:rPr>
        <w:t>如因车辆故障或报价人因素导致无法按时出车或出车时间迟到三十分钟以上，合同期内出现的第一次，询价人将扣除当天班车费用；合同期内出现的第二次，询价人将扣除两天班车费用；合同期内出现的第三次，询价人将扣除三天班车费用并有权终止合同。</w:t>
      </w:r>
    </w:p>
    <w:p>
      <w:pPr>
        <w:widowControl/>
        <w:spacing w:line="400" w:lineRule="exact"/>
        <w:ind w:firstLine="480"/>
        <w:jc w:val="left"/>
        <w:rPr>
          <w:color w:val="auto"/>
          <w:sz w:val="24"/>
        </w:rPr>
      </w:pPr>
      <w:r>
        <w:rPr>
          <w:rFonts w:hint="eastAsia" w:ascii="宋体" w:hAnsi="宋体" w:cs="宋体"/>
          <w:b/>
          <w:bCs/>
          <w:color w:val="auto"/>
          <w:kern w:val="0"/>
          <w:sz w:val="24"/>
        </w:rPr>
        <w:t>七、报价人资格要求</w:t>
      </w:r>
    </w:p>
    <w:p>
      <w:pPr>
        <w:spacing w:line="400" w:lineRule="exact"/>
        <w:ind w:firstLine="480" w:firstLineChars="200"/>
        <w:rPr>
          <w:color w:val="auto"/>
          <w:sz w:val="24"/>
        </w:rPr>
      </w:pPr>
      <w:r>
        <w:rPr>
          <w:rFonts w:hint="eastAsia"/>
          <w:color w:val="auto"/>
          <w:sz w:val="24"/>
        </w:rPr>
        <w:t>1、资格要求：</w:t>
      </w:r>
      <w:r>
        <w:rPr>
          <w:rFonts w:hint="eastAsia" w:ascii="宋体" w:hAnsi="宋体"/>
          <w:color w:val="auto"/>
          <w:sz w:val="24"/>
        </w:rPr>
        <w:t>具备独立法人资格，持有</w:t>
      </w:r>
      <w:r>
        <w:rPr>
          <w:rFonts w:ascii="宋体" w:hAnsi="宋体"/>
          <w:color w:val="auto"/>
          <w:sz w:val="24"/>
        </w:rPr>
        <w:t>有效的营业执照</w:t>
      </w:r>
      <w:r>
        <w:rPr>
          <w:rFonts w:hint="eastAsia" w:ascii="宋体" w:hAnsi="宋体"/>
          <w:color w:val="auto"/>
          <w:sz w:val="24"/>
        </w:rPr>
        <w:t>（经营范围含道路运输项目等）、道路运输经营许可证</w:t>
      </w:r>
      <w:r>
        <w:rPr>
          <w:rFonts w:ascii="宋体" w:hAnsi="宋体"/>
          <w:color w:val="auto"/>
          <w:sz w:val="24"/>
        </w:rPr>
        <w:t>。</w:t>
      </w:r>
    </w:p>
    <w:p>
      <w:pPr>
        <w:widowControl/>
        <w:spacing w:line="400" w:lineRule="exact"/>
        <w:ind w:firstLine="480" w:firstLineChars="200"/>
        <w:jc w:val="left"/>
        <w:rPr>
          <w:rFonts w:ascii="宋体" w:hAnsi="宋体" w:cs="宋体"/>
          <w:color w:val="auto"/>
          <w:kern w:val="0"/>
          <w:sz w:val="24"/>
        </w:rPr>
      </w:pPr>
      <w:r>
        <w:rPr>
          <w:rFonts w:hint="eastAsia" w:ascii="宋体" w:hAnsi="宋体" w:cs="宋体"/>
          <w:color w:val="auto"/>
          <w:kern w:val="0"/>
          <w:sz w:val="24"/>
        </w:rPr>
        <w:t>2、业绩要求：近三年内（合同签订时间为2021年6月1日至询价公告发布前1日）承接过客车租赁服务项目不少于1个。</w:t>
      </w:r>
    </w:p>
    <w:bookmarkEnd w:id="0"/>
    <w:p>
      <w:pPr>
        <w:spacing w:line="400" w:lineRule="exact"/>
        <w:ind w:firstLine="482" w:firstLineChars="200"/>
        <w:rPr>
          <w:rFonts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、报价文件组成</w:t>
      </w:r>
    </w:p>
    <w:p>
      <w:pPr>
        <w:spacing w:line="400" w:lineRule="exact"/>
        <w:ind w:firstLine="480" w:firstLineChars="200"/>
        <w:rPr>
          <w:rFonts w:ascii="宋体" w:hAnsi="宋体"/>
          <w:color w:val="auto"/>
          <w:sz w:val="24"/>
        </w:rPr>
      </w:pPr>
      <w:r>
        <w:rPr>
          <w:rFonts w:hint="eastAsia" w:ascii="宋体" w:hAnsi="宋体"/>
          <w:color w:val="auto"/>
          <w:sz w:val="24"/>
        </w:rPr>
        <w:t>请各报价人派专人携带身份证原件及报价文件，</w:t>
      </w:r>
      <w:r>
        <w:rPr>
          <w:rFonts w:hint="eastAsia" w:ascii="宋体" w:hAnsi="宋体"/>
          <w:color w:val="auto"/>
          <w:sz w:val="24"/>
          <w:lang w:val="en-US" w:eastAsia="zh-CN"/>
        </w:rPr>
        <w:t>递交</w:t>
      </w:r>
      <w:r>
        <w:rPr>
          <w:rFonts w:hint="eastAsia" w:ascii="宋体" w:hAnsi="宋体"/>
          <w:color w:val="auto"/>
          <w:sz w:val="24"/>
        </w:rPr>
        <w:t>报价文件</w:t>
      </w:r>
      <w:r>
        <w:rPr>
          <w:rFonts w:hint="eastAsia" w:ascii="宋体" w:hAnsi="宋体"/>
          <w:color w:val="auto"/>
          <w:sz w:val="24"/>
          <w:lang w:val="en-US" w:eastAsia="zh-CN"/>
        </w:rPr>
        <w:t>及</w:t>
      </w:r>
      <w:r>
        <w:rPr>
          <w:rFonts w:hint="eastAsia" w:ascii="宋体" w:hAnsi="宋体"/>
          <w:color w:val="auto"/>
          <w:sz w:val="24"/>
        </w:rPr>
        <w:t>参加本次询价活动。</w:t>
      </w:r>
    </w:p>
    <w:p>
      <w:pPr>
        <w:spacing w:line="400" w:lineRule="exact"/>
        <w:ind w:firstLine="480" w:firstLineChars="200"/>
        <w:rPr>
          <w:color w:val="auto"/>
        </w:rPr>
      </w:pPr>
      <w:r>
        <w:rPr>
          <w:rFonts w:hint="eastAsia" w:ascii="宋体" w:hAnsi="宋体"/>
          <w:color w:val="auto"/>
          <w:sz w:val="24"/>
        </w:rPr>
        <w:t>报价人参与询价时需提供如下资料：</w:t>
      </w:r>
    </w:p>
    <w:p>
      <w:pPr>
        <w:spacing w:line="400" w:lineRule="exact"/>
        <w:ind w:firstLine="480" w:firstLineChars="200"/>
        <w:rPr>
          <w:rFonts w:ascii="宋体" w:hAnsi="宋体"/>
          <w:color w:val="auto"/>
          <w:sz w:val="24"/>
        </w:rPr>
      </w:pPr>
      <w:r>
        <w:rPr>
          <w:rFonts w:hint="eastAsia" w:ascii="宋体" w:hAnsi="宋体"/>
          <w:color w:val="auto"/>
          <w:sz w:val="24"/>
        </w:rPr>
        <w:t>1、法人代表（持法人代表相关证明复印件）或其授权代理人（持授权书原件）</w:t>
      </w:r>
    </w:p>
    <w:p>
      <w:pPr>
        <w:spacing w:line="400" w:lineRule="exact"/>
        <w:ind w:firstLine="480" w:firstLineChars="200"/>
        <w:rPr>
          <w:rFonts w:ascii="宋体" w:hAnsi="宋体"/>
          <w:color w:val="auto"/>
          <w:sz w:val="24"/>
        </w:rPr>
      </w:pPr>
      <w:r>
        <w:rPr>
          <w:rFonts w:hint="eastAsia" w:ascii="宋体" w:hAnsi="宋体"/>
          <w:color w:val="auto"/>
          <w:sz w:val="24"/>
        </w:rPr>
        <w:t>2、经办人身份证复印件</w:t>
      </w:r>
    </w:p>
    <w:p>
      <w:pPr>
        <w:spacing w:line="400" w:lineRule="exact"/>
        <w:ind w:firstLine="480" w:firstLineChars="200"/>
        <w:rPr>
          <w:rFonts w:ascii="宋体" w:hAnsi="宋体"/>
          <w:color w:val="auto"/>
          <w:sz w:val="24"/>
        </w:rPr>
      </w:pPr>
      <w:r>
        <w:rPr>
          <w:rFonts w:hint="eastAsia" w:ascii="宋体" w:hAnsi="宋体"/>
          <w:color w:val="auto"/>
          <w:sz w:val="24"/>
        </w:rPr>
        <w:t>3、报价函</w:t>
      </w:r>
    </w:p>
    <w:p>
      <w:pPr>
        <w:spacing w:line="400" w:lineRule="exact"/>
        <w:ind w:firstLine="480" w:firstLineChars="200"/>
        <w:rPr>
          <w:rFonts w:ascii="宋体" w:hAnsi="宋体"/>
          <w:color w:val="auto"/>
          <w:sz w:val="24"/>
        </w:rPr>
      </w:pPr>
      <w:r>
        <w:rPr>
          <w:rFonts w:hint="eastAsia" w:ascii="宋体" w:hAnsi="宋体"/>
          <w:color w:val="auto"/>
          <w:sz w:val="24"/>
        </w:rPr>
        <w:t>4、信誉承诺表</w:t>
      </w:r>
    </w:p>
    <w:p>
      <w:pPr>
        <w:spacing w:line="400" w:lineRule="exact"/>
        <w:ind w:firstLine="480" w:firstLineChars="200"/>
        <w:rPr>
          <w:rFonts w:ascii="宋体" w:hAnsi="宋体"/>
          <w:color w:val="auto"/>
          <w:sz w:val="24"/>
        </w:rPr>
      </w:pPr>
      <w:r>
        <w:rPr>
          <w:rFonts w:hint="eastAsia" w:ascii="宋体" w:hAnsi="宋体"/>
          <w:color w:val="auto"/>
          <w:sz w:val="24"/>
        </w:rPr>
        <w:t>5、单位营业执照复印件</w:t>
      </w:r>
    </w:p>
    <w:p>
      <w:pPr>
        <w:spacing w:line="400" w:lineRule="exact"/>
        <w:ind w:firstLine="480" w:firstLineChars="200"/>
        <w:rPr>
          <w:rFonts w:ascii="宋体" w:hAnsi="宋体"/>
          <w:color w:val="auto"/>
          <w:sz w:val="24"/>
        </w:rPr>
      </w:pPr>
      <w:r>
        <w:rPr>
          <w:rFonts w:hint="eastAsia" w:ascii="宋体" w:hAnsi="宋体"/>
          <w:color w:val="auto"/>
          <w:sz w:val="24"/>
        </w:rPr>
        <w:t>6、单位道路运输经营许可证复印件</w:t>
      </w:r>
    </w:p>
    <w:p>
      <w:pPr>
        <w:spacing w:line="400" w:lineRule="exact"/>
        <w:ind w:firstLine="480" w:firstLineChars="200"/>
        <w:rPr>
          <w:color w:val="auto"/>
        </w:rPr>
      </w:pPr>
      <w:r>
        <w:rPr>
          <w:rFonts w:hint="eastAsia" w:ascii="宋体" w:hAnsi="宋体"/>
          <w:color w:val="auto"/>
          <w:sz w:val="24"/>
        </w:rPr>
        <w:t>7、业绩证明（合同复印件）</w:t>
      </w:r>
    </w:p>
    <w:p>
      <w:pPr>
        <w:spacing w:line="400" w:lineRule="exact"/>
        <w:ind w:firstLine="480" w:firstLineChars="200"/>
        <w:rPr>
          <w:rFonts w:ascii="宋体" w:hAnsi="宋体"/>
          <w:color w:val="auto"/>
          <w:sz w:val="24"/>
        </w:rPr>
      </w:pPr>
      <w:r>
        <w:rPr>
          <w:rFonts w:hint="eastAsia" w:ascii="宋体" w:hAnsi="宋体"/>
          <w:color w:val="auto"/>
          <w:sz w:val="24"/>
        </w:rPr>
        <w:t>8、询价文件要求的其它文件</w:t>
      </w:r>
    </w:p>
    <w:p>
      <w:pPr>
        <w:keepNext w:val="0"/>
        <w:keepLines w:val="0"/>
        <w:pageBreakBefore w:val="0"/>
        <w:kinsoku/>
        <w:wordWrap/>
        <w:overflowPunct/>
        <w:topLinePunct w:val="0"/>
        <w:autoSpaceDE w:val="0"/>
        <w:bidi w:val="0"/>
        <w:snapToGrid/>
        <w:spacing w:line="360" w:lineRule="auto"/>
        <w:ind w:firstLine="482" w:firstLineChars="200"/>
        <w:rPr>
          <w:rFonts w:ascii="宋体" w:hAnsi="宋体"/>
          <w:b/>
          <w:sz w:val="24"/>
        </w:rPr>
      </w:pPr>
      <w:r>
        <w:rPr>
          <w:rFonts w:hint="eastAsia" w:ascii="宋体" w:hAnsi="宋体"/>
          <w:b/>
          <w:sz w:val="24"/>
        </w:rPr>
        <w:t>以上资料均应逐页加盖单位公章并装订成册（一式叁份）、不得活页，并标明正副本一正二副（正本与副本内容不一致的，以正本为准）。</w:t>
      </w:r>
    </w:p>
    <w:p>
      <w:pPr>
        <w:spacing w:line="420" w:lineRule="exact"/>
        <w:ind w:firstLine="482" w:firstLineChars="200"/>
        <w:rPr>
          <w:rFonts w:hint="eastAsia" w:ascii="宋体" w:hAnsi="宋体"/>
          <w:color w:val="auto"/>
          <w:sz w:val="24"/>
          <w:highlight w:val="none"/>
        </w:rPr>
      </w:pPr>
      <w:r>
        <w:rPr>
          <w:rFonts w:hint="eastAsia" w:ascii="宋体" w:hAnsi="宋体"/>
          <w:b/>
          <w:color w:val="auto"/>
          <w:sz w:val="24"/>
          <w:highlight w:val="none"/>
          <w:lang w:val="en-US" w:eastAsia="zh-CN"/>
        </w:rPr>
        <w:t>九</w:t>
      </w:r>
      <w:r>
        <w:rPr>
          <w:rFonts w:hint="eastAsia" w:ascii="宋体" w:hAnsi="宋体"/>
          <w:b/>
          <w:color w:val="auto"/>
          <w:sz w:val="24"/>
          <w:highlight w:val="none"/>
        </w:rPr>
        <w:t>、公告媒介、采购文件获取时间及方式：</w:t>
      </w:r>
      <w:r>
        <w:rPr>
          <w:rFonts w:hint="eastAsia"/>
          <w:color w:val="auto"/>
          <w:sz w:val="24"/>
          <w:highlight w:val="none"/>
        </w:rPr>
        <w:t>有意向的报价人请于报价文件的递交截止时间前，自行在赣州交通控股集团有限公司官方网站（http://www.gzjtkgjt.com/）或江西省招标投标网（http://www.jxtb.org.cn/）查阅询价公告，在赣州交通控股集团有限公司官方网站（http://www.gzjtkgjt.com/）下载询价文件</w:t>
      </w:r>
      <w:r>
        <w:rPr>
          <w:rFonts w:hint="eastAsia"/>
          <w:color w:val="auto"/>
          <w:sz w:val="24"/>
          <w:highlight w:val="none"/>
          <w:lang w:eastAsia="zh-CN"/>
        </w:rPr>
        <w:t>，</w:t>
      </w:r>
      <w:r>
        <w:rPr>
          <w:rFonts w:hint="eastAsia"/>
          <w:color w:val="auto"/>
          <w:sz w:val="24"/>
          <w:highlight w:val="none"/>
          <w:lang w:val="en-US" w:eastAsia="zh-CN"/>
        </w:rPr>
        <w:t>本项目询价如有补遗，将于</w:t>
      </w:r>
      <w:r>
        <w:rPr>
          <w:rFonts w:hint="eastAsia"/>
          <w:color w:val="auto"/>
          <w:sz w:val="24"/>
          <w:highlight w:val="none"/>
        </w:rPr>
        <w:t>报价文件递交截止时间</w:t>
      </w:r>
      <w:r>
        <w:rPr>
          <w:rFonts w:hint="eastAsia"/>
          <w:color w:val="auto"/>
          <w:sz w:val="24"/>
          <w:highlight w:val="none"/>
          <w:lang w:val="en-US" w:eastAsia="zh-CN"/>
        </w:rPr>
        <w:t>前24小时在</w:t>
      </w:r>
      <w:r>
        <w:rPr>
          <w:rFonts w:hint="eastAsia"/>
          <w:color w:val="auto"/>
          <w:sz w:val="24"/>
          <w:highlight w:val="none"/>
        </w:rPr>
        <w:t>赣州交通控股集团有限公司官方网站（http://www.gzjtkgjt.com/）</w:t>
      </w:r>
      <w:r>
        <w:rPr>
          <w:rFonts w:hint="eastAsia"/>
          <w:color w:val="auto"/>
          <w:sz w:val="24"/>
          <w:highlight w:val="none"/>
          <w:lang w:val="en-US" w:eastAsia="zh-CN"/>
        </w:rPr>
        <w:t>发布，报价人应随时关注该网站，及时下载，询价人不再另行通知</w:t>
      </w:r>
      <w:r>
        <w:rPr>
          <w:rFonts w:ascii="宋体" w:hAnsi="宋体"/>
          <w:color w:val="auto"/>
          <w:sz w:val="24"/>
          <w:highlight w:val="none"/>
        </w:rPr>
        <w:t>。</w:t>
      </w:r>
    </w:p>
    <w:p>
      <w:pPr>
        <w:spacing w:line="420" w:lineRule="exact"/>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十</w:t>
      </w:r>
      <w:r>
        <w:rPr>
          <w:rFonts w:hint="eastAsia" w:ascii="宋体" w:hAnsi="宋体"/>
          <w:b/>
          <w:color w:val="auto"/>
          <w:sz w:val="24"/>
          <w:highlight w:val="none"/>
        </w:rPr>
        <w:t>、报价文件的密封和标识</w:t>
      </w:r>
    </w:p>
    <w:p>
      <w:pPr>
        <w:spacing w:line="420" w:lineRule="exact"/>
        <w:ind w:firstLine="480" w:firstLineChars="200"/>
        <w:outlineLvl w:val="1"/>
        <w:rPr>
          <w:rFonts w:hint="eastAsia" w:ascii="宋体" w:hAnsi="宋体"/>
          <w:color w:val="auto"/>
          <w:sz w:val="24"/>
          <w:highlight w:val="none"/>
        </w:rPr>
      </w:pPr>
      <w:r>
        <w:rPr>
          <w:rFonts w:hint="eastAsia" w:ascii="宋体" w:hAnsi="宋体"/>
          <w:color w:val="auto"/>
          <w:sz w:val="24"/>
          <w:highlight w:val="none"/>
        </w:rPr>
        <w:t>报价文件应密封包装。封套的封口处加盖报价人单位章或由报价人的法定代表人或其委托代理人签字。</w:t>
      </w:r>
    </w:p>
    <w:p>
      <w:pPr>
        <w:spacing w:line="420" w:lineRule="exact"/>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十一</w:t>
      </w:r>
      <w:r>
        <w:rPr>
          <w:rFonts w:hint="eastAsia" w:ascii="宋体" w:hAnsi="宋体"/>
          <w:b/>
          <w:color w:val="auto"/>
          <w:sz w:val="24"/>
          <w:highlight w:val="none"/>
        </w:rPr>
        <w:t>、报价文件的递交及相关事宜：</w:t>
      </w:r>
    </w:p>
    <w:p>
      <w:pPr>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报价文件的递交截止时间：2024年</w:t>
      </w:r>
      <w:r>
        <w:rPr>
          <w:rFonts w:hint="eastAsia" w:ascii="宋体" w:hAnsi="宋体"/>
          <w:color w:val="auto"/>
          <w:sz w:val="24"/>
          <w:highlight w:val="none"/>
          <w:lang w:val="en-US" w:eastAsia="zh-CN"/>
        </w:rPr>
        <w:t>9</w:t>
      </w:r>
      <w:r>
        <w:rPr>
          <w:rFonts w:hint="eastAsia" w:ascii="宋体" w:hAnsi="宋体"/>
          <w:color w:val="auto"/>
          <w:sz w:val="24"/>
          <w:highlight w:val="none"/>
        </w:rPr>
        <w:t>月</w:t>
      </w:r>
      <w:r>
        <w:rPr>
          <w:rFonts w:hint="eastAsia" w:ascii="宋体" w:hAnsi="宋体"/>
          <w:color w:val="auto"/>
          <w:sz w:val="24"/>
          <w:highlight w:val="none"/>
          <w:lang w:val="en-US" w:eastAsia="zh-CN"/>
        </w:rPr>
        <w:t>11</w:t>
      </w:r>
      <w:r>
        <w:rPr>
          <w:rFonts w:hint="eastAsia" w:ascii="宋体" w:hAnsi="宋体"/>
          <w:color w:val="auto"/>
          <w:sz w:val="24"/>
          <w:highlight w:val="none"/>
        </w:rPr>
        <w:t>日</w:t>
      </w:r>
      <w:r>
        <w:rPr>
          <w:rFonts w:hint="eastAsia" w:ascii="宋体" w:hAnsi="宋体"/>
          <w:color w:val="auto"/>
          <w:sz w:val="24"/>
          <w:highlight w:val="none"/>
          <w:lang w:val="en-US" w:eastAsia="zh-CN"/>
        </w:rPr>
        <w:t>10</w:t>
      </w:r>
      <w:r>
        <w:rPr>
          <w:rFonts w:hint="eastAsia" w:ascii="宋体" w:hAnsi="宋体"/>
          <w:color w:val="auto"/>
          <w:sz w:val="24"/>
          <w:highlight w:val="none"/>
        </w:rPr>
        <w:t>：00，递交地址：赣州市章贡区沙河镇赣州东收费站出口旁</w:t>
      </w:r>
      <w:r>
        <w:rPr>
          <w:color w:val="auto"/>
          <w:sz w:val="24"/>
          <w:highlight w:val="none"/>
        </w:rPr>
        <w:t>赣州交通控股集团有限公司</w:t>
      </w:r>
      <w:r>
        <w:rPr>
          <w:rFonts w:hint="eastAsia"/>
          <w:color w:val="auto"/>
          <w:sz w:val="24"/>
          <w:highlight w:val="none"/>
          <w:lang w:val="en-US" w:eastAsia="zh-CN"/>
        </w:rPr>
        <w:t>2</w:t>
      </w:r>
      <w:r>
        <w:rPr>
          <w:color w:val="auto"/>
          <w:sz w:val="24"/>
          <w:highlight w:val="none"/>
        </w:rPr>
        <w:t>楼</w:t>
      </w:r>
      <w:r>
        <w:rPr>
          <w:rFonts w:hint="eastAsia"/>
          <w:color w:val="auto"/>
          <w:sz w:val="24"/>
          <w:highlight w:val="none"/>
          <w:lang w:val="en-US" w:eastAsia="zh-CN"/>
        </w:rPr>
        <w:t>开标室</w:t>
      </w:r>
      <w:r>
        <w:rPr>
          <w:rFonts w:hint="eastAsia" w:ascii="宋体" w:hAnsi="宋体"/>
          <w:color w:val="auto"/>
          <w:sz w:val="24"/>
          <w:highlight w:val="none"/>
        </w:rPr>
        <w:t>。</w:t>
      </w:r>
      <w:r>
        <w:rPr>
          <w:rFonts w:hint="eastAsia"/>
          <w:color w:val="auto"/>
          <w:sz w:val="24"/>
          <w:highlight w:val="none"/>
          <w:lang w:eastAsia="zh-CN"/>
        </w:rPr>
        <w:t>询价</w:t>
      </w:r>
      <w:r>
        <w:rPr>
          <w:rFonts w:hint="eastAsia" w:ascii="宋体" w:hAnsi="宋体"/>
          <w:color w:val="auto"/>
          <w:sz w:val="24"/>
          <w:highlight w:val="none"/>
        </w:rPr>
        <w:t>人将拒绝接受在递交截止时间后送达的报价函。</w:t>
      </w:r>
    </w:p>
    <w:p>
      <w:pPr>
        <w:spacing w:line="420" w:lineRule="exact"/>
        <w:ind w:firstLine="482" w:firstLineChars="200"/>
        <w:rPr>
          <w:rFonts w:hint="eastAsia" w:eastAsia="宋体"/>
          <w:b/>
          <w:bCs/>
          <w:color w:val="auto"/>
          <w:lang w:val="en-US" w:eastAsia="zh-CN"/>
        </w:rPr>
      </w:pPr>
      <w:r>
        <w:rPr>
          <w:rFonts w:hint="eastAsia" w:ascii="宋体" w:hAnsi="宋体"/>
          <w:b/>
          <w:bCs/>
          <w:color w:val="auto"/>
          <w:sz w:val="24"/>
        </w:rPr>
        <w:t>请各报价人</w:t>
      </w:r>
      <w:r>
        <w:rPr>
          <w:rFonts w:hint="eastAsia" w:ascii="宋体" w:hAnsi="宋体"/>
          <w:b/>
          <w:bCs/>
          <w:color w:val="auto"/>
          <w:sz w:val="24"/>
          <w:lang w:val="en-US" w:eastAsia="zh-CN"/>
        </w:rPr>
        <w:t>委派授权代理人</w:t>
      </w:r>
      <w:r>
        <w:rPr>
          <w:rFonts w:hint="eastAsia" w:ascii="宋体" w:hAnsi="宋体"/>
          <w:b/>
          <w:bCs/>
          <w:color w:val="auto"/>
          <w:sz w:val="24"/>
        </w:rPr>
        <w:t>携带身份证原件及授权书原件</w:t>
      </w:r>
      <w:r>
        <w:rPr>
          <w:rFonts w:hint="eastAsia" w:ascii="宋体" w:hAnsi="宋体"/>
          <w:b/>
          <w:bCs/>
          <w:color w:val="auto"/>
          <w:sz w:val="24"/>
          <w:lang w:eastAsia="zh-CN"/>
        </w:rPr>
        <w:t>，</w:t>
      </w:r>
      <w:r>
        <w:rPr>
          <w:rFonts w:hint="eastAsia" w:ascii="宋体" w:hAnsi="宋体"/>
          <w:b/>
          <w:bCs/>
          <w:color w:val="auto"/>
          <w:sz w:val="24"/>
          <w:lang w:val="en-US" w:eastAsia="zh-CN"/>
        </w:rPr>
        <w:t>递交</w:t>
      </w:r>
      <w:r>
        <w:rPr>
          <w:rFonts w:hint="eastAsia" w:ascii="宋体" w:hAnsi="宋体"/>
          <w:b/>
          <w:bCs/>
          <w:color w:val="auto"/>
          <w:sz w:val="24"/>
          <w:highlight w:val="none"/>
        </w:rPr>
        <w:t>报价文件</w:t>
      </w:r>
      <w:r>
        <w:rPr>
          <w:rFonts w:hint="eastAsia" w:ascii="宋体" w:hAnsi="宋体"/>
          <w:b/>
          <w:bCs/>
          <w:color w:val="auto"/>
          <w:sz w:val="24"/>
          <w:highlight w:val="none"/>
          <w:lang w:val="en-US" w:eastAsia="zh-CN"/>
        </w:rPr>
        <w:t>及</w:t>
      </w:r>
      <w:r>
        <w:rPr>
          <w:rFonts w:hint="eastAsia" w:ascii="宋体" w:hAnsi="宋体"/>
          <w:b/>
          <w:bCs/>
          <w:color w:val="auto"/>
          <w:sz w:val="24"/>
          <w:highlight w:val="none"/>
        </w:rPr>
        <w:t>参加本次询价活动</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询价人将对各报价人委派的授权代理人进行现场身份核查，如报价人递交报价文件时未能提供上述资料，</w:t>
      </w:r>
      <w:r>
        <w:rPr>
          <w:rFonts w:hint="eastAsia"/>
          <w:b/>
          <w:bCs/>
          <w:color w:val="auto"/>
          <w:sz w:val="24"/>
          <w:highlight w:val="none"/>
          <w:lang w:eastAsia="zh-CN"/>
        </w:rPr>
        <w:t>询价</w:t>
      </w:r>
      <w:r>
        <w:rPr>
          <w:rFonts w:hint="eastAsia" w:ascii="宋体" w:hAnsi="宋体"/>
          <w:b/>
          <w:bCs/>
          <w:color w:val="auto"/>
          <w:sz w:val="24"/>
          <w:highlight w:val="none"/>
        </w:rPr>
        <w:t>人将</w:t>
      </w:r>
      <w:r>
        <w:rPr>
          <w:rFonts w:hint="eastAsia" w:ascii="宋体" w:hAnsi="宋体"/>
          <w:b/>
          <w:bCs/>
          <w:color w:val="auto"/>
          <w:sz w:val="24"/>
          <w:highlight w:val="none"/>
          <w:lang w:val="en-US" w:eastAsia="zh-CN"/>
        </w:rPr>
        <w:t>对其报价文件予以拒收</w:t>
      </w:r>
      <w:r>
        <w:rPr>
          <w:rFonts w:hint="eastAsia" w:ascii="宋体" w:hAnsi="宋体"/>
          <w:b/>
          <w:bCs/>
          <w:color w:val="auto"/>
          <w:sz w:val="24"/>
          <w:highlight w:val="none"/>
          <w:lang w:eastAsia="zh-CN"/>
        </w:rPr>
        <w:t>。</w:t>
      </w:r>
    </w:p>
    <w:p>
      <w:pPr>
        <w:spacing w:line="420" w:lineRule="exact"/>
        <w:ind w:firstLine="482" w:firstLineChars="200"/>
        <w:rPr>
          <w:rFonts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val="en-US" w:eastAsia="zh-CN"/>
        </w:rPr>
        <w:t>二</w:t>
      </w:r>
      <w:r>
        <w:rPr>
          <w:rFonts w:hint="eastAsia" w:ascii="宋体" w:hAnsi="宋体"/>
          <w:b/>
          <w:color w:val="auto"/>
          <w:sz w:val="24"/>
          <w:highlight w:val="none"/>
        </w:rPr>
        <w:t>、报价文件的开启程序</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1、公布在截止时间前递交报价文件的报价人数量；</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2、报价人代表现场检查报价文件密封情况；</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3、开启报价文件，公布报价人名称、报价等，结束后报价人及采购小组签字确认。</w:t>
      </w:r>
    </w:p>
    <w:p>
      <w:pPr>
        <w:spacing w:line="420" w:lineRule="exact"/>
        <w:ind w:firstLine="482" w:firstLineChars="200"/>
        <w:rPr>
          <w:rFonts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val="en-US" w:eastAsia="zh-CN"/>
        </w:rPr>
        <w:t>三</w:t>
      </w:r>
      <w:r>
        <w:rPr>
          <w:rFonts w:hint="eastAsia" w:ascii="宋体" w:hAnsi="宋体"/>
          <w:b/>
          <w:color w:val="auto"/>
          <w:sz w:val="24"/>
          <w:highlight w:val="none"/>
        </w:rPr>
        <w:t>、公示</w:t>
      </w:r>
    </w:p>
    <w:p>
      <w:pPr>
        <w:spacing w:line="420" w:lineRule="exact"/>
        <w:ind w:firstLine="480" w:firstLineChars="200"/>
        <w:rPr>
          <w:rFonts w:ascii="宋体" w:hAnsi="宋体"/>
          <w:color w:val="auto"/>
          <w:sz w:val="24"/>
          <w:highlight w:val="none"/>
        </w:rPr>
      </w:pPr>
      <w:r>
        <w:rPr>
          <w:color w:val="auto"/>
          <w:sz w:val="24"/>
          <w:highlight w:val="none"/>
        </w:rPr>
        <w:t>询价结束后3日内，在江西省招标投标网（http://www.jxtb.org.cn）、赣州交通控股集团有限公司网站（http://www.gzjtkgjt.com）上对候选人进行公示</w:t>
      </w:r>
      <w:r>
        <w:rPr>
          <w:rFonts w:hint="eastAsia" w:ascii="宋体" w:hAnsi="宋体"/>
          <w:color w:val="auto"/>
          <w:sz w:val="24"/>
          <w:highlight w:val="none"/>
        </w:rPr>
        <w:t>。</w:t>
      </w:r>
    </w:p>
    <w:p>
      <w:pPr>
        <w:spacing w:line="420" w:lineRule="exact"/>
        <w:ind w:firstLine="482" w:firstLineChars="200"/>
        <w:rPr>
          <w:rFonts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val="en-US" w:eastAsia="zh-CN"/>
        </w:rPr>
        <w:t>四</w:t>
      </w:r>
      <w:r>
        <w:rPr>
          <w:rFonts w:hint="eastAsia" w:ascii="宋体" w:hAnsi="宋体"/>
          <w:b/>
          <w:color w:val="auto"/>
          <w:sz w:val="24"/>
          <w:highlight w:val="none"/>
        </w:rPr>
        <w:t>、联系方式</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询价人</w:t>
      </w:r>
      <w:r>
        <w:rPr>
          <w:rFonts w:hint="eastAsia" w:ascii="宋体" w:hAnsi="宋体"/>
          <w:color w:val="auto"/>
          <w:sz w:val="24"/>
          <w:highlight w:val="none"/>
        </w:rPr>
        <w:t>名称：赣州高速公路有限责任公司</w:t>
      </w:r>
    </w:p>
    <w:p>
      <w:pPr>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询价人</w:t>
      </w:r>
      <w:r>
        <w:rPr>
          <w:rFonts w:hint="eastAsia" w:ascii="宋体" w:hAnsi="宋体"/>
          <w:color w:val="auto"/>
          <w:sz w:val="24"/>
          <w:highlight w:val="none"/>
        </w:rPr>
        <w:t>地址：江西省赣州市章贡区沙河镇赣州东收费站出口右侧（赣州交通控股集团有限公司）</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 xml:space="preserve">联系人：杨先生 </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电  话：0797-</w:t>
      </w:r>
      <w:r>
        <w:rPr>
          <w:rFonts w:hint="eastAsia" w:ascii="宋体" w:hAnsi="宋体" w:cs="宋体"/>
          <w:bCs/>
          <w:color w:val="auto"/>
          <w:sz w:val="24"/>
          <w:highlight w:val="none"/>
        </w:rPr>
        <w:t>8289692</w:t>
      </w:r>
      <w:r>
        <w:rPr>
          <w:rFonts w:hint="eastAsia" w:ascii="宋体" w:hAnsi="宋体"/>
          <w:color w:val="auto"/>
          <w:sz w:val="24"/>
          <w:highlight w:val="none"/>
        </w:rPr>
        <w:t xml:space="preserve"> </w:t>
      </w:r>
    </w:p>
    <w:p>
      <w:pPr>
        <w:spacing w:line="312" w:lineRule="auto"/>
        <w:ind w:firstLine="482" w:firstLineChars="200"/>
        <w:rPr>
          <w:rFonts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val="en-US" w:eastAsia="zh-CN"/>
        </w:rPr>
        <w:t>五</w:t>
      </w:r>
      <w:r>
        <w:rPr>
          <w:rFonts w:hint="eastAsia" w:ascii="宋体" w:hAnsi="宋体"/>
          <w:b/>
          <w:color w:val="auto"/>
          <w:sz w:val="24"/>
          <w:highlight w:val="none"/>
        </w:rPr>
        <w:t>、监督部门及联系方式</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监督部门：赣州交通控股集团有限公司风控审计部</w:t>
      </w:r>
    </w:p>
    <w:p>
      <w:pPr>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地    址：江西省赣州市章贡区沙河镇赣州东收费站出口右侧（赣州交通控股集团有限公司）</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电    话：0797-8289879</w:t>
      </w:r>
    </w:p>
    <w:p>
      <w:pPr>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邮政编码：341000</w:t>
      </w:r>
    </w:p>
    <w:p>
      <w:pPr>
        <w:spacing w:line="420" w:lineRule="exact"/>
        <w:rPr>
          <w:rFonts w:ascii="宋体" w:hAnsi="宋体"/>
          <w:color w:val="auto"/>
          <w:sz w:val="24"/>
          <w:highlight w:val="none"/>
        </w:rPr>
      </w:pPr>
    </w:p>
    <w:p>
      <w:pPr>
        <w:spacing w:line="420" w:lineRule="exact"/>
        <w:ind w:firstLine="4536" w:firstLineChars="1890"/>
        <w:jc w:val="center"/>
        <w:rPr>
          <w:rFonts w:ascii="宋体" w:hAnsi="宋体"/>
          <w:color w:val="auto"/>
          <w:sz w:val="24"/>
          <w:highlight w:val="none"/>
        </w:rPr>
      </w:pPr>
      <w:r>
        <w:rPr>
          <w:rFonts w:hint="eastAsia" w:ascii="宋体" w:hAnsi="宋体"/>
          <w:color w:val="auto"/>
          <w:sz w:val="24"/>
          <w:highlight w:val="none"/>
        </w:rPr>
        <w:t>赣州高速公路有限责任公司</w:t>
      </w:r>
    </w:p>
    <w:p>
      <w:pPr>
        <w:spacing w:line="420" w:lineRule="exact"/>
        <w:ind w:firstLine="4536" w:firstLineChars="1890"/>
        <w:jc w:val="center"/>
        <w:rPr>
          <w:rFonts w:ascii="宋体" w:hAnsi="宋体"/>
          <w:color w:val="auto"/>
          <w:sz w:val="24"/>
          <w:highlight w:val="none"/>
        </w:rPr>
      </w:pPr>
      <w:r>
        <w:rPr>
          <w:rFonts w:hint="eastAsia" w:ascii="宋体" w:hAnsi="宋体"/>
          <w:color w:val="auto"/>
          <w:sz w:val="24"/>
          <w:highlight w:val="none"/>
        </w:rPr>
        <w:t>2024年</w:t>
      </w:r>
      <w:r>
        <w:rPr>
          <w:rFonts w:hint="eastAsia" w:ascii="宋体" w:hAnsi="宋体"/>
          <w:color w:val="auto"/>
          <w:sz w:val="24"/>
          <w:highlight w:val="none"/>
          <w:lang w:val="en-US" w:eastAsia="zh-CN"/>
        </w:rPr>
        <w:t>9</w:t>
      </w:r>
      <w:r>
        <w:rPr>
          <w:rFonts w:hint="eastAsia" w:ascii="宋体" w:hAnsi="宋体"/>
          <w:color w:val="auto"/>
          <w:sz w:val="24"/>
          <w:highlight w:val="none"/>
        </w:rPr>
        <w:t>月</w:t>
      </w:r>
      <w:r>
        <w:rPr>
          <w:rFonts w:hint="eastAsia" w:ascii="宋体" w:hAnsi="宋体"/>
          <w:color w:val="auto"/>
          <w:sz w:val="24"/>
          <w:highlight w:val="none"/>
          <w:lang w:val="en-US" w:eastAsia="zh-CN"/>
        </w:rPr>
        <w:t>5</w:t>
      </w:r>
      <w:r>
        <w:rPr>
          <w:rFonts w:hint="eastAsia" w:ascii="宋体" w:hAnsi="宋体"/>
          <w:color w:val="auto"/>
          <w:sz w:val="24"/>
          <w:highlight w:val="none"/>
        </w:rPr>
        <w:t>日</w:t>
      </w:r>
    </w:p>
    <w:p>
      <w:pPr>
        <w:spacing w:line="420" w:lineRule="exact"/>
        <w:jc w:val="center"/>
        <w:rPr>
          <w:rFonts w:hint="eastAsia"/>
          <w:b/>
          <w:color w:val="auto"/>
          <w:sz w:val="36"/>
          <w:szCs w:val="36"/>
          <w:highlight w:val="none"/>
        </w:rPr>
      </w:pPr>
    </w:p>
    <w:p>
      <w:pPr>
        <w:spacing w:line="420" w:lineRule="exact"/>
        <w:jc w:val="center"/>
        <w:rPr>
          <w:rFonts w:hint="eastAsia"/>
          <w:b/>
          <w:color w:val="auto"/>
          <w:sz w:val="36"/>
          <w:szCs w:val="36"/>
          <w:highlight w:val="none"/>
        </w:rPr>
      </w:pPr>
    </w:p>
    <w:p>
      <w:pPr>
        <w:spacing w:line="420" w:lineRule="exact"/>
        <w:jc w:val="center"/>
        <w:rPr>
          <w:rFonts w:hint="eastAsia"/>
          <w:b/>
          <w:color w:val="auto"/>
          <w:sz w:val="36"/>
          <w:szCs w:val="36"/>
          <w:highlight w:val="none"/>
        </w:rPr>
      </w:pPr>
    </w:p>
    <w:p>
      <w:pPr>
        <w:spacing w:line="420" w:lineRule="exact"/>
        <w:jc w:val="center"/>
        <w:rPr>
          <w:rFonts w:hint="eastAsia"/>
          <w:b/>
          <w:color w:val="auto"/>
          <w:sz w:val="36"/>
          <w:szCs w:val="36"/>
          <w:highlight w:val="none"/>
        </w:rPr>
      </w:pPr>
    </w:p>
    <w:p>
      <w:pPr>
        <w:spacing w:line="420" w:lineRule="exact"/>
        <w:jc w:val="center"/>
        <w:rPr>
          <w:rFonts w:hint="eastAsia"/>
          <w:b/>
          <w:color w:val="auto"/>
          <w:sz w:val="36"/>
          <w:szCs w:val="36"/>
          <w:highlight w:val="none"/>
        </w:rPr>
      </w:pPr>
    </w:p>
    <w:p>
      <w:pPr>
        <w:spacing w:line="420" w:lineRule="exact"/>
        <w:jc w:val="center"/>
        <w:rPr>
          <w:rFonts w:hint="eastAsia"/>
          <w:b/>
          <w:color w:val="auto"/>
          <w:sz w:val="36"/>
          <w:szCs w:val="36"/>
          <w:highlight w:val="none"/>
        </w:rPr>
      </w:pPr>
    </w:p>
    <w:p>
      <w:pPr>
        <w:spacing w:line="420" w:lineRule="exact"/>
        <w:jc w:val="center"/>
        <w:rPr>
          <w:rFonts w:hint="eastAsia"/>
          <w:b/>
          <w:color w:val="auto"/>
          <w:sz w:val="36"/>
          <w:szCs w:val="36"/>
          <w:highlight w:val="none"/>
        </w:rPr>
      </w:pPr>
    </w:p>
    <w:p>
      <w:pPr>
        <w:spacing w:line="420" w:lineRule="exact"/>
        <w:jc w:val="center"/>
        <w:rPr>
          <w:rFonts w:hint="eastAsia"/>
          <w:b/>
          <w:color w:val="auto"/>
          <w:sz w:val="36"/>
          <w:szCs w:val="36"/>
          <w:highlight w:val="none"/>
        </w:rPr>
      </w:pPr>
    </w:p>
    <w:p>
      <w:pPr>
        <w:spacing w:line="420" w:lineRule="exact"/>
        <w:jc w:val="center"/>
        <w:rPr>
          <w:rFonts w:hint="eastAsia"/>
          <w:b/>
          <w:color w:val="auto"/>
          <w:sz w:val="36"/>
          <w:szCs w:val="36"/>
          <w:highlight w:val="none"/>
        </w:rPr>
      </w:pPr>
    </w:p>
    <w:p>
      <w:pPr>
        <w:spacing w:line="420" w:lineRule="exact"/>
        <w:jc w:val="center"/>
        <w:rPr>
          <w:rFonts w:hint="eastAsia"/>
          <w:b/>
          <w:color w:val="auto"/>
          <w:sz w:val="36"/>
          <w:szCs w:val="36"/>
          <w:highlight w:val="none"/>
        </w:rPr>
      </w:pPr>
    </w:p>
    <w:p>
      <w:pPr>
        <w:spacing w:line="420" w:lineRule="exact"/>
        <w:jc w:val="center"/>
        <w:rPr>
          <w:rFonts w:hint="eastAsia"/>
          <w:b/>
          <w:color w:val="auto"/>
          <w:sz w:val="36"/>
          <w:szCs w:val="36"/>
          <w:highlight w:val="none"/>
        </w:rPr>
      </w:pPr>
      <w:r>
        <w:rPr>
          <w:rFonts w:hint="eastAsia"/>
          <w:b/>
          <w:color w:val="auto"/>
          <w:sz w:val="36"/>
          <w:szCs w:val="36"/>
          <w:highlight w:val="none"/>
        </w:rPr>
        <w:t>第二章</w:t>
      </w:r>
    </w:p>
    <w:p>
      <w:pPr>
        <w:spacing w:line="420" w:lineRule="exact"/>
        <w:jc w:val="center"/>
        <w:rPr>
          <w:b/>
          <w:color w:val="auto"/>
          <w:sz w:val="36"/>
          <w:szCs w:val="36"/>
          <w:highlight w:val="none"/>
        </w:rPr>
      </w:pPr>
      <w:r>
        <w:rPr>
          <w:rFonts w:hint="eastAsia"/>
          <w:b/>
          <w:color w:val="auto"/>
          <w:sz w:val="36"/>
          <w:szCs w:val="36"/>
          <w:highlight w:val="none"/>
        </w:rPr>
        <w:t>评审办法</w:t>
      </w:r>
    </w:p>
    <w:p>
      <w:pPr>
        <w:spacing w:line="420" w:lineRule="exact"/>
        <w:ind w:firstLine="482" w:firstLineChars="200"/>
        <w:rPr>
          <w:rFonts w:ascii="宋体" w:hAnsi="宋体"/>
          <w:b/>
          <w:color w:val="auto"/>
          <w:sz w:val="24"/>
          <w:highlight w:val="none"/>
        </w:rPr>
      </w:pPr>
      <w:r>
        <w:rPr>
          <w:rFonts w:hint="eastAsia" w:ascii="宋体" w:hAnsi="宋体"/>
          <w:b/>
          <w:color w:val="auto"/>
          <w:sz w:val="24"/>
          <w:highlight w:val="none"/>
        </w:rPr>
        <w:t>一、评审方法</w:t>
      </w:r>
    </w:p>
    <w:p>
      <w:pPr>
        <w:spacing w:line="420" w:lineRule="exact"/>
        <w:ind w:firstLine="480" w:firstLineChars="200"/>
        <w:rPr>
          <w:rFonts w:ascii="宋体" w:hAnsi="宋体"/>
          <w:color w:val="auto"/>
          <w:sz w:val="24"/>
          <w:highlight w:val="none"/>
        </w:rPr>
      </w:pPr>
      <w:r>
        <w:rPr>
          <w:rFonts w:ascii="宋体" w:hAnsi="宋体"/>
          <w:color w:val="auto"/>
          <w:sz w:val="24"/>
          <w:highlight w:val="none"/>
        </w:rPr>
        <w:t>本次询价采用经评审的二次报价最低价法。</w:t>
      </w:r>
    </w:p>
    <w:p>
      <w:pPr>
        <w:spacing w:line="420" w:lineRule="exact"/>
        <w:ind w:firstLine="482" w:firstLineChars="200"/>
        <w:rPr>
          <w:rFonts w:ascii="宋体" w:hAnsi="宋体"/>
          <w:b/>
          <w:color w:val="auto"/>
          <w:sz w:val="24"/>
          <w:highlight w:val="none"/>
        </w:rPr>
      </w:pPr>
      <w:r>
        <w:rPr>
          <w:rFonts w:hint="eastAsia" w:ascii="宋体" w:hAnsi="宋体"/>
          <w:b/>
          <w:color w:val="auto"/>
          <w:sz w:val="24"/>
          <w:highlight w:val="none"/>
        </w:rPr>
        <w:t>二、形式、响应及资格评审标准</w:t>
      </w:r>
    </w:p>
    <w:p>
      <w:pPr>
        <w:spacing w:line="420" w:lineRule="exact"/>
        <w:ind w:firstLine="480" w:firstLineChars="200"/>
        <w:rPr>
          <w:rFonts w:ascii="宋体" w:hAnsi="宋体"/>
          <w:color w:val="auto"/>
          <w:sz w:val="24"/>
          <w:highlight w:val="none"/>
        </w:rPr>
      </w:pPr>
      <w:r>
        <w:rPr>
          <w:rFonts w:ascii="宋体" w:hAnsi="宋体"/>
          <w:color w:val="auto"/>
          <w:sz w:val="24"/>
          <w:highlight w:val="none"/>
        </w:rPr>
        <w:t>1、报价文件按询价文件规定的格式、内容填写，字迹清晰可辨；</w:t>
      </w:r>
    </w:p>
    <w:p>
      <w:pPr>
        <w:spacing w:line="420" w:lineRule="exact"/>
        <w:ind w:firstLine="480" w:firstLineChars="200"/>
        <w:rPr>
          <w:rFonts w:ascii="宋体" w:hAnsi="宋体"/>
          <w:color w:val="auto"/>
          <w:sz w:val="24"/>
          <w:highlight w:val="none"/>
        </w:rPr>
      </w:pPr>
      <w:r>
        <w:rPr>
          <w:rFonts w:ascii="宋体" w:hAnsi="宋体"/>
          <w:color w:val="auto"/>
          <w:sz w:val="24"/>
          <w:highlight w:val="none"/>
        </w:rPr>
        <w:t>2、报价文件上法定代表人</w:t>
      </w:r>
      <w:r>
        <w:rPr>
          <w:rFonts w:hint="eastAsia" w:ascii="宋体" w:hAnsi="宋体"/>
          <w:color w:val="auto"/>
          <w:sz w:val="24"/>
          <w:highlight w:val="none"/>
        </w:rPr>
        <w:t>、单位负责人</w:t>
      </w:r>
      <w:r>
        <w:rPr>
          <w:rFonts w:ascii="宋体" w:hAnsi="宋体"/>
          <w:color w:val="auto"/>
          <w:sz w:val="24"/>
          <w:highlight w:val="none"/>
        </w:rPr>
        <w:t>或其委托代理人的签字、单位章盖章齐全</w:t>
      </w:r>
      <w:r>
        <w:rPr>
          <w:rFonts w:hint="eastAsia" w:ascii="宋体" w:hAnsi="宋体"/>
          <w:color w:val="auto"/>
          <w:sz w:val="24"/>
          <w:highlight w:val="none"/>
        </w:rPr>
        <w:t>，</w:t>
      </w:r>
      <w:r>
        <w:rPr>
          <w:rFonts w:ascii="宋体" w:hAnsi="宋体"/>
          <w:color w:val="auto"/>
          <w:sz w:val="24"/>
          <w:highlight w:val="none"/>
        </w:rPr>
        <w:t>符合询价文件规定；</w:t>
      </w:r>
    </w:p>
    <w:p>
      <w:pPr>
        <w:spacing w:line="420" w:lineRule="exact"/>
        <w:ind w:firstLine="480" w:firstLineChars="200"/>
        <w:rPr>
          <w:rFonts w:ascii="宋体" w:hAnsi="宋体"/>
          <w:color w:val="auto"/>
          <w:sz w:val="24"/>
          <w:highlight w:val="none"/>
        </w:rPr>
      </w:pPr>
      <w:r>
        <w:rPr>
          <w:rFonts w:ascii="宋体" w:hAnsi="宋体"/>
          <w:color w:val="auto"/>
          <w:sz w:val="24"/>
          <w:highlight w:val="none"/>
        </w:rPr>
        <w:t>3、报价文件对询价文件的实质性要求和条件作出响应；</w:t>
      </w:r>
    </w:p>
    <w:p>
      <w:pPr>
        <w:spacing w:line="420" w:lineRule="exact"/>
        <w:ind w:firstLine="480" w:firstLineChars="200"/>
        <w:rPr>
          <w:rFonts w:ascii="宋体" w:hAnsi="宋体"/>
          <w:color w:val="auto"/>
          <w:sz w:val="24"/>
          <w:highlight w:val="none"/>
        </w:rPr>
      </w:pPr>
      <w:r>
        <w:rPr>
          <w:rFonts w:ascii="宋体" w:hAnsi="宋体"/>
          <w:color w:val="auto"/>
          <w:sz w:val="24"/>
          <w:highlight w:val="none"/>
        </w:rPr>
        <w:t>4、权利义务符合询价文件规定；</w:t>
      </w:r>
    </w:p>
    <w:p>
      <w:pPr>
        <w:spacing w:line="420" w:lineRule="exact"/>
        <w:ind w:firstLine="480" w:firstLineChars="200"/>
        <w:rPr>
          <w:rFonts w:ascii="宋体" w:hAnsi="宋体"/>
          <w:color w:val="auto"/>
          <w:sz w:val="24"/>
          <w:highlight w:val="none"/>
        </w:rPr>
      </w:pPr>
      <w:r>
        <w:rPr>
          <w:rFonts w:ascii="宋体" w:hAnsi="宋体"/>
          <w:color w:val="auto"/>
          <w:sz w:val="24"/>
          <w:highlight w:val="none"/>
        </w:rPr>
        <w:t>5、</w:t>
      </w:r>
      <w:r>
        <w:rPr>
          <w:color w:val="auto"/>
          <w:sz w:val="24"/>
          <w:highlight w:val="none"/>
        </w:rPr>
        <w:t>营业执照、</w:t>
      </w:r>
      <w:r>
        <w:rPr>
          <w:rFonts w:hint="eastAsia"/>
          <w:color w:val="auto"/>
          <w:sz w:val="24"/>
          <w:highlight w:val="none"/>
        </w:rPr>
        <w:t>业绩</w:t>
      </w:r>
      <w:r>
        <w:rPr>
          <w:color w:val="auto"/>
          <w:sz w:val="24"/>
          <w:highlight w:val="none"/>
        </w:rPr>
        <w:t>等资格条件符合</w:t>
      </w:r>
      <w:r>
        <w:rPr>
          <w:rFonts w:hint="eastAsia"/>
          <w:color w:val="auto"/>
          <w:sz w:val="24"/>
          <w:highlight w:val="none"/>
          <w:lang w:val="en-US" w:eastAsia="zh-CN"/>
        </w:rPr>
        <w:t>询价</w:t>
      </w:r>
      <w:r>
        <w:rPr>
          <w:color w:val="auto"/>
          <w:sz w:val="24"/>
          <w:highlight w:val="none"/>
        </w:rPr>
        <w:t>文件规定</w:t>
      </w:r>
      <w:r>
        <w:rPr>
          <w:rFonts w:ascii="宋体" w:hAnsi="宋体"/>
          <w:color w:val="auto"/>
          <w:sz w:val="24"/>
          <w:highlight w:val="none"/>
        </w:rPr>
        <w:t>；</w:t>
      </w:r>
    </w:p>
    <w:p>
      <w:pPr>
        <w:spacing w:line="420" w:lineRule="exact"/>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7、信誉符合</w:t>
      </w:r>
      <w:r>
        <w:rPr>
          <w:rFonts w:hint="eastAsia"/>
          <w:color w:val="auto"/>
          <w:sz w:val="24"/>
          <w:highlight w:val="none"/>
          <w:lang w:val="en-US" w:eastAsia="zh-CN"/>
        </w:rPr>
        <w:t>询价</w:t>
      </w:r>
      <w:r>
        <w:rPr>
          <w:rFonts w:ascii="宋体" w:hAnsi="宋体"/>
          <w:color w:val="auto"/>
          <w:sz w:val="24"/>
          <w:highlight w:val="none"/>
        </w:rPr>
        <w:t>文件规定</w:t>
      </w:r>
      <w:r>
        <w:rPr>
          <w:rFonts w:hint="eastAsia" w:ascii="宋体" w:hAnsi="宋体"/>
          <w:color w:val="auto"/>
          <w:sz w:val="24"/>
          <w:highlight w:val="none"/>
          <w:lang w:eastAsia="zh-CN"/>
        </w:rPr>
        <w:t>；</w:t>
      </w:r>
    </w:p>
    <w:p>
      <w:pPr>
        <w:spacing w:line="420" w:lineRule="exact"/>
        <w:ind w:firstLine="480" w:firstLineChars="200"/>
        <w:rPr>
          <w:rFonts w:hint="eastAsia"/>
          <w:color w:val="auto"/>
          <w:sz w:val="24"/>
          <w:highlight w:val="none"/>
          <w:lang w:val="en-US" w:eastAsia="zh-CN"/>
        </w:rPr>
      </w:pPr>
      <w:r>
        <w:rPr>
          <w:rFonts w:hint="eastAsia" w:ascii="宋体" w:hAnsi="宋体"/>
          <w:color w:val="auto"/>
          <w:sz w:val="24"/>
          <w:highlight w:val="none"/>
          <w:lang w:val="en-US" w:eastAsia="zh-CN"/>
        </w:rPr>
        <w:t>8、</w:t>
      </w:r>
      <w:r>
        <w:rPr>
          <w:rFonts w:hint="eastAsia"/>
          <w:color w:val="auto"/>
          <w:sz w:val="24"/>
          <w:highlight w:val="none"/>
          <w:lang w:val="en-US" w:eastAsia="zh-CN"/>
        </w:rPr>
        <w:t>其他资料符合询价文件规定。</w:t>
      </w:r>
    </w:p>
    <w:p>
      <w:pPr>
        <w:spacing w:line="420" w:lineRule="exact"/>
        <w:ind w:firstLine="482" w:firstLineChars="200"/>
        <w:rPr>
          <w:rFonts w:ascii="宋体" w:hAnsi="宋体"/>
          <w:b/>
          <w:color w:val="auto"/>
          <w:sz w:val="24"/>
          <w:highlight w:val="none"/>
        </w:rPr>
      </w:pPr>
      <w:r>
        <w:rPr>
          <w:rFonts w:hint="eastAsia" w:ascii="宋体" w:hAnsi="宋体"/>
          <w:b/>
          <w:color w:val="auto"/>
          <w:sz w:val="24"/>
          <w:highlight w:val="none"/>
        </w:rPr>
        <w:t>三、评审程序</w:t>
      </w:r>
    </w:p>
    <w:p>
      <w:pPr>
        <w:spacing w:line="420" w:lineRule="exact"/>
        <w:ind w:firstLine="480" w:firstLineChars="200"/>
        <w:rPr>
          <w:rFonts w:ascii="宋体" w:hAnsi="宋体"/>
          <w:color w:val="auto"/>
          <w:sz w:val="24"/>
          <w:highlight w:val="none"/>
        </w:rPr>
      </w:pPr>
      <w:r>
        <w:rPr>
          <w:rFonts w:ascii="宋体" w:hAnsi="宋体"/>
          <w:color w:val="auto"/>
          <w:sz w:val="24"/>
          <w:highlight w:val="none"/>
        </w:rPr>
        <w:t>本次询价采取二轮报价。</w:t>
      </w:r>
    </w:p>
    <w:p>
      <w:pPr>
        <w:spacing w:line="420" w:lineRule="exact"/>
        <w:ind w:firstLine="480" w:firstLineChars="200"/>
        <w:rPr>
          <w:rFonts w:ascii="宋体" w:hAnsi="宋体"/>
          <w:color w:val="auto"/>
          <w:sz w:val="24"/>
          <w:highlight w:val="none"/>
        </w:rPr>
      </w:pPr>
      <w:r>
        <w:rPr>
          <w:rFonts w:ascii="宋体" w:hAnsi="宋体"/>
          <w:color w:val="auto"/>
          <w:sz w:val="24"/>
          <w:highlight w:val="none"/>
        </w:rPr>
        <w:t>（一）第一轮报价：</w:t>
      </w:r>
      <w:r>
        <w:rPr>
          <w:rFonts w:hint="eastAsia" w:ascii="宋体" w:hAnsi="宋体"/>
          <w:color w:val="auto"/>
          <w:sz w:val="24"/>
          <w:highlight w:val="none"/>
          <w:lang w:eastAsia="zh-CN"/>
        </w:rPr>
        <w:t>询价人</w:t>
      </w:r>
      <w:r>
        <w:rPr>
          <w:rFonts w:ascii="宋体" w:hAnsi="宋体"/>
          <w:color w:val="auto"/>
          <w:sz w:val="24"/>
          <w:highlight w:val="none"/>
        </w:rPr>
        <w:t>现场当众开启报价文件，询价小组依据本章第二条形式、响应及资格评审标准对报价文件进行形式、响应及资格评审。有一项不符合评审标准的，将不通过评审。通过评审的报价文件，取报价最低的前5名进入第二轮报价（如未满5家，则全部进入第二轮报价）；</w:t>
      </w:r>
    </w:p>
    <w:p>
      <w:pPr>
        <w:spacing w:line="420" w:lineRule="exact"/>
        <w:ind w:firstLine="480" w:firstLineChars="200"/>
        <w:rPr>
          <w:rFonts w:ascii="宋体" w:hAnsi="宋体"/>
          <w:sz w:val="24"/>
        </w:rPr>
      </w:pPr>
      <w:r>
        <w:rPr>
          <w:rFonts w:ascii="宋体" w:hAnsi="宋体"/>
          <w:color w:val="auto"/>
          <w:sz w:val="24"/>
          <w:highlight w:val="none"/>
        </w:rPr>
        <w:t>（二）第二轮报价：在第一轮报价的基础上进行二次报价。报价单位现场填写《报价表》当众报价，第二轮报价不得高于第一轮报价，经法人代表或授权代理人签字生效，</w:t>
      </w:r>
      <w:r>
        <w:rPr>
          <w:rFonts w:hint="eastAsia" w:ascii="宋体" w:hAnsi="宋体"/>
          <w:sz w:val="24"/>
        </w:rPr>
        <w:t>第二轮报价为最终报价，询价小组按第二轮报价由低到高的顺序推荐候选人</w:t>
      </w:r>
      <w:r>
        <w:rPr>
          <w:rFonts w:ascii="宋体" w:hAnsi="宋体"/>
          <w:sz w:val="24"/>
        </w:rPr>
        <w:t>。</w:t>
      </w:r>
    </w:p>
    <w:p>
      <w:pPr>
        <w:spacing w:line="420" w:lineRule="exact"/>
        <w:ind w:firstLine="480" w:firstLineChars="200"/>
        <w:rPr>
          <w:rFonts w:ascii="宋体" w:hAnsi="宋体"/>
          <w:color w:val="auto"/>
          <w:sz w:val="24"/>
          <w:highlight w:val="none"/>
        </w:rPr>
      </w:pPr>
      <w:r>
        <w:rPr>
          <w:rFonts w:ascii="宋体" w:hAnsi="宋体"/>
          <w:color w:val="auto"/>
          <w:sz w:val="24"/>
          <w:highlight w:val="none"/>
        </w:rPr>
        <w:t>如有2个及以上单位的报价一致且均为最低价时，业主单位将采用逐个谈判的方式确定签约单位。逐个谈判后仍有2个及以上单位的报价一致且均为最低价时，</w:t>
      </w:r>
      <w:r>
        <w:rPr>
          <w:rFonts w:ascii="宋体" w:hAnsi="宋体"/>
          <w:sz w:val="24"/>
        </w:rPr>
        <w:t>将采用现场抽签的方式确定</w:t>
      </w:r>
      <w:r>
        <w:rPr>
          <w:rFonts w:hint="eastAsia" w:ascii="宋体" w:hAnsi="宋体"/>
          <w:sz w:val="24"/>
        </w:rPr>
        <w:t>第一候选人</w:t>
      </w:r>
      <w:r>
        <w:rPr>
          <w:rFonts w:ascii="宋体" w:hAnsi="宋体"/>
          <w:color w:val="auto"/>
          <w:sz w:val="24"/>
          <w:highlight w:val="none"/>
        </w:rPr>
        <w:t>。</w:t>
      </w:r>
    </w:p>
    <w:p>
      <w:pPr>
        <w:spacing w:line="420" w:lineRule="exact"/>
        <w:ind w:firstLine="480" w:firstLineChars="200"/>
        <w:rPr>
          <w:rFonts w:ascii="宋体" w:hAnsi="宋体"/>
          <w:color w:val="auto"/>
          <w:sz w:val="24"/>
          <w:highlight w:val="none"/>
        </w:rPr>
      </w:pPr>
      <w:r>
        <w:rPr>
          <w:rFonts w:ascii="宋体" w:hAnsi="宋体"/>
          <w:color w:val="auto"/>
          <w:sz w:val="24"/>
          <w:highlight w:val="none"/>
        </w:rPr>
        <w:t>（三）评审结果</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按照最终报价由低到高的顺序推荐候选人 3 名</w:t>
      </w:r>
      <w:r>
        <w:rPr>
          <w:rFonts w:ascii="宋体" w:hAnsi="宋体"/>
          <w:color w:val="auto"/>
          <w:sz w:val="24"/>
          <w:highlight w:val="none"/>
        </w:rPr>
        <w:t>。</w:t>
      </w:r>
    </w:p>
    <w:p>
      <w:pPr>
        <w:spacing w:line="420" w:lineRule="exact"/>
        <w:jc w:val="center"/>
        <w:rPr>
          <w:b/>
          <w:color w:val="auto"/>
          <w:sz w:val="36"/>
          <w:szCs w:val="36"/>
        </w:rPr>
      </w:pPr>
      <w:r>
        <w:rPr>
          <w:rFonts w:hint="eastAsia" w:ascii="宋体" w:hAnsi="宋体"/>
          <w:bCs/>
          <w:color w:val="auto"/>
          <w:sz w:val="24"/>
        </w:rPr>
        <w:br w:type="page"/>
      </w:r>
      <w:r>
        <w:rPr>
          <w:rFonts w:hint="eastAsia"/>
          <w:b/>
          <w:color w:val="auto"/>
          <w:sz w:val="36"/>
          <w:szCs w:val="36"/>
        </w:rPr>
        <w:t>第三章</w:t>
      </w:r>
    </w:p>
    <w:p>
      <w:pPr>
        <w:ind w:firstLine="480"/>
        <w:jc w:val="center"/>
        <w:rPr>
          <w:rFonts w:eastAsia="黑体"/>
          <w:color w:val="auto"/>
          <w:sz w:val="30"/>
          <w:szCs w:val="30"/>
        </w:rPr>
      </w:pPr>
      <w:r>
        <w:rPr>
          <w:rFonts w:hint="eastAsia" w:eastAsia="黑体"/>
          <w:color w:val="auto"/>
          <w:sz w:val="30"/>
          <w:szCs w:val="30"/>
        </w:rPr>
        <w:t>授权委托书、报价函、</w:t>
      </w:r>
      <w:r>
        <w:rPr>
          <w:rFonts w:hint="eastAsia" w:eastAsia="黑体"/>
          <w:bCs/>
          <w:color w:val="auto"/>
          <w:sz w:val="30"/>
          <w:szCs w:val="30"/>
        </w:rPr>
        <w:t>信誉承诺表、其它资料</w:t>
      </w:r>
      <w:r>
        <w:rPr>
          <w:rFonts w:hint="eastAsia" w:eastAsia="黑体"/>
          <w:color w:val="auto"/>
          <w:sz w:val="30"/>
          <w:szCs w:val="30"/>
        </w:rPr>
        <w:t>格式</w:t>
      </w:r>
    </w:p>
    <w:p>
      <w:pPr>
        <w:jc w:val="center"/>
        <w:rPr>
          <w:rFonts w:eastAsia="黑体"/>
          <w:color w:val="auto"/>
          <w:sz w:val="30"/>
          <w:szCs w:val="30"/>
        </w:rPr>
      </w:pPr>
    </w:p>
    <w:p>
      <w:pPr>
        <w:jc w:val="center"/>
        <w:rPr>
          <w:rFonts w:eastAsia="黑体"/>
          <w:color w:val="auto"/>
          <w:sz w:val="30"/>
          <w:szCs w:val="30"/>
        </w:rPr>
      </w:pPr>
      <w:r>
        <w:rPr>
          <w:rFonts w:hint="eastAsia" w:eastAsia="黑体"/>
          <w:color w:val="auto"/>
          <w:sz w:val="30"/>
          <w:szCs w:val="30"/>
        </w:rPr>
        <w:t>授权委托书</w:t>
      </w:r>
    </w:p>
    <w:p>
      <w:pPr>
        <w:pStyle w:val="4"/>
        <w:ind w:firstLine="0" w:firstLineChars="0"/>
        <w:rPr>
          <w:rFonts w:ascii="宋体" w:hAnsi="宋体"/>
          <w:color w:val="auto"/>
          <w:szCs w:val="24"/>
        </w:rPr>
      </w:pPr>
    </w:p>
    <w:p>
      <w:pPr>
        <w:spacing w:line="360" w:lineRule="auto"/>
        <w:ind w:firstLine="480"/>
        <w:rPr>
          <w:rFonts w:ascii="宋体" w:hAnsi="宋体"/>
          <w:color w:val="auto"/>
          <w:sz w:val="24"/>
        </w:rPr>
      </w:pPr>
      <w:r>
        <w:rPr>
          <w:rFonts w:hint="eastAsia" w:ascii="宋体" w:hAnsi="宋体"/>
          <w:color w:val="auto"/>
          <w:sz w:val="24"/>
        </w:rPr>
        <w:t>本人</w:t>
      </w:r>
      <w:r>
        <w:rPr>
          <w:rFonts w:hint="eastAsia" w:ascii="宋体" w:hAnsi="宋体"/>
          <w:color w:val="auto"/>
          <w:sz w:val="24"/>
          <w:u w:val="single"/>
        </w:rPr>
        <w:t xml:space="preserve"> </w:t>
      </w:r>
      <w:r>
        <w:rPr>
          <w:rFonts w:hint="eastAsia" w:ascii="宋体" w:hAnsi="宋体" w:cs="华文楷体"/>
          <w:color w:val="auto"/>
          <w:sz w:val="24"/>
          <w:u w:val="single"/>
        </w:rPr>
        <w:t>（姓名）</w:t>
      </w:r>
      <w:r>
        <w:rPr>
          <w:rFonts w:hint="eastAsia" w:ascii="宋体" w:hAnsi="宋体"/>
          <w:color w:val="auto"/>
          <w:sz w:val="24"/>
          <w:u w:val="single"/>
        </w:rPr>
        <w:t xml:space="preserve"> </w:t>
      </w:r>
      <w:r>
        <w:rPr>
          <w:rFonts w:hint="eastAsia" w:ascii="宋体" w:hAnsi="宋体"/>
          <w:color w:val="auto"/>
          <w:sz w:val="24"/>
        </w:rPr>
        <w:t>系</w:t>
      </w:r>
      <w:r>
        <w:rPr>
          <w:rFonts w:hint="eastAsia" w:ascii="宋体" w:hAnsi="宋体"/>
          <w:color w:val="auto"/>
          <w:sz w:val="24"/>
          <w:u w:val="single"/>
        </w:rPr>
        <w:t xml:space="preserve"> </w:t>
      </w:r>
      <w:r>
        <w:rPr>
          <w:rFonts w:hint="eastAsia" w:ascii="宋体" w:hAnsi="宋体" w:cs="华文楷体"/>
          <w:color w:val="auto"/>
          <w:sz w:val="24"/>
          <w:u w:val="single"/>
        </w:rPr>
        <w:t>（</w:t>
      </w:r>
      <w:r>
        <w:rPr>
          <w:rFonts w:hint="eastAsia" w:ascii="宋体" w:hAnsi="宋体"/>
          <w:color w:val="auto"/>
          <w:sz w:val="24"/>
          <w:u w:val="single"/>
        </w:rPr>
        <w:t>报价人</w:t>
      </w:r>
      <w:r>
        <w:rPr>
          <w:rFonts w:hint="eastAsia" w:ascii="宋体" w:hAnsi="宋体" w:cs="华文楷体"/>
          <w:color w:val="auto"/>
          <w:sz w:val="24"/>
          <w:u w:val="single"/>
        </w:rPr>
        <w:t>名称）</w:t>
      </w:r>
      <w:r>
        <w:rPr>
          <w:rFonts w:hint="eastAsia" w:ascii="宋体" w:hAnsi="宋体"/>
          <w:color w:val="auto"/>
          <w:sz w:val="24"/>
          <w:u w:val="single"/>
        </w:rPr>
        <w:t xml:space="preserve"> </w:t>
      </w:r>
      <w:r>
        <w:rPr>
          <w:rFonts w:hint="eastAsia" w:ascii="宋体" w:hAnsi="宋体"/>
          <w:color w:val="auto"/>
          <w:sz w:val="24"/>
        </w:rPr>
        <w:t>的法定代表人/单位负责人，现委托</w:t>
      </w:r>
      <w:r>
        <w:rPr>
          <w:rFonts w:hint="eastAsia" w:ascii="宋体" w:hAnsi="宋体" w:cs="华文楷体"/>
          <w:color w:val="auto"/>
          <w:sz w:val="24"/>
          <w:u w:val="single"/>
        </w:rPr>
        <w:t>（姓名）</w:t>
      </w:r>
      <w:r>
        <w:rPr>
          <w:rFonts w:hint="eastAsia" w:ascii="宋体" w:hAnsi="宋体"/>
          <w:color w:val="auto"/>
          <w:sz w:val="24"/>
        </w:rPr>
        <w:t>为我方授权代理人。代理人根据授权，以我方名义签署、澄清、确认、递交、撤回、修改</w:t>
      </w:r>
      <w:r>
        <w:rPr>
          <w:rFonts w:hint="eastAsia" w:ascii="宋体" w:hAnsi="宋体"/>
          <w:color w:val="auto"/>
          <w:sz w:val="24"/>
          <w:u w:val="single"/>
        </w:rPr>
        <w:t>和畅机关及龙杨高速交通车服务项目</w:t>
      </w:r>
      <w:r>
        <w:rPr>
          <w:rFonts w:hint="eastAsia" w:ascii="宋体" w:hAnsi="宋体"/>
          <w:color w:val="auto"/>
          <w:sz w:val="24"/>
        </w:rPr>
        <w:t>报价文件、签订合同和处理有关事宜，其法律后果由我方承担。</w:t>
      </w:r>
    </w:p>
    <w:p>
      <w:pPr>
        <w:spacing w:line="360" w:lineRule="auto"/>
        <w:ind w:firstLine="480"/>
        <w:rPr>
          <w:rFonts w:ascii="宋体" w:hAnsi="宋体"/>
          <w:color w:val="auto"/>
          <w:sz w:val="24"/>
        </w:rPr>
      </w:pPr>
      <w:r>
        <w:rPr>
          <w:rFonts w:hint="eastAsia" w:ascii="宋体" w:hAnsi="宋体"/>
          <w:color w:val="auto"/>
          <w:sz w:val="24"/>
        </w:rPr>
        <w:t xml:space="preserve">委托期限：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ind w:firstLine="480"/>
        <w:rPr>
          <w:rFonts w:ascii="宋体" w:hAnsi="宋体"/>
          <w:color w:val="auto"/>
          <w:sz w:val="24"/>
        </w:rPr>
      </w:pPr>
      <w:r>
        <w:rPr>
          <w:rFonts w:hint="eastAsia" w:ascii="宋体" w:hAnsi="宋体"/>
          <w:color w:val="auto"/>
          <w:sz w:val="24"/>
        </w:rPr>
        <w:t>委托代理人无转委托权。</w:t>
      </w:r>
    </w:p>
    <w:p>
      <w:pPr>
        <w:spacing w:line="360" w:lineRule="auto"/>
        <w:ind w:firstLine="480"/>
        <w:rPr>
          <w:rFonts w:ascii="宋体" w:hAnsi="宋体"/>
          <w:color w:val="auto"/>
          <w:sz w:val="24"/>
        </w:rPr>
      </w:pPr>
      <w:r>
        <w:rPr>
          <w:rFonts w:hint="eastAsia" w:ascii="宋体" w:hAnsi="宋体"/>
          <w:color w:val="auto"/>
          <w:sz w:val="24"/>
        </w:rPr>
        <w:t>附：法定代表人/单位负责人身份证复印件及委托代理人身份证复印件</w:t>
      </w:r>
    </w:p>
    <w:p>
      <w:pPr>
        <w:spacing w:line="360" w:lineRule="auto"/>
        <w:ind w:firstLine="480"/>
        <w:rPr>
          <w:rFonts w:ascii="宋体" w:hAnsi="宋体"/>
          <w:color w:val="auto"/>
          <w:sz w:val="24"/>
        </w:rPr>
      </w:pPr>
    </w:p>
    <w:p>
      <w:pPr>
        <w:spacing w:line="360" w:lineRule="auto"/>
        <w:ind w:firstLine="480"/>
        <w:rPr>
          <w:rFonts w:ascii="宋体" w:hAnsi="宋体"/>
          <w:color w:val="auto"/>
          <w:sz w:val="24"/>
        </w:rPr>
      </w:pPr>
      <w:r>
        <w:rPr>
          <w:rFonts w:hint="eastAsia" w:ascii="宋体" w:hAnsi="宋体"/>
          <w:color w:val="auto"/>
          <w:sz w:val="24"/>
        </w:rPr>
        <w:t>注：本授权委托书需由报价人加盖单位公章并由其法定代表人/单位负责人签字。</w:t>
      </w:r>
    </w:p>
    <w:p>
      <w:pPr>
        <w:spacing w:line="360" w:lineRule="auto"/>
        <w:ind w:firstLine="480"/>
        <w:rPr>
          <w:rFonts w:ascii="宋体" w:hAnsi="宋体"/>
          <w:color w:val="auto"/>
          <w:sz w:val="24"/>
        </w:rPr>
      </w:pPr>
    </w:p>
    <w:p>
      <w:pPr>
        <w:spacing w:line="360" w:lineRule="auto"/>
        <w:ind w:firstLine="3076" w:firstLineChars="1282"/>
        <w:rPr>
          <w:rFonts w:ascii="宋体" w:hAnsi="宋体"/>
          <w:color w:val="auto"/>
          <w:sz w:val="24"/>
          <w:u w:val="single"/>
        </w:rPr>
      </w:pPr>
      <w:r>
        <w:rPr>
          <w:rFonts w:hint="eastAsia" w:ascii="宋体" w:hAnsi="宋体"/>
          <w:color w:val="auto"/>
          <w:sz w:val="24"/>
        </w:rPr>
        <w:t>报价人（单位公章）：</w:t>
      </w:r>
      <w:r>
        <w:rPr>
          <w:rFonts w:hint="eastAsia" w:ascii="宋体" w:hAnsi="宋体"/>
          <w:color w:val="auto"/>
          <w:sz w:val="24"/>
          <w:u w:val="single"/>
        </w:rPr>
        <w:t xml:space="preserve">                            </w:t>
      </w:r>
    </w:p>
    <w:p>
      <w:pPr>
        <w:spacing w:line="360" w:lineRule="auto"/>
        <w:ind w:firstLine="3074" w:firstLineChars="1281"/>
        <w:rPr>
          <w:rFonts w:ascii="宋体" w:hAnsi="宋体"/>
          <w:color w:val="auto"/>
          <w:sz w:val="24"/>
        </w:rPr>
      </w:pPr>
      <w:r>
        <w:rPr>
          <w:rFonts w:hint="eastAsia" w:ascii="宋体" w:hAnsi="宋体"/>
          <w:color w:val="auto"/>
          <w:sz w:val="24"/>
        </w:rPr>
        <w:t>法定代表人（签字）：</w:t>
      </w:r>
      <w:r>
        <w:rPr>
          <w:rFonts w:hint="eastAsia" w:ascii="宋体" w:hAnsi="宋体"/>
          <w:color w:val="auto"/>
          <w:sz w:val="24"/>
          <w:u w:val="single"/>
        </w:rPr>
        <w:t xml:space="preserve">               </w:t>
      </w:r>
    </w:p>
    <w:p>
      <w:pPr>
        <w:spacing w:line="360" w:lineRule="auto"/>
        <w:ind w:firstLine="3076" w:firstLineChars="1282"/>
        <w:rPr>
          <w:rFonts w:ascii="宋体" w:hAnsi="宋体"/>
          <w:color w:val="auto"/>
          <w:sz w:val="24"/>
          <w:u w:val="single"/>
        </w:rPr>
      </w:pPr>
      <w:r>
        <w:rPr>
          <w:rFonts w:hint="eastAsia" w:ascii="宋体" w:hAnsi="宋体"/>
          <w:color w:val="auto"/>
          <w:sz w:val="24"/>
        </w:rPr>
        <w:t>授权代理人（签字）：</w:t>
      </w:r>
      <w:r>
        <w:rPr>
          <w:rFonts w:hint="eastAsia" w:ascii="宋体" w:hAnsi="宋体"/>
          <w:color w:val="auto"/>
          <w:sz w:val="24"/>
          <w:u w:val="single"/>
        </w:rPr>
        <w:t xml:space="preserve">                            </w:t>
      </w:r>
    </w:p>
    <w:p>
      <w:pPr>
        <w:spacing w:line="360" w:lineRule="auto"/>
        <w:ind w:firstLine="3600" w:firstLineChars="1500"/>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ascii="宋体" w:hAnsi="宋体"/>
          <w:color w:val="auto"/>
          <w:sz w:val="24"/>
        </w:rPr>
      </w:pPr>
    </w:p>
    <w:p>
      <w:pPr>
        <w:spacing w:line="360" w:lineRule="auto"/>
        <w:ind w:firstLine="480"/>
        <w:rPr>
          <w:rFonts w:ascii="宋体" w:hAnsi="宋体"/>
          <w:color w:val="auto"/>
          <w:sz w:val="24"/>
        </w:rPr>
      </w:pPr>
      <w:r>
        <w:rPr>
          <w:rFonts w:hint="eastAsia" w:ascii="宋体" w:hAnsi="宋体"/>
          <w:color w:val="auto"/>
          <w:sz w:val="24"/>
        </w:rPr>
        <w:t>注：如报价人法定代表人/单位负责人参加询价行为，只需附其身份证复印件、法人代表证书等复印件。</w:t>
      </w:r>
    </w:p>
    <w:p>
      <w:pPr>
        <w:rPr>
          <w:rFonts w:ascii="宋体" w:hAnsi="宋体"/>
          <w:color w:val="auto"/>
          <w:sz w:val="24"/>
        </w:rPr>
      </w:pPr>
    </w:p>
    <w:p>
      <w:pPr>
        <w:pStyle w:val="10"/>
        <w:rPr>
          <w:rFonts w:ascii="宋体" w:hAnsi="宋体" w:eastAsia="宋体" w:cs="Times New Roman"/>
          <w:color w:val="auto"/>
          <w:kern w:val="2"/>
        </w:rPr>
      </w:pPr>
    </w:p>
    <w:p>
      <w:pPr>
        <w:pStyle w:val="10"/>
        <w:rPr>
          <w:rFonts w:ascii="宋体" w:hAnsi="宋体" w:eastAsia="宋体" w:cs="Times New Roman"/>
          <w:color w:val="auto"/>
          <w:kern w:val="2"/>
        </w:rPr>
      </w:pPr>
    </w:p>
    <w:p>
      <w:pPr>
        <w:pStyle w:val="10"/>
        <w:rPr>
          <w:rFonts w:ascii="宋体" w:hAnsi="宋体" w:eastAsia="宋体" w:cs="Times New Roman"/>
          <w:color w:val="auto"/>
          <w:kern w:val="2"/>
        </w:rPr>
      </w:pPr>
    </w:p>
    <w:p>
      <w:pPr>
        <w:pStyle w:val="10"/>
        <w:rPr>
          <w:rFonts w:ascii="宋体" w:hAnsi="宋体" w:eastAsia="宋体" w:cs="Times New Roman"/>
          <w:color w:val="auto"/>
          <w:kern w:val="2"/>
        </w:rPr>
      </w:pPr>
    </w:p>
    <w:p>
      <w:pPr>
        <w:pStyle w:val="10"/>
        <w:rPr>
          <w:rFonts w:ascii="宋体" w:hAnsi="宋体" w:eastAsia="宋体" w:cs="Times New Roman"/>
          <w:color w:val="auto"/>
          <w:kern w:val="2"/>
        </w:rPr>
      </w:pPr>
    </w:p>
    <w:p>
      <w:pPr>
        <w:pStyle w:val="10"/>
        <w:rPr>
          <w:rFonts w:ascii="宋体" w:hAnsi="宋体" w:eastAsia="宋体" w:cs="Times New Roman"/>
          <w:color w:val="auto"/>
          <w:kern w:val="2"/>
        </w:rPr>
      </w:pPr>
    </w:p>
    <w:p>
      <w:pPr>
        <w:pStyle w:val="10"/>
        <w:rPr>
          <w:rFonts w:ascii="宋体" w:hAnsi="宋体" w:eastAsia="宋体" w:cs="Times New Roman"/>
          <w:color w:val="auto"/>
          <w:kern w:val="2"/>
        </w:rPr>
      </w:pPr>
    </w:p>
    <w:p>
      <w:pPr>
        <w:pStyle w:val="10"/>
        <w:rPr>
          <w:rFonts w:ascii="宋体" w:hAnsi="宋体" w:eastAsia="宋体" w:cs="Times New Roman"/>
          <w:color w:val="auto"/>
          <w:kern w:val="2"/>
        </w:rPr>
      </w:pPr>
    </w:p>
    <w:p>
      <w:pPr>
        <w:jc w:val="center"/>
        <w:rPr>
          <w:b/>
          <w:color w:val="auto"/>
          <w:sz w:val="36"/>
          <w:szCs w:val="36"/>
        </w:rPr>
      </w:pPr>
      <w:r>
        <w:rPr>
          <w:rFonts w:hint="eastAsia"/>
          <w:b/>
          <w:color w:val="auto"/>
          <w:sz w:val="36"/>
          <w:szCs w:val="36"/>
        </w:rPr>
        <w:t>报  价  函</w:t>
      </w:r>
    </w:p>
    <w:p>
      <w:pPr>
        <w:tabs>
          <w:tab w:val="left" w:pos="2500"/>
        </w:tabs>
        <w:autoSpaceDE w:val="0"/>
        <w:autoSpaceDN w:val="0"/>
        <w:adjustRightInd w:val="0"/>
        <w:spacing w:line="400" w:lineRule="exact"/>
        <w:rPr>
          <w:b/>
          <w:color w:val="auto"/>
          <w:position w:val="-4"/>
          <w:sz w:val="28"/>
          <w:szCs w:val="28"/>
        </w:rPr>
      </w:pPr>
    </w:p>
    <w:p>
      <w:pPr>
        <w:tabs>
          <w:tab w:val="left" w:pos="2500"/>
        </w:tabs>
        <w:autoSpaceDE w:val="0"/>
        <w:autoSpaceDN w:val="0"/>
        <w:adjustRightInd w:val="0"/>
        <w:spacing w:after="156" w:afterLines="50" w:line="400" w:lineRule="exact"/>
        <w:rPr>
          <w:color w:val="auto"/>
          <w:sz w:val="28"/>
          <w:szCs w:val="28"/>
        </w:rPr>
      </w:pPr>
      <w:r>
        <w:rPr>
          <w:b/>
          <w:color w:val="auto"/>
          <w:position w:val="-4"/>
          <w:sz w:val="28"/>
          <w:szCs w:val="28"/>
        </w:rPr>
        <w:t>致：</w:t>
      </w:r>
      <w:r>
        <w:rPr>
          <w:rFonts w:hint="eastAsia"/>
          <w:b/>
          <w:color w:val="auto"/>
          <w:spacing w:val="-11"/>
          <w:position w:val="-4"/>
          <w:sz w:val="28"/>
          <w:szCs w:val="28"/>
        </w:rPr>
        <w:t>赣州高速公路有限责任公司</w:t>
      </w:r>
      <w:r>
        <w:rPr>
          <w:b/>
          <w:color w:val="auto"/>
          <w:spacing w:val="-11"/>
          <w:position w:val="-4"/>
          <w:sz w:val="28"/>
          <w:szCs w:val="28"/>
        </w:rPr>
        <w:t xml:space="preserve"> </w:t>
      </w:r>
    </w:p>
    <w:p>
      <w:pPr>
        <w:tabs>
          <w:tab w:val="left" w:pos="4180"/>
          <w:tab w:val="left" w:pos="9180"/>
        </w:tabs>
        <w:autoSpaceDE w:val="0"/>
        <w:autoSpaceDN w:val="0"/>
        <w:adjustRightInd w:val="0"/>
        <w:spacing w:line="400" w:lineRule="exact"/>
        <w:ind w:firstLine="480" w:firstLineChars="200"/>
        <w:rPr>
          <w:color w:val="auto"/>
          <w:sz w:val="24"/>
        </w:rPr>
      </w:pPr>
      <w:r>
        <w:rPr>
          <w:color w:val="auto"/>
          <w:sz w:val="24"/>
        </w:rPr>
        <w:t>经研究，我方</w:t>
      </w:r>
      <w:r>
        <w:rPr>
          <w:rFonts w:hint="eastAsia"/>
          <w:color w:val="auto"/>
          <w:sz w:val="24"/>
        </w:rPr>
        <w:t>同意《和畅机关及龙杨高速交通车服务项目询价文件》</w:t>
      </w:r>
      <w:r>
        <w:rPr>
          <w:rFonts w:hint="eastAsia" w:ascii="宋体" w:hAnsi="宋体"/>
          <w:color w:val="auto"/>
          <w:sz w:val="24"/>
        </w:rPr>
        <w:t>的所有内容及条款并就</w:t>
      </w:r>
      <w:r>
        <w:rPr>
          <w:rFonts w:ascii="宋体" w:hAnsi="宋体"/>
          <w:color w:val="auto"/>
          <w:sz w:val="24"/>
        </w:rPr>
        <w:t>上述</w:t>
      </w:r>
      <w:r>
        <w:rPr>
          <w:rFonts w:hint="eastAsia" w:ascii="宋体" w:hAnsi="宋体"/>
          <w:color w:val="auto"/>
          <w:sz w:val="24"/>
        </w:rPr>
        <w:t>内容</w:t>
      </w:r>
      <w:r>
        <w:rPr>
          <w:rFonts w:ascii="宋体" w:hAnsi="宋体"/>
          <w:color w:val="auto"/>
          <w:sz w:val="24"/>
        </w:rPr>
        <w:t>进行</w:t>
      </w:r>
      <w:r>
        <w:rPr>
          <w:rFonts w:hint="eastAsia" w:ascii="宋体" w:hAnsi="宋体"/>
          <w:color w:val="auto"/>
          <w:sz w:val="24"/>
        </w:rPr>
        <w:t>报价，</w:t>
      </w:r>
      <w:r>
        <w:rPr>
          <w:rFonts w:ascii="宋体" w:hAnsi="宋体"/>
          <w:color w:val="auto"/>
          <w:sz w:val="24"/>
        </w:rPr>
        <w:t>完成</w:t>
      </w:r>
      <w:r>
        <w:rPr>
          <w:rFonts w:hint="eastAsia" w:ascii="宋体" w:hAnsi="宋体"/>
          <w:color w:val="auto"/>
          <w:sz w:val="24"/>
        </w:rPr>
        <w:t>贵公司</w:t>
      </w:r>
      <w:r>
        <w:rPr>
          <w:rFonts w:ascii="宋体" w:hAnsi="宋体"/>
          <w:color w:val="auto"/>
          <w:sz w:val="24"/>
        </w:rPr>
        <w:t>规定的</w:t>
      </w:r>
      <w:r>
        <w:rPr>
          <w:color w:val="auto"/>
          <w:sz w:val="24"/>
        </w:rPr>
        <w:t>所有工作内容。</w:t>
      </w:r>
    </w:p>
    <w:p>
      <w:pPr>
        <w:autoSpaceDE w:val="0"/>
        <w:autoSpaceDN w:val="0"/>
        <w:adjustRightInd w:val="0"/>
        <w:spacing w:line="400" w:lineRule="exact"/>
        <w:ind w:firstLine="480" w:firstLineChars="200"/>
        <w:rPr>
          <w:color w:val="auto"/>
          <w:sz w:val="24"/>
        </w:rPr>
      </w:pPr>
      <w:r>
        <w:rPr>
          <w:rFonts w:hint="eastAsia"/>
          <w:color w:val="auto"/>
          <w:sz w:val="24"/>
        </w:rPr>
        <w:t>根据分析计算，我方愿以总价人民币（大写）</w:t>
      </w:r>
      <w:r>
        <w:rPr>
          <w:rFonts w:hint="eastAsia"/>
          <w:color w:val="auto"/>
          <w:sz w:val="24"/>
          <w:u w:val="single"/>
        </w:rPr>
        <w:t xml:space="preserve">              </w:t>
      </w:r>
      <w:r>
        <w:rPr>
          <w:rFonts w:hint="eastAsia"/>
          <w:color w:val="auto"/>
          <w:sz w:val="24"/>
        </w:rPr>
        <w:t>元（￥</w:t>
      </w:r>
      <w:r>
        <w:rPr>
          <w:rFonts w:hint="eastAsia"/>
          <w:color w:val="auto"/>
          <w:sz w:val="24"/>
          <w:u w:val="single"/>
        </w:rPr>
        <w:t xml:space="preserve">        </w:t>
      </w:r>
      <w:r>
        <w:rPr>
          <w:rFonts w:hint="eastAsia"/>
          <w:color w:val="auto"/>
          <w:sz w:val="24"/>
        </w:rPr>
        <w:t>），完成贵公司规定的所有工作内容。</w:t>
      </w:r>
    </w:p>
    <w:p>
      <w:pPr>
        <w:pStyle w:val="2"/>
        <w:jc w:val="center"/>
        <w:rPr>
          <w:rFonts w:ascii="宋体" w:hAnsi="宋体" w:cs="宋体"/>
          <w:b w:val="0"/>
          <w:color w:val="auto"/>
          <w:kern w:val="0"/>
          <w:sz w:val="24"/>
        </w:rPr>
      </w:pPr>
      <w:r>
        <w:rPr>
          <w:rFonts w:hint="eastAsia" w:ascii="宋体" w:hAnsi="宋体" w:cs="宋体"/>
          <w:b w:val="0"/>
          <w:color w:val="auto"/>
          <w:kern w:val="0"/>
          <w:sz w:val="24"/>
        </w:rPr>
        <w:t>清单</w:t>
      </w:r>
    </w:p>
    <w:tbl>
      <w:tblPr>
        <w:tblStyle w:val="7"/>
        <w:tblW w:w="9244" w:type="dxa"/>
        <w:jc w:val="center"/>
        <w:tblLayout w:type="fixed"/>
        <w:tblCellMar>
          <w:top w:w="0" w:type="dxa"/>
          <w:left w:w="108" w:type="dxa"/>
          <w:bottom w:w="0" w:type="dxa"/>
          <w:right w:w="108" w:type="dxa"/>
        </w:tblCellMar>
      </w:tblPr>
      <w:tblGrid>
        <w:gridCol w:w="753"/>
        <w:gridCol w:w="2236"/>
        <w:gridCol w:w="1410"/>
        <w:gridCol w:w="7"/>
        <w:gridCol w:w="1420"/>
        <w:gridCol w:w="1700"/>
        <w:gridCol w:w="1718"/>
      </w:tblGrid>
      <w:tr>
        <w:tblPrEx>
          <w:tblCellMar>
            <w:top w:w="0" w:type="dxa"/>
            <w:left w:w="108" w:type="dxa"/>
            <w:bottom w:w="0" w:type="dxa"/>
            <w:right w:w="108" w:type="dxa"/>
          </w:tblCellMar>
        </w:tblPrEx>
        <w:trPr>
          <w:trHeight w:val="857" w:hRule="atLeast"/>
          <w:jc w:val="center"/>
        </w:trPr>
        <w:tc>
          <w:tcPr>
            <w:tcW w:w="753"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子目</w:t>
            </w:r>
          </w:p>
        </w:tc>
        <w:tc>
          <w:tcPr>
            <w:tcW w:w="2236" w:type="dxa"/>
            <w:tcBorders>
              <w:top w:val="single" w:color="auto" w:sz="8" w:space="0"/>
              <w:left w:val="nil"/>
              <w:bottom w:val="single" w:color="auto" w:sz="8"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交通车项目</w:t>
            </w:r>
          </w:p>
        </w:tc>
        <w:tc>
          <w:tcPr>
            <w:tcW w:w="1417" w:type="dxa"/>
            <w:gridSpan w:val="2"/>
            <w:tcBorders>
              <w:top w:val="single" w:color="auto" w:sz="8" w:space="0"/>
              <w:left w:val="single" w:color="auto" w:sz="4" w:space="0"/>
              <w:bottom w:val="single" w:color="auto" w:sz="8"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行驶趟数</w:t>
            </w:r>
          </w:p>
        </w:tc>
        <w:tc>
          <w:tcPr>
            <w:tcW w:w="1420" w:type="dxa"/>
            <w:tcBorders>
              <w:top w:val="single" w:color="auto" w:sz="8" w:space="0"/>
              <w:left w:val="single" w:color="auto" w:sz="4" w:space="0"/>
              <w:bottom w:val="single" w:color="auto" w:sz="8" w:space="0"/>
              <w:right w:val="single" w:color="auto" w:sz="8"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单价（元）</w:t>
            </w:r>
          </w:p>
        </w:tc>
        <w:tc>
          <w:tcPr>
            <w:tcW w:w="170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合价（元）</w:t>
            </w:r>
          </w:p>
        </w:tc>
        <w:tc>
          <w:tcPr>
            <w:tcW w:w="1718" w:type="dxa"/>
            <w:tcBorders>
              <w:top w:val="single" w:color="auto" w:sz="8" w:space="0"/>
              <w:left w:val="nil"/>
              <w:bottom w:val="single" w:color="auto" w:sz="8" w:space="0"/>
              <w:right w:val="single" w:color="auto" w:sz="8"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备注</w:t>
            </w:r>
          </w:p>
        </w:tc>
      </w:tr>
      <w:tr>
        <w:tblPrEx>
          <w:tblCellMar>
            <w:top w:w="0" w:type="dxa"/>
            <w:left w:w="108" w:type="dxa"/>
            <w:bottom w:w="0" w:type="dxa"/>
            <w:right w:w="108" w:type="dxa"/>
          </w:tblCellMar>
        </w:tblPrEx>
        <w:trPr>
          <w:trHeight w:val="749" w:hRule="atLeast"/>
          <w:jc w:val="center"/>
        </w:trPr>
        <w:tc>
          <w:tcPr>
            <w:tcW w:w="753" w:type="dxa"/>
            <w:tcBorders>
              <w:top w:val="nil"/>
              <w:left w:val="single" w:color="auto" w:sz="8" w:space="0"/>
              <w:bottom w:val="single" w:color="auto" w:sz="8"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2236" w:type="dxa"/>
            <w:tcBorders>
              <w:top w:val="nil"/>
              <w:left w:val="single" w:color="auto" w:sz="4" w:space="0"/>
              <w:bottom w:val="single" w:color="auto" w:sz="8"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和畅机关交通车</w:t>
            </w:r>
          </w:p>
        </w:tc>
        <w:tc>
          <w:tcPr>
            <w:tcW w:w="1417" w:type="dxa"/>
            <w:gridSpan w:val="2"/>
            <w:tcBorders>
              <w:top w:val="nil"/>
              <w:left w:val="single" w:color="auto" w:sz="4" w:space="0"/>
              <w:bottom w:val="single" w:color="auto" w:sz="8"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158</w:t>
            </w:r>
          </w:p>
        </w:tc>
        <w:tc>
          <w:tcPr>
            <w:tcW w:w="1420" w:type="dxa"/>
            <w:tcBorders>
              <w:top w:val="nil"/>
              <w:left w:val="single" w:color="auto" w:sz="4" w:space="0"/>
              <w:bottom w:val="single" w:color="auto" w:sz="8" w:space="0"/>
              <w:right w:val="single" w:color="auto" w:sz="8" w:space="0"/>
            </w:tcBorders>
            <w:noWrap/>
            <w:vAlign w:val="center"/>
          </w:tcPr>
          <w:p>
            <w:pPr>
              <w:widowControl/>
              <w:jc w:val="center"/>
              <w:rPr>
                <w:rFonts w:ascii="宋体" w:hAnsi="宋体" w:cs="宋体"/>
                <w:color w:val="auto"/>
                <w:kern w:val="0"/>
                <w:sz w:val="24"/>
              </w:rPr>
            </w:pPr>
          </w:p>
        </w:tc>
        <w:tc>
          <w:tcPr>
            <w:tcW w:w="170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4"/>
              </w:rPr>
            </w:pPr>
          </w:p>
        </w:tc>
        <w:tc>
          <w:tcPr>
            <w:tcW w:w="1718" w:type="dxa"/>
            <w:tcBorders>
              <w:top w:val="nil"/>
              <w:left w:val="nil"/>
              <w:bottom w:val="single" w:color="auto" w:sz="8" w:space="0"/>
              <w:right w:val="single" w:color="auto" w:sz="8" w:space="0"/>
            </w:tcBorders>
            <w:vAlign w:val="center"/>
          </w:tcPr>
          <w:p>
            <w:pPr>
              <w:rPr>
                <w:rFonts w:ascii="宋体" w:hAnsi="宋体" w:cs="宋体"/>
                <w:color w:val="auto"/>
                <w:kern w:val="0"/>
                <w:sz w:val="24"/>
              </w:rPr>
            </w:pPr>
          </w:p>
        </w:tc>
      </w:tr>
      <w:tr>
        <w:tblPrEx>
          <w:tblCellMar>
            <w:top w:w="0" w:type="dxa"/>
            <w:left w:w="108" w:type="dxa"/>
            <w:bottom w:w="0" w:type="dxa"/>
            <w:right w:w="108" w:type="dxa"/>
          </w:tblCellMar>
        </w:tblPrEx>
        <w:trPr>
          <w:trHeight w:val="749" w:hRule="atLeast"/>
          <w:jc w:val="center"/>
        </w:trPr>
        <w:tc>
          <w:tcPr>
            <w:tcW w:w="753" w:type="dxa"/>
            <w:tcBorders>
              <w:top w:val="single" w:color="auto" w:sz="8" w:space="0"/>
              <w:left w:val="single" w:color="auto" w:sz="8" w:space="0"/>
              <w:bottom w:val="single" w:color="auto" w:sz="8"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2</w:t>
            </w:r>
          </w:p>
        </w:tc>
        <w:tc>
          <w:tcPr>
            <w:tcW w:w="2236" w:type="dxa"/>
            <w:tcBorders>
              <w:top w:val="single" w:color="auto" w:sz="8" w:space="0"/>
              <w:left w:val="single" w:color="auto" w:sz="4" w:space="0"/>
              <w:bottom w:val="single" w:color="auto" w:sz="8" w:space="0"/>
              <w:right w:val="single" w:color="auto" w:sz="4" w:space="0"/>
            </w:tcBorders>
            <w:vAlign w:val="center"/>
          </w:tcPr>
          <w:p>
            <w:pPr>
              <w:widowControl/>
              <w:jc w:val="center"/>
              <w:rPr>
                <w:rFonts w:ascii="宋体" w:hAnsi="宋体" w:cs="宋体"/>
                <w:color w:val="auto"/>
                <w:kern w:val="0"/>
                <w:sz w:val="24"/>
              </w:rPr>
            </w:pPr>
            <w:r>
              <w:rPr>
                <w:rFonts w:hint="eastAsia"/>
                <w:color w:val="auto"/>
                <w:sz w:val="24"/>
              </w:rPr>
              <w:t>龙杨高速交通车</w:t>
            </w:r>
          </w:p>
        </w:tc>
        <w:tc>
          <w:tcPr>
            <w:tcW w:w="1410" w:type="dxa"/>
            <w:tcBorders>
              <w:top w:val="single" w:color="auto" w:sz="8" w:space="0"/>
              <w:left w:val="single" w:color="auto" w:sz="4" w:space="0"/>
              <w:bottom w:val="single" w:color="auto" w:sz="8"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122</w:t>
            </w:r>
          </w:p>
        </w:tc>
        <w:tc>
          <w:tcPr>
            <w:tcW w:w="1427" w:type="dxa"/>
            <w:gridSpan w:val="2"/>
            <w:tcBorders>
              <w:top w:val="single" w:color="auto" w:sz="8" w:space="0"/>
              <w:left w:val="single" w:color="auto" w:sz="4" w:space="0"/>
              <w:bottom w:val="single" w:color="auto" w:sz="8" w:space="0"/>
              <w:right w:val="single" w:color="auto" w:sz="8" w:space="0"/>
            </w:tcBorders>
            <w:vAlign w:val="center"/>
          </w:tcPr>
          <w:p>
            <w:pPr>
              <w:widowControl/>
              <w:jc w:val="center"/>
              <w:rPr>
                <w:rFonts w:ascii="宋体" w:hAnsi="宋体" w:cs="宋体"/>
                <w:color w:val="auto"/>
                <w:kern w:val="0"/>
                <w:sz w:val="24"/>
              </w:rPr>
            </w:pPr>
          </w:p>
        </w:tc>
        <w:tc>
          <w:tcPr>
            <w:tcW w:w="170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4"/>
              </w:rPr>
            </w:pPr>
          </w:p>
        </w:tc>
        <w:tc>
          <w:tcPr>
            <w:tcW w:w="1718"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4"/>
              </w:rPr>
            </w:pPr>
          </w:p>
        </w:tc>
      </w:tr>
      <w:tr>
        <w:tblPrEx>
          <w:tblCellMar>
            <w:top w:w="0" w:type="dxa"/>
            <w:left w:w="108" w:type="dxa"/>
            <w:bottom w:w="0" w:type="dxa"/>
            <w:right w:w="108" w:type="dxa"/>
          </w:tblCellMar>
        </w:tblPrEx>
        <w:trPr>
          <w:trHeight w:val="749" w:hRule="atLeast"/>
          <w:jc w:val="center"/>
        </w:trPr>
        <w:tc>
          <w:tcPr>
            <w:tcW w:w="5826" w:type="dxa"/>
            <w:gridSpan w:val="5"/>
            <w:tcBorders>
              <w:top w:val="single" w:color="auto" w:sz="8" w:space="0"/>
              <w:left w:val="single" w:color="auto" w:sz="8" w:space="0"/>
              <w:bottom w:val="single" w:color="auto" w:sz="8" w:space="0"/>
              <w:right w:val="single" w:color="auto" w:sz="8"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总价</w:t>
            </w:r>
          </w:p>
        </w:tc>
        <w:tc>
          <w:tcPr>
            <w:tcW w:w="170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4"/>
              </w:rPr>
            </w:pPr>
          </w:p>
        </w:tc>
        <w:tc>
          <w:tcPr>
            <w:tcW w:w="1718"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r>
    </w:tbl>
    <w:p>
      <w:pPr>
        <w:autoSpaceDE w:val="0"/>
        <w:autoSpaceDN w:val="0"/>
        <w:adjustRightInd w:val="0"/>
        <w:spacing w:before="10"/>
        <w:rPr>
          <w:color w:val="auto"/>
          <w:sz w:val="24"/>
        </w:rPr>
      </w:pPr>
    </w:p>
    <w:p>
      <w:pPr>
        <w:tabs>
          <w:tab w:val="left" w:pos="7460"/>
          <w:tab w:val="left" w:pos="8080"/>
          <w:tab w:val="left" w:pos="8800"/>
        </w:tabs>
        <w:autoSpaceDE w:val="0"/>
        <w:autoSpaceDN w:val="0"/>
        <w:adjustRightInd w:val="0"/>
        <w:spacing w:line="480" w:lineRule="auto"/>
        <w:ind w:left="3641" w:right="-512" w:rightChars="-244"/>
        <w:rPr>
          <w:rFonts w:ascii="宋体" w:hAnsi="宋体"/>
          <w:color w:val="auto"/>
          <w:sz w:val="24"/>
        </w:rPr>
      </w:pPr>
      <w:r>
        <w:rPr>
          <w:rFonts w:hint="eastAsia" w:ascii="宋体" w:hAnsi="宋体"/>
          <w:color w:val="auto"/>
          <w:sz w:val="24"/>
        </w:rPr>
        <w:t>报价</w:t>
      </w:r>
      <w:r>
        <w:rPr>
          <w:rFonts w:ascii="宋体" w:hAnsi="宋体"/>
          <w:color w:val="auto"/>
          <w:sz w:val="24"/>
        </w:rPr>
        <w:t>人：</w:t>
      </w:r>
      <w:r>
        <w:rPr>
          <w:rFonts w:ascii="宋体" w:hAnsi="宋体"/>
          <w:color w:val="auto"/>
          <w:sz w:val="24"/>
          <w:u w:val="single"/>
        </w:rPr>
        <w:t xml:space="preserve">                         </w:t>
      </w:r>
      <w:r>
        <w:rPr>
          <w:rFonts w:ascii="宋体" w:hAnsi="宋体"/>
          <w:color w:val="auto"/>
          <w:sz w:val="24"/>
        </w:rPr>
        <w:t>(盖</w:t>
      </w:r>
      <w:r>
        <w:rPr>
          <w:rFonts w:ascii="宋体" w:hAnsi="宋体"/>
          <w:color w:val="auto"/>
          <w:spacing w:val="-1"/>
          <w:sz w:val="24"/>
        </w:rPr>
        <w:t>单</w:t>
      </w:r>
      <w:r>
        <w:rPr>
          <w:rFonts w:ascii="宋体" w:hAnsi="宋体"/>
          <w:color w:val="auto"/>
          <w:sz w:val="24"/>
        </w:rPr>
        <w:t xml:space="preserve">位章) </w:t>
      </w:r>
    </w:p>
    <w:p>
      <w:pPr>
        <w:tabs>
          <w:tab w:val="left" w:pos="7460"/>
          <w:tab w:val="left" w:pos="8080"/>
          <w:tab w:val="left" w:pos="8800"/>
        </w:tabs>
        <w:autoSpaceDE w:val="0"/>
        <w:autoSpaceDN w:val="0"/>
        <w:adjustRightInd w:val="0"/>
        <w:spacing w:line="480" w:lineRule="auto"/>
        <w:ind w:left="3641" w:right="-512" w:rightChars="-244"/>
        <w:rPr>
          <w:rFonts w:ascii="宋体" w:hAnsi="宋体"/>
          <w:color w:val="auto"/>
          <w:sz w:val="24"/>
        </w:rPr>
      </w:pPr>
      <w:r>
        <w:rPr>
          <w:rFonts w:ascii="宋体" w:hAnsi="宋体"/>
          <w:color w:val="auto"/>
          <w:sz w:val="24"/>
        </w:rPr>
        <w:t>法定代表人或其委托代理人：</w:t>
      </w:r>
      <w:r>
        <w:rPr>
          <w:rFonts w:ascii="宋体" w:hAnsi="宋体"/>
          <w:color w:val="auto"/>
          <w:sz w:val="24"/>
          <w:u w:val="single"/>
        </w:rPr>
        <w:t xml:space="preserve"> </w:t>
      </w:r>
      <w:r>
        <w:rPr>
          <w:rFonts w:ascii="宋体" w:hAnsi="宋体"/>
          <w:color w:val="auto"/>
          <w:sz w:val="24"/>
          <w:u w:val="single"/>
        </w:rPr>
        <w:tab/>
      </w:r>
      <w:r>
        <w:rPr>
          <w:rFonts w:ascii="宋体" w:hAnsi="宋体"/>
          <w:color w:val="auto"/>
          <w:sz w:val="24"/>
          <w:u w:val="single"/>
        </w:rPr>
        <w:tab/>
      </w:r>
      <w:r>
        <w:rPr>
          <w:rFonts w:ascii="宋体" w:hAnsi="宋体"/>
          <w:color w:val="auto"/>
          <w:sz w:val="24"/>
        </w:rPr>
        <w:t>(</w:t>
      </w:r>
      <w:r>
        <w:rPr>
          <w:rFonts w:ascii="宋体" w:hAnsi="宋体"/>
          <w:color w:val="auto"/>
          <w:spacing w:val="-1"/>
          <w:sz w:val="24"/>
        </w:rPr>
        <w:t>签</w:t>
      </w:r>
      <w:r>
        <w:rPr>
          <w:rFonts w:ascii="宋体" w:hAnsi="宋体"/>
          <w:color w:val="auto"/>
          <w:sz w:val="24"/>
        </w:rPr>
        <w:t xml:space="preserve">字) </w:t>
      </w:r>
    </w:p>
    <w:p>
      <w:pPr>
        <w:spacing w:line="480" w:lineRule="auto"/>
        <w:ind w:firstLine="3600" w:firstLineChars="1500"/>
        <w:rPr>
          <w:rFonts w:ascii="宋体" w:hAnsi="宋体"/>
          <w:color w:val="auto"/>
          <w:sz w:val="24"/>
        </w:rPr>
      </w:pPr>
      <w:r>
        <w:rPr>
          <w:rFonts w:hint="eastAsia" w:ascii="宋体" w:hAnsi="宋体"/>
          <w:color w:val="auto"/>
          <w:sz w:val="24"/>
        </w:rPr>
        <w:t>报价时间：</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400" w:lineRule="atLeast"/>
        <w:rPr>
          <w:color w:val="auto"/>
        </w:rPr>
      </w:pPr>
    </w:p>
    <w:p>
      <w:pPr>
        <w:spacing w:line="400" w:lineRule="atLeast"/>
        <w:rPr>
          <w:color w:val="auto"/>
          <w:sz w:val="24"/>
        </w:rPr>
      </w:pPr>
    </w:p>
    <w:p>
      <w:pPr>
        <w:spacing w:line="400" w:lineRule="atLeast"/>
        <w:rPr>
          <w:rFonts w:ascii="宋体" w:hAnsi="宋体"/>
          <w:b/>
          <w:bCs/>
          <w:color w:val="auto"/>
          <w:szCs w:val="21"/>
        </w:rPr>
      </w:pPr>
      <w:r>
        <w:rPr>
          <w:rFonts w:hint="eastAsia" w:ascii="宋体" w:hAnsi="宋体"/>
          <w:b/>
          <w:bCs/>
          <w:color w:val="auto"/>
          <w:szCs w:val="21"/>
        </w:rPr>
        <w:t>注：</w:t>
      </w:r>
    </w:p>
    <w:p>
      <w:pPr>
        <w:numPr>
          <w:ilvl w:val="0"/>
          <w:numId w:val="1"/>
        </w:numPr>
        <w:spacing w:line="360" w:lineRule="auto"/>
        <w:rPr>
          <w:rFonts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kern w:val="0"/>
          <w:sz w:val="20"/>
          <w:szCs w:val="20"/>
        </w:rPr>
        <w:t>报价包含实施和完成项目所需的油费、高速通行费、维修费、保养费、保险费、年审费、人工工资、税金等所有费用，采购人不再另行支付其他费用。</w:t>
      </w:r>
      <w:r>
        <w:rPr>
          <w:rFonts w:hint="eastAsia" w:asciiTheme="minorEastAsia" w:hAnsiTheme="minorEastAsia" w:eastAsiaTheme="minorEastAsia" w:cstheme="minorEastAsia"/>
          <w:b/>
          <w:bCs/>
          <w:color w:val="auto"/>
          <w:sz w:val="20"/>
          <w:szCs w:val="20"/>
        </w:rPr>
        <w:t>2、总价人民币大写金额与小写金额应当一致，不一致时以大写金额为准；总价应与清单中的合计金额一致，不一致时询价人有权否决报价人的报价文件。3、本清单中所列数量是估算的预计数量，仅作为报价的共同基础，不能作为最终结算与支付的依据。实际支付按实际完成的数量，以本清单的单价按最终报价下浮比例下浮后计算支付金额。</w:t>
      </w:r>
    </w:p>
    <w:p>
      <w:pPr>
        <w:rPr>
          <w:color w:val="auto"/>
        </w:rPr>
      </w:pPr>
    </w:p>
    <w:p>
      <w:pPr>
        <w:spacing w:before="312" w:beforeLines="100" w:after="312" w:afterLines="100" w:line="360" w:lineRule="auto"/>
        <w:ind w:firstLine="600"/>
        <w:jc w:val="center"/>
        <w:outlineLvl w:val="2"/>
        <w:rPr>
          <w:rFonts w:eastAsia="黑体"/>
          <w:bCs/>
          <w:color w:val="auto"/>
          <w:sz w:val="30"/>
          <w:szCs w:val="30"/>
        </w:rPr>
      </w:pPr>
      <w:r>
        <w:rPr>
          <w:rFonts w:hint="eastAsia" w:eastAsia="黑体"/>
          <w:bCs/>
          <w:color w:val="auto"/>
          <w:sz w:val="30"/>
          <w:szCs w:val="30"/>
        </w:rPr>
        <w:t>信誉承诺表</w:t>
      </w:r>
    </w:p>
    <w:p>
      <w:pPr>
        <w:ind w:firstLine="480"/>
        <w:rPr>
          <w:color w:val="auto"/>
        </w:rPr>
      </w:pPr>
    </w:p>
    <w:tbl>
      <w:tblPr>
        <w:tblStyle w:val="7"/>
        <w:tblW w:w="95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39"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360" w:lineRule="auto"/>
              <w:jc w:val="center"/>
              <w:rPr>
                <w:color w:val="auto"/>
                <w:szCs w:val="21"/>
              </w:rPr>
            </w:pPr>
            <w:r>
              <w:rPr>
                <w:rFonts w:hint="eastAsia"/>
                <w:color w:val="auto"/>
                <w:szCs w:val="21"/>
              </w:rPr>
              <w:t>序号</w:t>
            </w:r>
          </w:p>
        </w:tc>
        <w:tc>
          <w:tcPr>
            <w:tcW w:w="621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360" w:lineRule="auto"/>
              <w:jc w:val="center"/>
              <w:rPr>
                <w:color w:val="auto"/>
                <w:szCs w:val="21"/>
              </w:rPr>
            </w:pPr>
            <w:r>
              <w:rPr>
                <w:rFonts w:hint="eastAsia"/>
                <w:color w:val="auto"/>
                <w:szCs w:val="21"/>
              </w:rPr>
              <w:t>信誉内容</w:t>
            </w:r>
          </w:p>
        </w:tc>
        <w:tc>
          <w:tcPr>
            <w:tcW w:w="2257" w:type="dxa"/>
            <w:tcBorders>
              <w:top w:val="single" w:color="auto" w:sz="12" w:space="0"/>
              <w:left w:val="single" w:color="auto" w:sz="6" w:space="0"/>
              <w:bottom w:val="single" w:color="auto" w:sz="6" w:space="0"/>
              <w:right w:val="single" w:color="auto" w:sz="12" w:space="0"/>
            </w:tcBorders>
            <w:vAlign w:val="center"/>
          </w:tcPr>
          <w:p>
            <w:pPr>
              <w:adjustRightInd w:val="0"/>
              <w:snapToGrid w:val="0"/>
              <w:spacing w:line="360" w:lineRule="auto"/>
              <w:jc w:val="center"/>
              <w:rPr>
                <w:color w:val="auto"/>
                <w:szCs w:val="21"/>
              </w:rPr>
            </w:pPr>
            <w:r>
              <w:rPr>
                <w:rFonts w:hint="eastAsia"/>
                <w:color w:val="auto"/>
                <w:szCs w:val="21"/>
              </w:rPr>
              <w:t>报价人情况说明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360" w:lineRule="auto"/>
              <w:jc w:val="center"/>
              <w:rPr>
                <w:color w:val="auto"/>
                <w:szCs w:val="21"/>
              </w:rPr>
            </w:pPr>
            <w:r>
              <w:rPr>
                <w:color w:val="auto"/>
                <w:szCs w:val="21"/>
              </w:rPr>
              <w:t>1</w:t>
            </w:r>
          </w:p>
        </w:tc>
        <w:tc>
          <w:tcPr>
            <w:tcW w:w="62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ascii="华文细黑" w:hAnsi="华文细黑"/>
                <w:color w:val="auto"/>
                <w:sz w:val="24"/>
                <w:szCs w:val="26"/>
              </w:rPr>
            </w:pPr>
            <w:r>
              <w:rPr>
                <w:rFonts w:hint="eastAsia" w:ascii="华文细黑" w:hAnsi="华文细黑"/>
                <w:color w:val="auto"/>
                <w:szCs w:val="26"/>
              </w:rPr>
              <w:t>是否</w:t>
            </w:r>
            <w:r>
              <w:rPr>
                <w:rFonts w:hint="eastAsia" w:ascii="华文细黑" w:hAnsi="华文细黑"/>
                <w:color w:val="auto"/>
                <w:sz w:val="24"/>
                <w:szCs w:val="26"/>
              </w:rPr>
              <w:t>被责令停业，暂扣或吊销执照，或吊销资质证书</w:t>
            </w:r>
          </w:p>
        </w:tc>
        <w:tc>
          <w:tcPr>
            <w:tcW w:w="2257"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360" w:lineRule="auto"/>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1039"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jc w:val="center"/>
              <w:rPr>
                <w:color w:val="auto"/>
                <w:szCs w:val="21"/>
              </w:rPr>
            </w:pPr>
            <w:r>
              <w:rPr>
                <w:color w:val="auto"/>
                <w:szCs w:val="21"/>
              </w:rPr>
              <w:t>2</w:t>
            </w:r>
          </w:p>
        </w:tc>
        <w:tc>
          <w:tcPr>
            <w:tcW w:w="62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ascii="华文细黑" w:hAnsi="华文细黑"/>
                <w:color w:val="auto"/>
                <w:sz w:val="24"/>
                <w:szCs w:val="26"/>
              </w:rPr>
            </w:pPr>
            <w:r>
              <w:rPr>
                <w:rFonts w:hint="eastAsia" w:ascii="华文细黑" w:hAnsi="华文细黑"/>
                <w:color w:val="auto"/>
                <w:szCs w:val="26"/>
              </w:rPr>
              <w:t>是否</w:t>
            </w:r>
            <w:r>
              <w:rPr>
                <w:rFonts w:hint="eastAsia" w:ascii="华文细黑" w:hAnsi="华文细黑"/>
                <w:color w:val="auto"/>
                <w:sz w:val="24"/>
                <w:szCs w:val="26"/>
              </w:rPr>
              <w:t>进入清算程序，或被宣告破产，或其他丧失履约能力的情形</w:t>
            </w:r>
          </w:p>
        </w:tc>
        <w:tc>
          <w:tcPr>
            <w:tcW w:w="2257"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360" w:lineRule="auto"/>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jc w:val="center"/>
              <w:rPr>
                <w:color w:val="auto"/>
                <w:szCs w:val="21"/>
              </w:rPr>
            </w:pPr>
            <w:r>
              <w:rPr>
                <w:color w:val="auto"/>
                <w:szCs w:val="21"/>
              </w:rPr>
              <w:t>3</w:t>
            </w:r>
          </w:p>
        </w:tc>
        <w:tc>
          <w:tcPr>
            <w:tcW w:w="62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ascii="华文细黑" w:hAnsi="华文细黑"/>
                <w:color w:val="auto"/>
                <w:sz w:val="24"/>
                <w:szCs w:val="26"/>
              </w:rPr>
            </w:pPr>
            <w:r>
              <w:rPr>
                <w:rFonts w:hint="eastAsia" w:ascii="华文细黑" w:hAnsi="华文细黑"/>
                <w:color w:val="auto"/>
                <w:szCs w:val="26"/>
              </w:rPr>
              <w:t>是否</w:t>
            </w:r>
            <w:r>
              <w:rPr>
                <w:rFonts w:hint="eastAsia" w:ascii="华文细黑" w:hAnsi="华文细黑"/>
                <w:color w:val="auto"/>
                <w:sz w:val="24"/>
                <w:szCs w:val="26"/>
              </w:rPr>
              <w:t>在国家企业信用信息公示系统</w:t>
            </w:r>
            <w:r>
              <w:rPr>
                <w:color w:val="auto"/>
              </w:rPr>
              <w:fldChar w:fldCharType="begin"/>
            </w:r>
            <w:r>
              <w:rPr>
                <w:color w:val="auto"/>
              </w:rPr>
              <w:instrText xml:space="preserve"> HYPERLINK "http://www.gsxt.gov.cn/" </w:instrText>
            </w:r>
            <w:r>
              <w:rPr>
                <w:color w:val="auto"/>
              </w:rPr>
              <w:fldChar w:fldCharType="separate"/>
            </w:r>
            <w:r>
              <w:rPr>
                <w:rStyle w:val="9"/>
                <w:rFonts w:hint="eastAsia" w:ascii="华文细黑" w:hAnsi="华文细黑"/>
                <w:color w:val="auto"/>
                <w:sz w:val="24"/>
                <w:szCs w:val="26"/>
              </w:rPr>
              <w:t>（http://www.gsxt.gov.cn</w:t>
            </w:r>
            <w:r>
              <w:rPr>
                <w:rStyle w:val="9"/>
                <w:rFonts w:hint="eastAsia" w:ascii="华文细黑" w:hAnsi="华文细黑"/>
                <w:color w:val="auto"/>
                <w:sz w:val="24"/>
                <w:szCs w:val="26"/>
              </w:rPr>
              <w:fldChar w:fldCharType="end"/>
            </w:r>
            <w:r>
              <w:rPr>
                <w:rFonts w:hint="eastAsia" w:ascii="华文细黑" w:hAnsi="华文细黑"/>
                <w:color w:val="auto"/>
                <w:sz w:val="24"/>
                <w:szCs w:val="26"/>
              </w:rPr>
              <w:t>）中被列入严重违法失信企业名单</w:t>
            </w:r>
          </w:p>
        </w:tc>
        <w:tc>
          <w:tcPr>
            <w:tcW w:w="2257"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360" w:lineRule="auto"/>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jc w:val="center"/>
              <w:rPr>
                <w:color w:val="auto"/>
                <w:szCs w:val="21"/>
              </w:rPr>
            </w:pPr>
            <w:r>
              <w:rPr>
                <w:color w:val="auto"/>
                <w:szCs w:val="21"/>
              </w:rPr>
              <w:t>4</w:t>
            </w:r>
          </w:p>
        </w:tc>
        <w:tc>
          <w:tcPr>
            <w:tcW w:w="62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ascii="华文细黑" w:hAnsi="华文细黑"/>
                <w:color w:val="auto"/>
                <w:sz w:val="24"/>
                <w:szCs w:val="26"/>
              </w:rPr>
            </w:pPr>
            <w:r>
              <w:rPr>
                <w:rFonts w:hint="eastAsia" w:ascii="华文细黑" w:hAnsi="华文细黑"/>
                <w:color w:val="auto"/>
                <w:szCs w:val="26"/>
              </w:rPr>
              <w:t>是否</w:t>
            </w:r>
            <w:r>
              <w:rPr>
                <w:rFonts w:hint="eastAsia" w:ascii="华文细黑" w:hAnsi="华文细黑"/>
                <w:color w:val="auto"/>
                <w:sz w:val="24"/>
                <w:szCs w:val="26"/>
              </w:rPr>
              <w:t>在“信用中国”网站（</w:t>
            </w:r>
            <w:r>
              <w:rPr>
                <w:color w:val="auto"/>
              </w:rPr>
              <w:fldChar w:fldCharType="begin"/>
            </w:r>
            <w:r>
              <w:rPr>
                <w:color w:val="auto"/>
              </w:rPr>
              <w:instrText xml:space="preserve"> HYPERLINK "http://www.creditchina.gov.cn/" </w:instrText>
            </w:r>
            <w:r>
              <w:rPr>
                <w:color w:val="auto"/>
              </w:rPr>
              <w:fldChar w:fldCharType="separate"/>
            </w:r>
            <w:r>
              <w:rPr>
                <w:rStyle w:val="9"/>
                <w:rFonts w:hint="eastAsia" w:ascii="华文细黑" w:hAnsi="华文细黑"/>
                <w:color w:val="auto"/>
                <w:sz w:val="24"/>
                <w:szCs w:val="26"/>
              </w:rPr>
              <w:t>http://www.creditchina.gov.cn</w:t>
            </w:r>
            <w:r>
              <w:rPr>
                <w:rStyle w:val="9"/>
                <w:rFonts w:hint="eastAsia" w:ascii="华文细黑" w:hAnsi="华文细黑"/>
                <w:color w:val="auto"/>
                <w:sz w:val="24"/>
                <w:szCs w:val="26"/>
              </w:rPr>
              <w:fldChar w:fldCharType="end"/>
            </w:r>
            <w:r>
              <w:rPr>
                <w:rFonts w:hint="eastAsia" w:ascii="华文细黑" w:hAnsi="华文细黑"/>
                <w:color w:val="auto"/>
                <w:sz w:val="24"/>
                <w:szCs w:val="26"/>
              </w:rPr>
              <w:t>）中被列入失信被执行人名单</w:t>
            </w:r>
          </w:p>
        </w:tc>
        <w:tc>
          <w:tcPr>
            <w:tcW w:w="2257"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360" w:lineRule="auto"/>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tcBorders>
              <w:top w:val="single" w:color="auto" w:sz="6" w:space="0"/>
              <w:left w:val="single" w:color="auto" w:sz="12" w:space="0"/>
              <w:bottom w:val="single" w:color="auto" w:sz="12" w:space="0"/>
              <w:right w:val="single" w:color="auto" w:sz="6" w:space="0"/>
            </w:tcBorders>
            <w:vAlign w:val="center"/>
          </w:tcPr>
          <w:p>
            <w:pPr>
              <w:adjustRightInd w:val="0"/>
              <w:snapToGrid w:val="0"/>
              <w:spacing w:line="360" w:lineRule="auto"/>
              <w:jc w:val="center"/>
              <w:rPr>
                <w:rFonts w:eastAsiaTheme="minorEastAsia"/>
                <w:color w:val="auto"/>
                <w:szCs w:val="21"/>
              </w:rPr>
            </w:pPr>
            <w:r>
              <w:rPr>
                <w:rFonts w:hint="eastAsia"/>
                <w:color w:val="auto"/>
                <w:szCs w:val="21"/>
              </w:rPr>
              <w:t>5</w:t>
            </w:r>
          </w:p>
        </w:tc>
        <w:tc>
          <w:tcPr>
            <w:tcW w:w="6219"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napToGrid w:val="0"/>
              <w:rPr>
                <w:rFonts w:ascii="华文细黑" w:hAnsi="华文细黑" w:eastAsiaTheme="minorEastAsia"/>
                <w:color w:val="auto"/>
                <w:szCs w:val="26"/>
              </w:rPr>
            </w:pPr>
            <w:r>
              <w:rPr>
                <w:rFonts w:hint="eastAsia" w:ascii="华文细黑" w:hAnsi="华文细黑"/>
                <w:color w:val="auto"/>
                <w:sz w:val="24"/>
                <w:szCs w:val="26"/>
              </w:rPr>
              <w:t>报价人是否存在弄虚作假的行为</w:t>
            </w:r>
          </w:p>
        </w:tc>
        <w:tc>
          <w:tcPr>
            <w:tcW w:w="2257" w:type="dxa"/>
            <w:tcBorders>
              <w:top w:val="single" w:color="auto" w:sz="6" w:space="0"/>
              <w:left w:val="single" w:color="auto" w:sz="6" w:space="0"/>
              <w:bottom w:val="single" w:color="auto" w:sz="12" w:space="0"/>
              <w:right w:val="single" w:color="auto" w:sz="12" w:space="0"/>
            </w:tcBorders>
            <w:vAlign w:val="center"/>
          </w:tcPr>
          <w:p>
            <w:pPr>
              <w:adjustRightInd w:val="0"/>
              <w:snapToGrid w:val="0"/>
              <w:spacing w:line="360" w:lineRule="auto"/>
              <w:rPr>
                <w:color w:val="auto"/>
                <w:szCs w:val="21"/>
              </w:rPr>
            </w:pPr>
          </w:p>
        </w:tc>
      </w:tr>
    </w:tbl>
    <w:p>
      <w:pPr>
        <w:jc w:val="left"/>
        <w:rPr>
          <w:color w:val="auto"/>
          <w:sz w:val="24"/>
        </w:rPr>
      </w:pPr>
      <w:r>
        <w:rPr>
          <w:color w:val="auto"/>
          <w:sz w:val="24"/>
        </w:rPr>
        <w:t>注：1.</w:t>
      </w:r>
      <w:r>
        <w:rPr>
          <w:rFonts w:hint="eastAsia"/>
          <w:color w:val="auto"/>
          <w:sz w:val="24"/>
        </w:rPr>
        <w:t>报价人情况说明请填写“是”或“否”。</w:t>
      </w:r>
    </w:p>
    <w:p>
      <w:pPr>
        <w:ind w:left="479" w:leftChars="228"/>
        <w:rPr>
          <w:color w:val="auto"/>
          <w:sz w:val="24"/>
        </w:rPr>
      </w:pPr>
      <w:r>
        <w:rPr>
          <w:color w:val="auto"/>
          <w:sz w:val="24"/>
        </w:rPr>
        <w:t>2.</w:t>
      </w:r>
      <w:r>
        <w:rPr>
          <w:rFonts w:hint="eastAsia"/>
          <w:color w:val="auto"/>
          <w:sz w:val="24"/>
        </w:rPr>
        <w:t>报价</w:t>
      </w:r>
      <w:r>
        <w:rPr>
          <w:color w:val="auto"/>
          <w:sz w:val="24"/>
        </w:rPr>
        <w:t>人应如实填写本表，如隐瞒真实情况，一旦发现</w:t>
      </w:r>
      <w:r>
        <w:rPr>
          <w:rFonts w:hint="eastAsia"/>
          <w:color w:val="auto"/>
          <w:sz w:val="24"/>
        </w:rPr>
        <w:t>询价人有权</w:t>
      </w:r>
      <w:r>
        <w:rPr>
          <w:color w:val="auto"/>
          <w:sz w:val="24"/>
        </w:rPr>
        <w:t>取消其</w:t>
      </w:r>
      <w:r>
        <w:rPr>
          <w:rFonts w:hint="eastAsia"/>
          <w:color w:val="auto"/>
          <w:sz w:val="24"/>
        </w:rPr>
        <w:t>中选</w:t>
      </w:r>
      <w:r>
        <w:rPr>
          <w:color w:val="auto"/>
          <w:sz w:val="24"/>
        </w:rPr>
        <w:t>资格</w:t>
      </w:r>
      <w:r>
        <w:rPr>
          <w:rFonts w:hint="eastAsia"/>
          <w:color w:val="auto"/>
          <w:sz w:val="24"/>
        </w:rPr>
        <w:t>，并没收其询价保证金。</w:t>
      </w:r>
    </w:p>
    <w:p>
      <w:pPr>
        <w:pStyle w:val="2"/>
        <w:spacing w:before="0" w:after="0" w:line="240" w:lineRule="auto"/>
        <w:ind w:left="479" w:leftChars="228"/>
        <w:rPr>
          <w:b w:val="0"/>
          <w:color w:val="auto"/>
          <w:sz w:val="24"/>
        </w:rPr>
      </w:pPr>
      <w:r>
        <w:rPr>
          <w:rFonts w:hint="eastAsia"/>
          <w:b w:val="0"/>
          <w:color w:val="auto"/>
          <w:sz w:val="24"/>
        </w:rPr>
        <w:t>3.询价人有权核查报价人在报价文件中提供的资料，若在评审期间发现报价人提供了虚假资料，其报价将被否决并没收其询价保证金；若在签订合同前发现第一成交候选人提供了虚假资料，询价人有权取消其中选资格并没收其询价保证金；若在合同实施期间发现中选人提供了虚假资料，询价人有权从工程支付款或履约保证金中扣除10%签约合同价的金额作为违约金。同时询价人有权将报价人上述弄虚作假行为上报相关主管部门,作为不良记录纳入相应市场信用信息管理系统。</w:t>
      </w:r>
    </w:p>
    <w:p>
      <w:pPr>
        <w:rPr>
          <w:color w:val="auto"/>
          <w:szCs w:val="21"/>
        </w:rPr>
      </w:pPr>
    </w:p>
    <w:p>
      <w:pPr>
        <w:tabs>
          <w:tab w:val="left" w:pos="7460"/>
          <w:tab w:val="left" w:pos="8080"/>
          <w:tab w:val="left" w:pos="8800"/>
        </w:tabs>
        <w:autoSpaceDE w:val="0"/>
        <w:autoSpaceDN w:val="0"/>
        <w:adjustRightInd w:val="0"/>
        <w:spacing w:line="360" w:lineRule="auto"/>
        <w:ind w:left="3641" w:right="61"/>
        <w:rPr>
          <w:rFonts w:ascii="宋体" w:hAnsi="宋体"/>
          <w:color w:val="auto"/>
          <w:sz w:val="24"/>
        </w:rPr>
      </w:pPr>
      <w:r>
        <w:rPr>
          <w:rFonts w:hint="eastAsia" w:ascii="宋体" w:hAnsi="宋体"/>
          <w:color w:val="auto"/>
          <w:sz w:val="24"/>
        </w:rPr>
        <w:t>承诺人：</w:t>
      </w:r>
      <w:r>
        <w:rPr>
          <w:rFonts w:hint="eastAsia" w:ascii="宋体" w:hAnsi="宋体"/>
          <w:color w:val="auto"/>
          <w:sz w:val="24"/>
          <w:u w:val="single"/>
        </w:rPr>
        <w:t xml:space="preserve">                         </w:t>
      </w:r>
      <w:r>
        <w:rPr>
          <w:rFonts w:hint="eastAsia" w:ascii="宋体" w:hAnsi="宋体"/>
          <w:color w:val="auto"/>
          <w:sz w:val="24"/>
        </w:rPr>
        <w:t>(盖</w:t>
      </w:r>
      <w:r>
        <w:rPr>
          <w:rFonts w:hint="eastAsia" w:ascii="宋体" w:hAnsi="宋体"/>
          <w:color w:val="auto"/>
          <w:spacing w:val="-1"/>
          <w:sz w:val="24"/>
        </w:rPr>
        <w:t>单</w:t>
      </w:r>
      <w:r>
        <w:rPr>
          <w:rFonts w:hint="eastAsia" w:ascii="宋体" w:hAnsi="宋体"/>
          <w:color w:val="auto"/>
          <w:sz w:val="24"/>
        </w:rPr>
        <w:t xml:space="preserve">位章) </w:t>
      </w:r>
    </w:p>
    <w:p>
      <w:pPr>
        <w:tabs>
          <w:tab w:val="left" w:pos="7460"/>
          <w:tab w:val="left" w:pos="8080"/>
          <w:tab w:val="left" w:pos="8800"/>
        </w:tabs>
        <w:autoSpaceDE w:val="0"/>
        <w:autoSpaceDN w:val="0"/>
        <w:adjustRightInd w:val="0"/>
        <w:spacing w:line="360" w:lineRule="auto"/>
        <w:ind w:left="3641" w:right="61"/>
        <w:rPr>
          <w:rFonts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rPr>
        <w:t>(</w:t>
      </w:r>
      <w:r>
        <w:rPr>
          <w:rFonts w:hint="eastAsia" w:ascii="宋体" w:hAnsi="宋体"/>
          <w:color w:val="auto"/>
          <w:spacing w:val="-1"/>
          <w:sz w:val="24"/>
        </w:rPr>
        <w:t>签</w:t>
      </w:r>
      <w:r>
        <w:rPr>
          <w:rFonts w:hint="eastAsia" w:ascii="宋体" w:hAnsi="宋体"/>
          <w:color w:val="auto"/>
          <w:sz w:val="24"/>
        </w:rPr>
        <w:t xml:space="preserve">字) </w:t>
      </w:r>
    </w:p>
    <w:p>
      <w:pPr>
        <w:ind w:firstLine="3720" w:firstLineChars="1550"/>
        <w:rPr>
          <w:rFonts w:ascii="宋体" w:hAnsi="宋体"/>
          <w:color w:val="auto"/>
          <w:sz w:val="24"/>
        </w:rPr>
      </w:pPr>
      <w:r>
        <w:rPr>
          <w:rFonts w:hint="eastAsia" w:ascii="宋体" w:hAnsi="宋体"/>
          <w:color w:val="auto"/>
          <w:sz w:val="24"/>
        </w:rPr>
        <w:t>承诺时间：</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before="312" w:beforeLines="100" w:after="312" w:afterLines="100" w:line="360" w:lineRule="auto"/>
        <w:jc w:val="center"/>
        <w:outlineLvl w:val="2"/>
        <w:rPr>
          <w:color w:val="auto"/>
        </w:rPr>
      </w:pPr>
      <w:r>
        <w:rPr>
          <w:rFonts w:hint="eastAsia" w:ascii="宋体" w:hAnsi="宋体"/>
          <w:color w:val="auto"/>
          <w:sz w:val="24"/>
        </w:rPr>
        <w:br w:type="page"/>
      </w:r>
    </w:p>
    <w:p>
      <w:pPr>
        <w:pStyle w:val="3"/>
        <w:keepLines w:val="0"/>
        <w:spacing w:before="240" w:after="240" w:line="240" w:lineRule="auto"/>
        <w:jc w:val="center"/>
        <w:rPr>
          <w:rFonts w:ascii="Times New Roman" w:hAnsi="Times New Roman" w:eastAsia="黑体"/>
          <w:b w:val="0"/>
          <w:bCs w:val="0"/>
          <w:color w:val="auto"/>
          <w:kern w:val="44"/>
          <w:sz w:val="30"/>
          <w:szCs w:val="24"/>
        </w:rPr>
      </w:pPr>
      <w:bookmarkStart w:id="1" w:name="_Toc17780"/>
      <w:bookmarkStart w:id="2" w:name="_Toc19723"/>
      <w:bookmarkStart w:id="3" w:name="_Toc21968"/>
      <w:bookmarkStart w:id="4" w:name="_Toc6995"/>
      <w:r>
        <w:rPr>
          <w:rFonts w:hint="eastAsia" w:ascii="Times New Roman" w:hAnsi="Times New Roman" w:eastAsia="黑体"/>
          <w:b w:val="0"/>
          <w:bCs w:val="0"/>
          <w:color w:val="auto"/>
          <w:kern w:val="44"/>
          <w:sz w:val="30"/>
          <w:szCs w:val="24"/>
        </w:rPr>
        <w:t>承诺函</w:t>
      </w:r>
      <w:bookmarkEnd w:id="1"/>
      <w:bookmarkEnd w:id="2"/>
      <w:bookmarkEnd w:id="3"/>
      <w:bookmarkEnd w:id="4"/>
    </w:p>
    <w:p>
      <w:pPr>
        <w:spacing w:line="360" w:lineRule="auto"/>
        <w:rPr>
          <w:rFonts w:ascii="宋体" w:hAnsi="宋体"/>
          <w:color w:val="auto"/>
          <w:sz w:val="24"/>
        </w:rPr>
      </w:pPr>
    </w:p>
    <w:p>
      <w:pPr>
        <w:spacing w:before="240" w:after="240" w:line="500" w:lineRule="exact"/>
        <w:rPr>
          <w:rFonts w:ascii="宋体" w:hAnsi="宋体"/>
          <w:color w:val="auto"/>
          <w:sz w:val="24"/>
        </w:rPr>
      </w:pPr>
      <w:r>
        <w:rPr>
          <w:rFonts w:hint="eastAsia" w:ascii="宋体" w:hAnsi="宋体"/>
          <w:color w:val="auto"/>
          <w:sz w:val="24"/>
          <w:u w:val="single"/>
        </w:rPr>
        <w:t xml:space="preserve"> 赣州高速公路有限责任公司 </w:t>
      </w:r>
      <w:r>
        <w:rPr>
          <w:rFonts w:hint="eastAsia" w:ascii="宋体" w:hAnsi="宋体"/>
          <w:color w:val="auto"/>
          <w:sz w:val="24"/>
        </w:rPr>
        <w:t>（询价人名称）：</w:t>
      </w:r>
    </w:p>
    <w:p>
      <w:pPr>
        <w:spacing w:line="500" w:lineRule="exact"/>
        <w:ind w:firstLine="480" w:firstLineChars="200"/>
        <w:rPr>
          <w:rFonts w:ascii="宋体" w:hAnsi="宋体"/>
          <w:color w:val="auto"/>
          <w:sz w:val="24"/>
        </w:rPr>
      </w:pPr>
      <w:r>
        <w:rPr>
          <w:rFonts w:hint="eastAsia" w:ascii="宋体" w:hAnsi="宋体"/>
          <w:color w:val="auto"/>
          <w:sz w:val="24"/>
        </w:rPr>
        <w:t>我方参加了</w:t>
      </w:r>
      <w:r>
        <w:rPr>
          <w:rFonts w:hint="eastAsia" w:ascii="宋体" w:hAnsi="宋体"/>
          <w:color w:val="auto"/>
          <w:sz w:val="24"/>
          <w:u w:val="single"/>
        </w:rPr>
        <w:t xml:space="preserve"> 和畅机关及龙杨高速交通车服务项目 </w:t>
      </w:r>
      <w:r>
        <w:rPr>
          <w:rFonts w:hint="eastAsia" w:ascii="宋体" w:hAnsi="宋体"/>
          <w:color w:val="auto"/>
          <w:sz w:val="24"/>
        </w:rPr>
        <w:t>（项目名称）</w:t>
      </w:r>
      <w:r>
        <w:rPr>
          <w:rFonts w:hint="eastAsia" w:ascii="宋体" w:hAnsi="宋体"/>
          <w:color w:val="auto"/>
          <w:sz w:val="24"/>
          <w:u w:val="single"/>
        </w:rPr>
        <w:t xml:space="preserve"> 询价报价 </w:t>
      </w:r>
      <w:r>
        <w:rPr>
          <w:rFonts w:hint="eastAsia" w:ascii="宋体" w:hAnsi="宋体"/>
          <w:color w:val="auto"/>
          <w:sz w:val="24"/>
        </w:rPr>
        <w:t>，若我方中选，我方在此承诺：</w:t>
      </w:r>
    </w:p>
    <w:p>
      <w:pPr>
        <w:spacing w:line="500" w:lineRule="exact"/>
        <w:ind w:firstLine="480" w:firstLineChars="200"/>
        <w:rPr>
          <w:rFonts w:ascii="宋体" w:hAnsi="宋体"/>
          <w:color w:val="auto"/>
          <w:sz w:val="24"/>
        </w:rPr>
      </w:pPr>
      <w:r>
        <w:rPr>
          <w:rFonts w:hint="eastAsia" w:ascii="宋体" w:hAnsi="宋体"/>
          <w:color w:val="auto"/>
          <w:sz w:val="24"/>
        </w:rPr>
        <w:t>在询价人向我方发出中选通知书之前，我方将按照询价文件第二条“询价内容及要求”第二款“询价要求”的所有条款及约定，向询价人提供不低于询价要求的相应资料供询价人审核，并承诺我方能够提供不低于询价要求的所有服务。</w:t>
      </w:r>
    </w:p>
    <w:p>
      <w:pPr>
        <w:spacing w:line="500" w:lineRule="exact"/>
        <w:ind w:firstLine="480" w:firstLineChars="200"/>
        <w:rPr>
          <w:rFonts w:ascii="宋体" w:hAnsi="宋体"/>
          <w:color w:val="auto"/>
          <w:sz w:val="24"/>
        </w:rPr>
      </w:pPr>
      <w:r>
        <w:rPr>
          <w:rFonts w:hint="eastAsia" w:ascii="宋体" w:hAnsi="宋体"/>
          <w:color w:val="auto"/>
          <w:sz w:val="24"/>
        </w:rPr>
        <w:t>如我方违背了上述承诺，本项目询价人有权取消我方的中选资格且可以不退还我方的询价保证金，并可以将我方的违约行为上报相关部门，作为不良记录纳入相应市场信用信息管理系统。</w:t>
      </w:r>
    </w:p>
    <w:p>
      <w:pPr>
        <w:spacing w:line="360" w:lineRule="auto"/>
        <w:rPr>
          <w:rFonts w:ascii="宋体" w:hAnsi="宋体"/>
          <w:color w:val="auto"/>
          <w:sz w:val="24"/>
        </w:rPr>
      </w:pPr>
    </w:p>
    <w:p>
      <w:pPr>
        <w:spacing w:line="360" w:lineRule="auto"/>
        <w:rPr>
          <w:rFonts w:ascii="宋体" w:hAnsi="宋体"/>
          <w:color w:val="auto"/>
          <w:sz w:val="24"/>
        </w:rPr>
      </w:pPr>
    </w:p>
    <w:p>
      <w:pPr>
        <w:tabs>
          <w:tab w:val="left" w:pos="7460"/>
          <w:tab w:val="left" w:pos="8080"/>
          <w:tab w:val="left" w:pos="8800"/>
        </w:tabs>
        <w:autoSpaceDE w:val="0"/>
        <w:autoSpaceDN w:val="0"/>
        <w:adjustRightInd w:val="0"/>
        <w:spacing w:line="500" w:lineRule="exact"/>
        <w:ind w:left="2940" w:leftChars="1400"/>
        <w:rPr>
          <w:rFonts w:ascii="宋体" w:hAnsi="宋体"/>
          <w:color w:val="auto"/>
          <w:sz w:val="24"/>
        </w:rPr>
      </w:pPr>
      <w:r>
        <w:rPr>
          <w:rFonts w:hint="eastAsia" w:ascii="宋体" w:hAnsi="宋体"/>
          <w:color w:val="auto"/>
          <w:sz w:val="24"/>
        </w:rPr>
        <w:t>承诺人：</w:t>
      </w:r>
      <w:r>
        <w:rPr>
          <w:rFonts w:hint="eastAsia" w:ascii="宋体" w:hAnsi="宋体"/>
          <w:color w:val="auto"/>
          <w:sz w:val="24"/>
          <w:u w:val="single"/>
        </w:rPr>
        <w:t xml:space="preserve">                         </w:t>
      </w:r>
      <w:r>
        <w:rPr>
          <w:rFonts w:hint="eastAsia" w:ascii="宋体" w:hAnsi="宋体"/>
          <w:color w:val="auto"/>
          <w:sz w:val="24"/>
        </w:rPr>
        <w:t>(盖</w:t>
      </w:r>
      <w:r>
        <w:rPr>
          <w:rFonts w:hint="eastAsia" w:ascii="宋体" w:hAnsi="宋体"/>
          <w:color w:val="auto"/>
          <w:spacing w:val="-1"/>
          <w:sz w:val="24"/>
        </w:rPr>
        <w:t>单</w:t>
      </w:r>
      <w:r>
        <w:rPr>
          <w:rFonts w:hint="eastAsia" w:ascii="宋体" w:hAnsi="宋体"/>
          <w:color w:val="auto"/>
          <w:sz w:val="24"/>
        </w:rPr>
        <w:t xml:space="preserve">位章) </w:t>
      </w:r>
    </w:p>
    <w:p>
      <w:pPr>
        <w:tabs>
          <w:tab w:val="left" w:pos="7460"/>
          <w:tab w:val="left" w:pos="8080"/>
          <w:tab w:val="left" w:pos="8800"/>
        </w:tabs>
        <w:autoSpaceDE w:val="0"/>
        <w:autoSpaceDN w:val="0"/>
        <w:adjustRightInd w:val="0"/>
        <w:spacing w:line="500" w:lineRule="exact"/>
        <w:ind w:left="2940" w:leftChars="1400"/>
        <w:rPr>
          <w:rFonts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rPr>
        <w:t>(</w:t>
      </w:r>
      <w:r>
        <w:rPr>
          <w:rFonts w:hint="eastAsia" w:ascii="宋体" w:hAnsi="宋体"/>
          <w:color w:val="auto"/>
          <w:spacing w:val="-1"/>
          <w:sz w:val="24"/>
        </w:rPr>
        <w:t>签</w:t>
      </w:r>
      <w:r>
        <w:rPr>
          <w:rFonts w:hint="eastAsia" w:ascii="宋体" w:hAnsi="宋体"/>
          <w:color w:val="auto"/>
          <w:sz w:val="24"/>
        </w:rPr>
        <w:t xml:space="preserve">字) </w:t>
      </w:r>
    </w:p>
    <w:p>
      <w:pPr>
        <w:spacing w:line="500" w:lineRule="exact"/>
        <w:ind w:firstLine="3120" w:firstLineChars="1300"/>
        <w:rPr>
          <w:rFonts w:ascii="宋体" w:hAnsi="宋体"/>
          <w:color w:val="auto"/>
          <w:sz w:val="24"/>
        </w:rPr>
      </w:pPr>
      <w:r>
        <w:rPr>
          <w:rFonts w:hint="eastAsia" w:ascii="宋体" w:hAnsi="宋体"/>
          <w:color w:val="auto"/>
          <w:sz w:val="24"/>
        </w:rPr>
        <w:t>承诺时间：</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before="312" w:beforeLines="100" w:after="312" w:afterLines="100" w:line="400" w:lineRule="exact"/>
        <w:jc w:val="center"/>
        <w:outlineLvl w:val="2"/>
        <w:rPr>
          <w:rFonts w:eastAsia="黑体"/>
          <w:bCs/>
          <w:color w:val="auto"/>
          <w:sz w:val="30"/>
          <w:szCs w:val="30"/>
        </w:rPr>
      </w:pPr>
    </w:p>
    <w:p>
      <w:pPr>
        <w:spacing w:before="312" w:beforeLines="100" w:after="312" w:afterLines="100" w:line="400" w:lineRule="exact"/>
        <w:jc w:val="center"/>
        <w:outlineLvl w:val="2"/>
        <w:rPr>
          <w:rFonts w:eastAsia="黑体"/>
          <w:bCs/>
          <w:color w:val="auto"/>
          <w:sz w:val="30"/>
          <w:szCs w:val="30"/>
        </w:rPr>
      </w:pPr>
    </w:p>
    <w:p>
      <w:pPr>
        <w:spacing w:before="312" w:beforeLines="100" w:after="312" w:afterLines="100" w:line="400" w:lineRule="exact"/>
        <w:jc w:val="center"/>
        <w:outlineLvl w:val="2"/>
        <w:rPr>
          <w:rFonts w:eastAsia="黑体"/>
          <w:bCs/>
          <w:color w:val="auto"/>
          <w:sz w:val="30"/>
          <w:szCs w:val="30"/>
        </w:rPr>
      </w:pPr>
    </w:p>
    <w:p>
      <w:pPr>
        <w:spacing w:before="312" w:beforeLines="100" w:after="312" w:afterLines="100" w:line="400" w:lineRule="exact"/>
        <w:jc w:val="center"/>
        <w:outlineLvl w:val="2"/>
        <w:rPr>
          <w:rFonts w:eastAsia="黑体"/>
          <w:bCs/>
          <w:color w:val="auto"/>
          <w:sz w:val="30"/>
          <w:szCs w:val="30"/>
        </w:rPr>
      </w:pPr>
    </w:p>
    <w:p>
      <w:pPr>
        <w:spacing w:before="312" w:beforeLines="100" w:after="312" w:afterLines="100" w:line="400" w:lineRule="exact"/>
        <w:jc w:val="center"/>
        <w:outlineLvl w:val="2"/>
        <w:rPr>
          <w:rFonts w:eastAsia="黑体"/>
          <w:bCs/>
          <w:color w:val="auto"/>
          <w:sz w:val="30"/>
          <w:szCs w:val="30"/>
        </w:rPr>
      </w:pPr>
    </w:p>
    <w:p>
      <w:pPr>
        <w:spacing w:before="312" w:beforeLines="100" w:after="312" w:afterLines="100" w:line="400" w:lineRule="exact"/>
        <w:jc w:val="center"/>
        <w:outlineLvl w:val="2"/>
        <w:rPr>
          <w:rFonts w:eastAsia="黑体"/>
          <w:bCs/>
          <w:color w:val="auto"/>
          <w:sz w:val="30"/>
          <w:szCs w:val="30"/>
        </w:rPr>
      </w:pPr>
    </w:p>
    <w:p>
      <w:pPr>
        <w:spacing w:before="312" w:beforeLines="100" w:after="312" w:afterLines="100" w:line="400" w:lineRule="exact"/>
        <w:jc w:val="center"/>
        <w:outlineLvl w:val="2"/>
        <w:rPr>
          <w:rFonts w:eastAsia="黑体"/>
          <w:bCs/>
          <w:color w:val="auto"/>
          <w:sz w:val="30"/>
          <w:szCs w:val="30"/>
        </w:rPr>
      </w:pPr>
    </w:p>
    <w:p>
      <w:pPr>
        <w:spacing w:before="312" w:beforeLines="100" w:after="312" w:afterLines="100" w:line="400" w:lineRule="exact"/>
        <w:jc w:val="center"/>
        <w:outlineLvl w:val="2"/>
        <w:rPr>
          <w:rFonts w:eastAsia="黑体"/>
          <w:bCs/>
          <w:color w:val="auto"/>
          <w:sz w:val="30"/>
          <w:szCs w:val="30"/>
        </w:rPr>
      </w:pPr>
      <w:r>
        <w:rPr>
          <w:rFonts w:hint="eastAsia" w:eastAsia="黑体"/>
          <w:bCs/>
          <w:color w:val="auto"/>
          <w:sz w:val="30"/>
          <w:szCs w:val="30"/>
        </w:rPr>
        <w:t>其它资料</w:t>
      </w:r>
    </w:p>
    <w:p>
      <w:pPr>
        <w:spacing w:line="400" w:lineRule="exact"/>
        <w:rPr>
          <w:rFonts w:ascii="宋体" w:hAnsi="宋体"/>
          <w:color w:val="auto"/>
          <w:sz w:val="24"/>
        </w:rPr>
      </w:pPr>
    </w:p>
    <w:p>
      <w:pPr>
        <w:ind w:firstLine="480" w:firstLineChars="200"/>
        <w:rPr>
          <w:rFonts w:ascii="宋体" w:hAnsi="宋体"/>
          <w:color w:val="auto"/>
          <w:sz w:val="24"/>
        </w:rPr>
      </w:pPr>
      <w:r>
        <w:rPr>
          <w:rFonts w:hint="eastAsia" w:ascii="宋体" w:hAnsi="宋体"/>
          <w:color w:val="auto"/>
          <w:sz w:val="24"/>
        </w:rPr>
        <w:t>营业执照、道路运输经营许可证、业绩证明材料等</w:t>
      </w:r>
    </w:p>
    <w:p>
      <w:pPr>
        <w:rPr>
          <w:rFonts w:ascii="宋体" w:hAnsi="宋体"/>
          <w:color w:val="auto"/>
          <w:sz w:val="24"/>
        </w:rPr>
      </w:pPr>
    </w:p>
    <w:p>
      <w:pPr>
        <w:rPr>
          <w:rFonts w:ascii="宋体" w:hAnsi="宋体"/>
          <w:color w:val="auto"/>
          <w:sz w:val="24"/>
        </w:rPr>
      </w:pPr>
    </w:p>
    <w:p>
      <w:pPr>
        <w:spacing w:line="400" w:lineRule="exact"/>
        <w:ind w:firstLine="480" w:firstLineChars="200"/>
        <w:rPr>
          <w:rFonts w:ascii="宋体" w:hAnsi="宋体"/>
          <w:color w:val="auto"/>
          <w:sz w:val="24"/>
        </w:rPr>
      </w:pPr>
      <w:r>
        <w:rPr>
          <w:rFonts w:hint="eastAsia" w:ascii="宋体" w:hAnsi="宋体"/>
          <w:color w:val="auto"/>
          <w:sz w:val="24"/>
        </w:rPr>
        <w:t>注：1、营业执照提供复印件，并加盖公章；2、道路运输经营许可证提供复印件，并加盖公章；2、业绩证明材料提供合同扫描件，并逐页加盖公章。</w:t>
      </w:r>
    </w:p>
    <w:p>
      <w:pPr>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rPr>
          <w:rFonts w:eastAsia="仿宋_GB2312"/>
          <w:color w:val="auto"/>
          <w:sz w:val="30"/>
          <w:szCs w:val="30"/>
        </w:rPr>
      </w:pPr>
    </w:p>
    <w:p>
      <w:pPr>
        <w:jc w:val="center"/>
        <w:rPr>
          <w:rFonts w:eastAsia="黑体"/>
          <w:b/>
          <w:color w:val="auto"/>
          <w:sz w:val="36"/>
          <w:szCs w:val="36"/>
        </w:rPr>
      </w:pPr>
      <w:r>
        <w:rPr>
          <w:rFonts w:hint="eastAsia" w:eastAsia="黑体"/>
          <w:b/>
          <w:color w:val="auto"/>
          <w:sz w:val="36"/>
          <w:szCs w:val="36"/>
        </w:rPr>
        <w:t>和畅机关及龙杨高速</w:t>
      </w:r>
      <w:r>
        <w:rPr>
          <w:rFonts w:eastAsia="黑体"/>
          <w:b/>
          <w:color w:val="auto"/>
          <w:sz w:val="36"/>
          <w:szCs w:val="36"/>
        </w:rPr>
        <w:t>交通车服务项目协议</w:t>
      </w:r>
    </w:p>
    <w:p>
      <w:pPr>
        <w:rPr>
          <w:rFonts w:eastAsia="仿宋_GB2312"/>
          <w:color w:val="auto"/>
          <w:sz w:val="30"/>
          <w:szCs w:val="30"/>
        </w:rPr>
      </w:pPr>
    </w:p>
    <w:p>
      <w:pPr>
        <w:rPr>
          <w:color w:val="auto"/>
          <w:sz w:val="28"/>
          <w:szCs w:val="28"/>
        </w:rPr>
      </w:pPr>
      <w:r>
        <w:rPr>
          <w:rFonts w:eastAsia="仿宋_GB2312"/>
          <w:color w:val="auto"/>
          <w:sz w:val="28"/>
          <w:szCs w:val="28"/>
        </w:rPr>
        <w:t>甲方（包车方）：赣州高速公路有限责任公司</w:t>
      </w:r>
    </w:p>
    <w:p>
      <w:pPr>
        <w:rPr>
          <w:color w:val="auto"/>
          <w:sz w:val="28"/>
          <w:szCs w:val="28"/>
        </w:rPr>
      </w:pPr>
      <w:r>
        <w:rPr>
          <w:rFonts w:eastAsia="仿宋_GB2312"/>
          <w:color w:val="auto"/>
          <w:sz w:val="28"/>
          <w:szCs w:val="28"/>
        </w:rPr>
        <w:t>乙方（承运方）：</w:t>
      </w:r>
      <w:r>
        <w:rPr>
          <w:rFonts w:hint="eastAsia" w:eastAsia="仿宋_GB2312"/>
          <w:color w:val="auto"/>
          <w:sz w:val="28"/>
          <w:szCs w:val="28"/>
        </w:rPr>
        <w:t>XXX</w:t>
      </w:r>
    </w:p>
    <w:p>
      <w:pPr>
        <w:ind w:firstLine="560" w:firstLineChars="200"/>
        <w:rPr>
          <w:rFonts w:eastAsia="仿宋_GB2312"/>
          <w:color w:val="auto"/>
          <w:sz w:val="28"/>
          <w:szCs w:val="28"/>
        </w:rPr>
      </w:pPr>
      <w:r>
        <w:rPr>
          <w:rFonts w:eastAsia="仿宋_GB2312"/>
          <w:color w:val="auto"/>
          <w:sz w:val="28"/>
          <w:szCs w:val="28"/>
        </w:rPr>
        <w:t>根据《中华人民共和国民法典》及有关法律法规，甲乙双方遵循平等、自愿、公平和诚实信用的原则，就</w:t>
      </w:r>
      <w:r>
        <w:rPr>
          <w:rFonts w:hint="eastAsia" w:eastAsia="仿宋_GB2312"/>
          <w:color w:val="auto"/>
          <w:sz w:val="28"/>
          <w:szCs w:val="28"/>
        </w:rPr>
        <w:t>和畅机关及龙杨高速</w:t>
      </w:r>
      <w:r>
        <w:rPr>
          <w:rFonts w:eastAsia="仿宋_GB2312"/>
          <w:color w:val="auto"/>
          <w:sz w:val="28"/>
          <w:szCs w:val="28"/>
        </w:rPr>
        <w:t>交通车服务项目事宜协商一致，共同达成本协议：</w:t>
      </w:r>
    </w:p>
    <w:p>
      <w:pPr>
        <w:ind w:firstLine="562" w:firstLineChars="200"/>
        <w:rPr>
          <w:rFonts w:eastAsia="仿宋_GB2312"/>
          <w:b/>
          <w:color w:val="auto"/>
          <w:sz w:val="28"/>
          <w:szCs w:val="28"/>
        </w:rPr>
      </w:pPr>
      <w:r>
        <w:rPr>
          <w:rFonts w:eastAsia="仿宋_GB2312"/>
          <w:b/>
          <w:color w:val="auto"/>
          <w:sz w:val="28"/>
          <w:szCs w:val="28"/>
        </w:rPr>
        <w:t>一、员工交通车服务概况</w:t>
      </w:r>
    </w:p>
    <w:p>
      <w:pPr>
        <w:ind w:firstLine="560" w:firstLineChars="200"/>
        <w:rPr>
          <w:rFonts w:eastAsia="仿宋_GB2312"/>
          <w:color w:val="auto"/>
          <w:sz w:val="28"/>
          <w:szCs w:val="28"/>
        </w:rPr>
      </w:pPr>
      <w:r>
        <w:rPr>
          <w:rFonts w:hint="eastAsia" w:eastAsia="仿宋_GB2312"/>
          <w:color w:val="auto"/>
          <w:sz w:val="28"/>
          <w:szCs w:val="28"/>
        </w:rPr>
        <w:t>1、和畅机关交通车：33座或以上大巴，每个工作日往返赣州市区至南康和畅公司（往返计1趟），每月运行约13趟（每周逢一三五的工作日），每年运行约158趟。起（终）点为赣州汽车站或东门市场，途经红旗大道、南门口、东阳山路、南河大桥、长征大道、十龙聚龟、赣州大道、新世纪大桥、赣南大道或和谐大道、龙岭工业西园，终（起）点为和畅公司。早上从赣州出发，送上班员工至和畅公司；下午从和畅公司出发，送下班员工回赣州。1趟往返约60公里。</w:t>
      </w:r>
    </w:p>
    <w:p>
      <w:pPr>
        <w:ind w:firstLine="560" w:firstLineChars="200"/>
        <w:rPr>
          <w:rFonts w:eastAsia="仿宋_GB2312"/>
          <w:color w:val="auto"/>
          <w:sz w:val="28"/>
          <w:szCs w:val="28"/>
        </w:rPr>
      </w:pPr>
      <w:r>
        <w:rPr>
          <w:rFonts w:hint="eastAsia" w:eastAsia="仿宋_GB2312"/>
          <w:color w:val="auto"/>
          <w:sz w:val="28"/>
          <w:szCs w:val="28"/>
        </w:rPr>
        <w:t>2、龙杨高速交通车：33座或以上大巴，每3天往返赣州火车站与龙南杨村（往返计1趟），每月运行约10趟，每年运行约122趟。起（终）点为赣州火车站，途经和谐大道、赣州南站、和畅公司、南康服务区、信丰所、信丰服务区、龙南所、龙南服务区，起（终）点为龙杨省界所。先从龙杨省界所出发，接休假员工回赣州；再从赣州出发，送返岗员工到各所站。1趟往返约400公里。</w:t>
      </w:r>
    </w:p>
    <w:p>
      <w:pPr>
        <w:ind w:firstLine="562" w:firstLineChars="200"/>
        <w:rPr>
          <w:rFonts w:eastAsia="仿宋_GB2312"/>
          <w:b/>
          <w:color w:val="auto"/>
          <w:sz w:val="28"/>
          <w:szCs w:val="28"/>
        </w:rPr>
      </w:pPr>
      <w:r>
        <w:rPr>
          <w:rFonts w:eastAsia="仿宋_GB2312"/>
          <w:b/>
          <w:color w:val="auto"/>
          <w:sz w:val="28"/>
          <w:szCs w:val="28"/>
        </w:rPr>
        <w:t>二、员工交通车服务期限</w:t>
      </w:r>
    </w:p>
    <w:p>
      <w:pPr>
        <w:ind w:firstLine="560" w:firstLineChars="200"/>
        <w:rPr>
          <w:rFonts w:eastAsia="仿宋_GB2312"/>
          <w:color w:val="auto"/>
          <w:sz w:val="28"/>
          <w:szCs w:val="28"/>
        </w:rPr>
      </w:pPr>
      <w:r>
        <w:rPr>
          <w:rFonts w:eastAsia="仿宋_GB2312"/>
          <w:color w:val="auto"/>
          <w:sz w:val="28"/>
          <w:szCs w:val="28"/>
        </w:rPr>
        <w:t>服务期限：</w:t>
      </w:r>
      <w:r>
        <w:rPr>
          <w:rFonts w:hint="eastAsia" w:eastAsia="仿宋_GB2312"/>
          <w:color w:val="auto"/>
          <w:sz w:val="28"/>
          <w:szCs w:val="28"/>
        </w:rPr>
        <w:t>一</w:t>
      </w:r>
      <w:r>
        <w:rPr>
          <w:rFonts w:eastAsia="仿宋_GB2312"/>
          <w:color w:val="auto"/>
          <w:sz w:val="28"/>
          <w:szCs w:val="28"/>
        </w:rPr>
        <w:t>年，从协议签字盖章生效之日起计算。自</w:t>
      </w:r>
      <w:r>
        <w:rPr>
          <w:rFonts w:eastAsia="仿宋_GB2312"/>
          <w:color w:val="auto"/>
          <w:sz w:val="28"/>
          <w:szCs w:val="28"/>
          <w:u w:val="single"/>
        </w:rPr>
        <w:t>202</w:t>
      </w:r>
      <w:r>
        <w:rPr>
          <w:rFonts w:hint="eastAsia" w:eastAsia="仿宋_GB2312"/>
          <w:color w:val="auto"/>
          <w:sz w:val="28"/>
          <w:szCs w:val="28"/>
          <w:u w:val="single"/>
        </w:rPr>
        <w:t>4</w:t>
      </w:r>
      <w:r>
        <w:rPr>
          <w:rFonts w:eastAsia="仿宋_GB2312"/>
          <w:color w:val="auto"/>
          <w:sz w:val="28"/>
          <w:szCs w:val="28"/>
        </w:rPr>
        <w:t>年</w:t>
      </w:r>
      <w:r>
        <w:rPr>
          <w:rFonts w:eastAsia="仿宋_GB2312"/>
          <w:color w:val="auto"/>
          <w:sz w:val="28"/>
          <w:szCs w:val="28"/>
          <w:u w:val="single"/>
        </w:rPr>
        <w:t xml:space="preserve">    </w:t>
      </w:r>
      <w:r>
        <w:rPr>
          <w:rFonts w:hint="eastAsia" w:eastAsia="仿宋_GB2312"/>
          <w:color w:val="auto"/>
          <w:sz w:val="28"/>
          <w:szCs w:val="28"/>
          <w:u w:val="single"/>
        </w:rPr>
        <w:t>月</w:t>
      </w:r>
      <w:r>
        <w:rPr>
          <w:rFonts w:eastAsia="仿宋_GB2312"/>
          <w:color w:val="auto"/>
          <w:sz w:val="28"/>
          <w:szCs w:val="28"/>
          <w:u w:val="single"/>
        </w:rPr>
        <w:t xml:space="preserve">    </w:t>
      </w:r>
      <w:r>
        <w:rPr>
          <w:rFonts w:eastAsia="仿宋_GB2312"/>
          <w:color w:val="auto"/>
          <w:sz w:val="28"/>
          <w:szCs w:val="28"/>
        </w:rPr>
        <w:t xml:space="preserve">日至 </w:t>
      </w:r>
      <w:r>
        <w:rPr>
          <w:rFonts w:eastAsia="仿宋_GB2312"/>
          <w:color w:val="auto"/>
          <w:sz w:val="28"/>
          <w:szCs w:val="28"/>
          <w:u w:val="single"/>
        </w:rPr>
        <w:t>202</w:t>
      </w:r>
      <w:r>
        <w:rPr>
          <w:rFonts w:hint="eastAsia" w:eastAsia="仿宋_GB2312"/>
          <w:color w:val="auto"/>
          <w:sz w:val="28"/>
          <w:szCs w:val="28"/>
          <w:u w:val="single"/>
        </w:rPr>
        <w:t>4</w:t>
      </w:r>
      <w:r>
        <w:rPr>
          <w:rFonts w:eastAsia="仿宋_GB2312"/>
          <w:color w:val="auto"/>
          <w:sz w:val="28"/>
          <w:szCs w:val="28"/>
        </w:rPr>
        <w:t>年</w:t>
      </w:r>
      <w:r>
        <w:rPr>
          <w:rFonts w:eastAsia="仿宋_GB2312"/>
          <w:color w:val="auto"/>
          <w:sz w:val="28"/>
          <w:szCs w:val="28"/>
          <w:u w:val="single"/>
        </w:rPr>
        <w:t xml:space="preserve">    </w:t>
      </w:r>
      <w:r>
        <w:rPr>
          <w:rFonts w:eastAsia="仿宋_GB2312"/>
          <w:color w:val="auto"/>
          <w:sz w:val="28"/>
          <w:szCs w:val="28"/>
        </w:rPr>
        <w:t>月</w:t>
      </w:r>
      <w:r>
        <w:rPr>
          <w:rFonts w:eastAsia="仿宋_GB2312"/>
          <w:color w:val="auto"/>
          <w:sz w:val="28"/>
          <w:szCs w:val="28"/>
          <w:u w:val="single"/>
        </w:rPr>
        <w:t xml:space="preserve">    </w:t>
      </w:r>
      <w:r>
        <w:rPr>
          <w:rFonts w:eastAsia="仿宋_GB2312"/>
          <w:color w:val="auto"/>
          <w:sz w:val="28"/>
          <w:szCs w:val="28"/>
        </w:rPr>
        <w:t>日。</w:t>
      </w:r>
    </w:p>
    <w:p>
      <w:pPr>
        <w:ind w:firstLine="560" w:firstLineChars="200"/>
        <w:rPr>
          <w:rFonts w:eastAsia="仿宋_GB2312"/>
          <w:b/>
          <w:color w:val="auto"/>
          <w:sz w:val="28"/>
          <w:szCs w:val="28"/>
        </w:rPr>
      </w:pPr>
      <w:r>
        <w:rPr>
          <w:rFonts w:eastAsia="仿宋_GB2312"/>
          <w:color w:val="auto"/>
          <w:sz w:val="28"/>
          <w:szCs w:val="28"/>
        </w:rPr>
        <w:t>协议到期后，为保证员工上下班接送服务的延续性，在后续协议签订前或新的承运方履约前，本协议可以适当延续履行。</w:t>
      </w:r>
    </w:p>
    <w:tbl>
      <w:tblPr>
        <w:tblStyle w:val="7"/>
        <w:tblpPr w:leftFromText="180" w:rightFromText="180" w:vertAnchor="text" w:horzAnchor="margin" w:tblpY="334"/>
        <w:tblW w:w="91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2"/>
        <w:gridCol w:w="2249"/>
        <w:gridCol w:w="1125"/>
        <w:gridCol w:w="7"/>
        <w:gridCol w:w="1565"/>
        <w:gridCol w:w="1134"/>
        <w:gridCol w:w="1416"/>
        <w:gridCol w:w="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trPr>
        <w:tc>
          <w:tcPr>
            <w:tcW w:w="692" w:type="dxa"/>
            <w:noWrap/>
            <w:vAlign w:val="center"/>
          </w:tcPr>
          <w:p>
            <w:pPr>
              <w:jc w:val="center"/>
              <w:rPr>
                <w:rFonts w:eastAsia="仿宋_GB2312"/>
                <w:color w:val="auto"/>
                <w:sz w:val="28"/>
                <w:szCs w:val="28"/>
              </w:rPr>
            </w:pPr>
            <w:r>
              <w:rPr>
                <w:rFonts w:eastAsia="仿宋_GB2312"/>
                <w:color w:val="auto"/>
                <w:sz w:val="28"/>
                <w:szCs w:val="28"/>
              </w:rPr>
              <w:t>序号</w:t>
            </w:r>
          </w:p>
        </w:tc>
        <w:tc>
          <w:tcPr>
            <w:tcW w:w="2249" w:type="dxa"/>
            <w:noWrap/>
            <w:vAlign w:val="center"/>
          </w:tcPr>
          <w:p>
            <w:pPr>
              <w:jc w:val="center"/>
              <w:rPr>
                <w:rFonts w:eastAsia="仿宋_GB2312"/>
                <w:color w:val="auto"/>
                <w:sz w:val="28"/>
                <w:szCs w:val="28"/>
              </w:rPr>
            </w:pPr>
            <w:r>
              <w:rPr>
                <w:rFonts w:eastAsia="仿宋_GB2312"/>
                <w:color w:val="auto"/>
                <w:sz w:val="28"/>
                <w:szCs w:val="28"/>
              </w:rPr>
              <w:t>交通车项目</w:t>
            </w:r>
          </w:p>
        </w:tc>
        <w:tc>
          <w:tcPr>
            <w:tcW w:w="1132" w:type="dxa"/>
            <w:gridSpan w:val="2"/>
            <w:noWrap/>
            <w:vAlign w:val="center"/>
          </w:tcPr>
          <w:p>
            <w:pPr>
              <w:jc w:val="center"/>
              <w:rPr>
                <w:rFonts w:eastAsia="仿宋_GB2312"/>
                <w:color w:val="auto"/>
                <w:sz w:val="28"/>
                <w:szCs w:val="28"/>
              </w:rPr>
            </w:pPr>
            <w:r>
              <w:rPr>
                <w:rFonts w:eastAsia="仿宋_GB2312"/>
                <w:color w:val="auto"/>
                <w:sz w:val="28"/>
                <w:szCs w:val="28"/>
              </w:rPr>
              <w:t>车型</w:t>
            </w:r>
          </w:p>
        </w:tc>
        <w:tc>
          <w:tcPr>
            <w:tcW w:w="1565" w:type="dxa"/>
            <w:noWrap/>
            <w:vAlign w:val="center"/>
          </w:tcPr>
          <w:p>
            <w:pPr>
              <w:jc w:val="center"/>
              <w:rPr>
                <w:rFonts w:eastAsia="仿宋_GB2312"/>
                <w:color w:val="auto"/>
                <w:sz w:val="28"/>
                <w:szCs w:val="28"/>
              </w:rPr>
            </w:pPr>
            <w:r>
              <w:rPr>
                <w:rFonts w:eastAsia="仿宋_GB2312"/>
                <w:color w:val="auto"/>
                <w:sz w:val="28"/>
                <w:szCs w:val="28"/>
              </w:rPr>
              <w:t>单价（元/趟）</w:t>
            </w:r>
          </w:p>
        </w:tc>
        <w:tc>
          <w:tcPr>
            <w:tcW w:w="1134" w:type="dxa"/>
            <w:noWrap/>
            <w:vAlign w:val="center"/>
          </w:tcPr>
          <w:p>
            <w:pPr>
              <w:jc w:val="center"/>
              <w:rPr>
                <w:rFonts w:eastAsia="仿宋_GB2312"/>
                <w:color w:val="auto"/>
                <w:sz w:val="28"/>
                <w:szCs w:val="28"/>
              </w:rPr>
            </w:pPr>
            <w:r>
              <w:rPr>
                <w:rFonts w:hint="eastAsia" w:eastAsia="仿宋_GB2312"/>
                <w:color w:val="auto"/>
                <w:sz w:val="28"/>
                <w:szCs w:val="28"/>
              </w:rPr>
              <w:t>预计</w:t>
            </w:r>
            <w:r>
              <w:rPr>
                <w:rFonts w:eastAsia="仿宋_GB2312"/>
                <w:color w:val="auto"/>
                <w:sz w:val="28"/>
                <w:szCs w:val="28"/>
              </w:rPr>
              <w:t>累计趟数</w:t>
            </w:r>
          </w:p>
        </w:tc>
        <w:tc>
          <w:tcPr>
            <w:tcW w:w="1416" w:type="dxa"/>
            <w:noWrap/>
            <w:vAlign w:val="center"/>
          </w:tcPr>
          <w:p>
            <w:pPr>
              <w:jc w:val="center"/>
              <w:rPr>
                <w:rFonts w:eastAsia="仿宋_GB2312"/>
                <w:color w:val="auto"/>
                <w:sz w:val="28"/>
                <w:szCs w:val="28"/>
              </w:rPr>
            </w:pPr>
            <w:r>
              <w:rPr>
                <w:rFonts w:eastAsia="仿宋_GB2312"/>
                <w:color w:val="auto"/>
                <w:sz w:val="28"/>
                <w:szCs w:val="28"/>
              </w:rPr>
              <w:t xml:space="preserve"> </w:t>
            </w:r>
            <w:r>
              <w:rPr>
                <w:rFonts w:hint="eastAsia" w:eastAsia="仿宋_GB2312"/>
                <w:color w:val="auto"/>
                <w:sz w:val="28"/>
                <w:szCs w:val="28"/>
              </w:rPr>
              <w:t>合同价</w:t>
            </w:r>
            <w:r>
              <w:rPr>
                <w:rFonts w:eastAsia="仿宋_GB2312"/>
                <w:color w:val="auto"/>
                <w:sz w:val="28"/>
                <w:szCs w:val="28"/>
              </w:rPr>
              <w:t xml:space="preserve">  （元）</w:t>
            </w:r>
          </w:p>
        </w:tc>
        <w:tc>
          <w:tcPr>
            <w:tcW w:w="928" w:type="dxa"/>
            <w:noWrap/>
            <w:vAlign w:val="center"/>
          </w:tcPr>
          <w:p>
            <w:pPr>
              <w:jc w:val="center"/>
              <w:rPr>
                <w:rFonts w:eastAsia="仿宋_GB2312"/>
                <w:color w:val="auto"/>
                <w:sz w:val="28"/>
                <w:szCs w:val="28"/>
              </w:rPr>
            </w:pPr>
            <w:r>
              <w:rPr>
                <w:rFonts w:eastAsia="仿宋_GB2312"/>
                <w:color w:val="auto"/>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692" w:type="dxa"/>
            <w:tcBorders>
              <w:right w:val="single" w:color="auto" w:sz="4" w:space="0"/>
            </w:tcBorders>
            <w:noWrap/>
            <w:vAlign w:val="center"/>
          </w:tcPr>
          <w:p>
            <w:pPr>
              <w:jc w:val="center"/>
              <w:rPr>
                <w:rFonts w:eastAsia="仿宋_GB2312"/>
                <w:color w:val="auto"/>
                <w:sz w:val="28"/>
                <w:szCs w:val="28"/>
              </w:rPr>
            </w:pPr>
            <w:r>
              <w:rPr>
                <w:rFonts w:eastAsia="仿宋_GB2312"/>
                <w:color w:val="auto"/>
                <w:sz w:val="28"/>
                <w:szCs w:val="28"/>
              </w:rPr>
              <w:t>1</w:t>
            </w:r>
          </w:p>
        </w:tc>
        <w:tc>
          <w:tcPr>
            <w:tcW w:w="2249" w:type="dxa"/>
            <w:tcBorders>
              <w:left w:val="single" w:color="auto" w:sz="4" w:space="0"/>
              <w:right w:val="single" w:color="auto" w:sz="4" w:space="0"/>
            </w:tcBorders>
            <w:noWrap/>
            <w:vAlign w:val="center"/>
          </w:tcPr>
          <w:p>
            <w:pPr>
              <w:jc w:val="center"/>
              <w:rPr>
                <w:color w:val="auto"/>
                <w:sz w:val="28"/>
                <w:szCs w:val="28"/>
              </w:rPr>
            </w:pPr>
            <w:r>
              <w:rPr>
                <w:rFonts w:hint="eastAsia" w:eastAsia="仿宋_GB2312"/>
                <w:color w:val="auto"/>
                <w:sz w:val="28"/>
                <w:szCs w:val="28"/>
              </w:rPr>
              <w:t>和畅机关交通车</w:t>
            </w:r>
          </w:p>
        </w:tc>
        <w:tc>
          <w:tcPr>
            <w:tcW w:w="1132" w:type="dxa"/>
            <w:gridSpan w:val="2"/>
            <w:tcBorders>
              <w:left w:val="single" w:color="auto" w:sz="4" w:space="0"/>
              <w:right w:val="single" w:color="auto" w:sz="4" w:space="0"/>
            </w:tcBorders>
            <w:noWrap/>
            <w:vAlign w:val="center"/>
          </w:tcPr>
          <w:p>
            <w:pPr>
              <w:jc w:val="center"/>
              <w:rPr>
                <w:rFonts w:eastAsia="仿宋_GB2312"/>
                <w:color w:val="auto"/>
                <w:sz w:val="28"/>
                <w:szCs w:val="28"/>
              </w:rPr>
            </w:pPr>
            <w:r>
              <w:rPr>
                <w:rFonts w:hint="eastAsia" w:eastAsia="仿宋_GB2312"/>
                <w:color w:val="auto"/>
                <w:sz w:val="28"/>
                <w:szCs w:val="28"/>
              </w:rPr>
              <w:t>33座</w:t>
            </w:r>
          </w:p>
        </w:tc>
        <w:tc>
          <w:tcPr>
            <w:tcW w:w="1565" w:type="dxa"/>
            <w:tcBorders>
              <w:left w:val="single" w:color="auto" w:sz="4" w:space="0"/>
              <w:right w:val="single" w:color="auto" w:sz="4" w:space="0"/>
            </w:tcBorders>
            <w:noWrap/>
            <w:vAlign w:val="center"/>
          </w:tcPr>
          <w:p>
            <w:pPr>
              <w:jc w:val="center"/>
              <w:rPr>
                <w:rFonts w:eastAsia="仿宋_GB2312"/>
                <w:b/>
                <w:color w:val="auto"/>
                <w:sz w:val="28"/>
                <w:szCs w:val="28"/>
              </w:rPr>
            </w:pPr>
          </w:p>
        </w:tc>
        <w:tc>
          <w:tcPr>
            <w:tcW w:w="1134" w:type="dxa"/>
            <w:tcBorders>
              <w:left w:val="single" w:color="auto" w:sz="4" w:space="0"/>
            </w:tcBorders>
            <w:noWrap/>
            <w:vAlign w:val="center"/>
          </w:tcPr>
          <w:p>
            <w:pPr>
              <w:jc w:val="center"/>
              <w:rPr>
                <w:rFonts w:eastAsia="仿宋_GB2312"/>
                <w:color w:val="auto"/>
                <w:sz w:val="28"/>
                <w:szCs w:val="28"/>
              </w:rPr>
            </w:pPr>
            <w:r>
              <w:rPr>
                <w:rFonts w:hint="eastAsia" w:eastAsia="仿宋_GB2312"/>
                <w:color w:val="auto"/>
                <w:sz w:val="28"/>
                <w:szCs w:val="28"/>
              </w:rPr>
              <w:t>158</w:t>
            </w:r>
          </w:p>
        </w:tc>
        <w:tc>
          <w:tcPr>
            <w:tcW w:w="1416" w:type="dxa"/>
            <w:noWrap/>
            <w:vAlign w:val="center"/>
          </w:tcPr>
          <w:p>
            <w:pPr>
              <w:jc w:val="center"/>
              <w:rPr>
                <w:rFonts w:eastAsia="仿宋_GB2312"/>
                <w:color w:val="auto"/>
                <w:sz w:val="28"/>
                <w:szCs w:val="28"/>
              </w:rPr>
            </w:pPr>
          </w:p>
        </w:tc>
        <w:tc>
          <w:tcPr>
            <w:tcW w:w="928" w:type="dxa"/>
            <w:noWrap/>
            <w:vAlign w:val="center"/>
          </w:tcPr>
          <w:p>
            <w:pPr>
              <w:jc w:val="center"/>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692" w:type="dxa"/>
            <w:tcBorders>
              <w:right w:val="single" w:color="auto" w:sz="4" w:space="0"/>
            </w:tcBorders>
            <w:noWrap/>
            <w:vAlign w:val="center"/>
          </w:tcPr>
          <w:p>
            <w:pPr>
              <w:jc w:val="center"/>
              <w:rPr>
                <w:rFonts w:eastAsia="仿宋_GB2312"/>
                <w:color w:val="auto"/>
                <w:sz w:val="28"/>
                <w:szCs w:val="28"/>
              </w:rPr>
            </w:pPr>
            <w:r>
              <w:rPr>
                <w:rFonts w:hint="eastAsia" w:eastAsia="仿宋_GB2312"/>
                <w:color w:val="auto"/>
                <w:sz w:val="28"/>
                <w:szCs w:val="28"/>
              </w:rPr>
              <w:t>2</w:t>
            </w:r>
          </w:p>
        </w:tc>
        <w:tc>
          <w:tcPr>
            <w:tcW w:w="2249" w:type="dxa"/>
            <w:tcBorders>
              <w:left w:val="single" w:color="auto" w:sz="4" w:space="0"/>
              <w:right w:val="single" w:color="auto" w:sz="4" w:space="0"/>
            </w:tcBorders>
            <w:vAlign w:val="center"/>
          </w:tcPr>
          <w:p>
            <w:pPr>
              <w:widowControl/>
              <w:jc w:val="center"/>
              <w:rPr>
                <w:rFonts w:eastAsia="仿宋_GB2312"/>
                <w:color w:val="auto"/>
                <w:sz w:val="28"/>
                <w:szCs w:val="28"/>
              </w:rPr>
            </w:pPr>
            <w:r>
              <w:rPr>
                <w:rFonts w:hint="eastAsia" w:eastAsia="仿宋_GB2312"/>
                <w:color w:val="auto"/>
                <w:sz w:val="28"/>
                <w:szCs w:val="28"/>
              </w:rPr>
              <w:t>龙杨</w:t>
            </w:r>
            <w:r>
              <w:rPr>
                <w:rFonts w:eastAsia="仿宋_GB2312"/>
                <w:color w:val="auto"/>
                <w:sz w:val="28"/>
                <w:szCs w:val="28"/>
              </w:rPr>
              <w:t>高速交通车</w:t>
            </w:r>
          </w:p>
        </w:tc>
        <w:tc>
          <w:tcPr>
            <w:tcW w:w="1125" w:type="dxa"/>
            <w:tcBorders>
              <w:left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33</w:t>
            </w:r>
            <w:r>
              <w:rPr>
                <w:rFonts w:eastAsia="仿宋_GB2312"/>
                <w:color w:val="auto"/>
                <w:sz w:val="28"/>
                <w:szCs w:val="28"/>
              </w:rPr>
              <w:t>座</w:t>
            </w:r>
          </w:p>
        </w:tc>
        <w:tc>
          <w:tcPr>
            <w:tcW w:w="1572" w:type="dxa"/>
            <w:gridSpan w:val="2"/>
            <w:tcBorders>
              <w:left w:val="single" w:color="auto" w:sz="4" w:space="0"/>
              <w:right w:val="single" w:color="auto" w:sz="4" w:space="0"/>
            </w:tcBorders>
            <w:vAlign w:val="center"/>
          </w:tcPr>
          <w:p>
            <w:pPr>
              <w:jc w:val="center"/>
              <w:rPr>
                <w:rFonts w:eastAsia="仿宋_GB2312"/>
                <w:color w:val="auto"/>
                <w:sz w:val="28"/>
                <w:szCs w:val="28"/>
              </w:rPr>
            </w:pPr>
          </w:p>
        </w:tc>
        <w:tc>
          <w:tcPr>
            <w:tcW w:w="1134" w:type="dxa"/>
            <w:tcBorders>
              <w:lef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122</w:t>
            </w:r>
          </w:p>
        </w:tc>
        <w:tc>
          <w:tcPr>
            <w:tcW w:w="1416" w:type="dxa"/>
            <w:noWrap/>
            <w:vAlign w:val="center"/>
          </w:tcPr>
          <w:p>
            <w:pPr>
              <w:jc w:val="center"/>
              <w:rPr>
                <w:rFonts w:eastAsia="仿宋_GB2312"/>
                <w:color w:val="auto"/>
                <w:sz w:val="28"/>
                <w:szCs w:val="28"/>
              </w:rPr>
            </w:pPr>
          </w:p>
        </w:tc>
        <w:tc>
          <w:tcPr>
            <w:tcW w:w="928" w:type="dxa"/>
            <w:noWrap/>
            <w:vAlign w:val="center"/>
          </w:tcPr>
          <w:p>
            <w:pPr>
              <w:jc w:val="center"/>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6772" w:type="dxa"/>
            <w:gridSpan w:val="6"/>
            <w:noWrap/>
            <w:vAlign w:val="center"/>
          </w:tcPr>
          <w:p>
            <w:pPr>
              <w:jc w:val="center"/>
              <w:rPr>
                <w:rFonts w:eastAsia="仿宋_GB2312"/>
                <w:color w:val="auto"/>
                <w:sz w:val="28"/>
                <w:szCs w:val="28"/>
              </w:rPr>
            </w:pPr>
            <w:r>
              <w:rPr>
                <w:rFonts w:hint="eastAsia" w:eastAsia="仿宋_GB2312"/>
                <w:color w:val="auto"/>
                <w:sz w:val="28"/>
                <w:szCs w:val="28"/>
              </w:rPr>
              <w:t>签约合同</w:t>
            </w:r>
            <w:r>
              <w:rPr>
                <w:rFonts w:eastAsia="仿宋_GB2312"/>
                <w:color w:val="auto"/>
                <w:sz w:val="28"/>
                <w:szCs w:val="28"/>
              </w:rPr>
              <w:t>总价</w:t>
            </w:r>
          </w:p>
        </w:tc>
        <w:tc>
          <w:tcPr>
            <w:tcW w:w="1416" w:type="dxa"/>
            <w:noWrap/>
            <w:vAlign w:val="center"/>
          </w:tcPr>
          <w:p>
            <w:pPr>
              <w:jc w:val="center"/>
              <w:rPr>
                <w:rFonts w:eastAsia="仿宋_GB2312"/>
                <w:color w:val="auto"/>
                <w:sz w:val="28"/>
                <w:szCs w:val="28"/>
              </w:rPr>
            </w:pPr>
          </w:p>
        </w:tc>
        <w:tc>
          <w:tcPr>
            <w:tcW w:w="928" w:type="dxa"/>
            <w:noWrap/>
            <w:vAlign w:val="center"/>
          </w:tcPr>
          <w:p>
            <w:pPr>
              <w:jc w:val="center"/>
              <w:rPr>
                <w:rFonts w:eastAsia="仿宋_GB2312"/>
                <w:color w:val="auto"/>
                <w:sz w:val="28"/>
                <w:szCs w:val="28"/>
              </w:rPr>
            </w:pPr>
          </w:p>
        </w:tc>
      </w:tr>
    </w:tbl>
    <w:p>
      <w:pPr>
        <w:spacing w:line="460" w:lineRule="exact"/>
        <w:ind w:firstLine="557" w:firstLineChars="198"/>
        <w:jc w:val="left"/>
        <w:rPr>
          <w:rFonts w:hint="eastAsia" w:ascii="仿宋_GB2312" w:hAnsi="仿宋_GB2312" w:eastAsia="仿宋_GB2312" w:cs="仿宋_GB2312"/>
          <w:b/>
          <w:color w:val="auto"/>
          <w:sz w:val="28"/>
          <w:szCs w:val="28"/>
          <w:highlight w:val="none"/>
          <w:lang w:val="en-US" w:eastAsia="zh-CN"/>
        </w:rPr>
      </w:pPr>
      <w:r>
        <w:rPr>
          <w:rFonts w:hint="eastAsia" w:eastAsia="仿宋_GB2312"/>
          <w:b/>
          <w:color w:val="auto"/>
          <w:sz w:val="28"/>
          <w:szCs w:val="28"/>
          <w:lang w:val="en-US" w:eastAsia="zh-CN"/>
        </w:rPr>
        <w:t>三、</w:t>
      </w:r>
      <w:r>
        <w:rPr>
          <w:rFonts w:hint="eastAsia" w:ascii="仿宋_GB2312" w:hAnsi="仿宋_GB2312" w:eastAsia="仿宋_GB2312" w:cs="仿宋_GB2312"/>
          <w:b/>
          <w:color w:val="auto"/>
          <w:sz w:val="28"/>
          <w:szCs w:val="28"/>
          <w:highlight w:val="none"/>
          <w:lang w:val="en-US" w:eastAsia="zh-CN"/>
        </w:rPr>
        <w:t>履约担保</w:t>
      </w:r>
    </w:p>
    <w:p>
      <w:pPr>
        <w:ind w:firstLine="554" w:firstLineChars="19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1、履约保证金的金额：签约合同价的10%。</w:t>
      </w:r>
    </w:p>
    <w:p>
      <w:pPr>
        <w:ind w:firstLine="554" w:firstLineChars="19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2、履约担保的形式：保函（银行保函、财务公司保函、保险公司保函、第三方担保公司保函）或现金保证金。</w:t>
      </w:r>
    </w:p>
    <w:p>
      <w:pPr>
        <w:ind w:firstLine="554" w:firstLineChars="19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若采用银行保函，出具履约保证金的银行级别：乙方所在地的国有商业银行或股份制商业银行的支行及以上级别且具有相应担保能力；</w:t>
      </w:r>
    </w:p>
    <w:p>
      <w:pPr>
        <w:ind w:firstLine="554" w:firstLineChars="19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若采用财务公司保函，财务公司应属于中国银行保险监管委员会批准的国有财务公司且经合同签订人认可；</w:t>
      </w:r>
    </w:p>
    <w:p>
      <w:pPr>
        <w:ind w:firstLine="554" w:firstLineChars="19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若采用保险公司保函或第三方担保公司保函，应经合同签订人认可；</w:t>
      </w:r>
    </w:p>
    <w:p>
      <w:pPr>
        <w:ind w:firstLine="554" w:firstLineChars="19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若采用现金，乙方应从其基本账户以转账或电汇形式一次性转入合同签订人指定的银行账户内（退还时不计利息）。</w:t>
      </w:r>
    </w:p>
    <w:p>
      <w:pPr>
        <w:ind w:firstLine="554" w:firstLineChars="19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3、在项目实施完成合同工作内容并经甲方验收合格后28天内将履约担保退还乙方。</w:t>
      </w:r>
    </w:p>
    <w:p>
      <w:pPr>
        <w:ind w:firstLine="554" w:firstLineChars="198"/>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en-US" w:eastAsia="zh-CN"/>
        </w:rPr>
        <w:t>4、履约担保采用公路工程标准施工招标文件（2018版本）履约担保的格式。</w:t>
      </w:r>
    </w:p>
    <w:p>
      <w:pPr>
        <w:ind w:firstLine="562" w:firstLineChars="200"/>
        <w:rPr>
          <w:rFonts w:eastAsia="仿宋_GB2312"/>
          <w:b/>
          <w:color w:val="auto"/>
          <w:sz w:val="28"/>
          <w:szCs w:val="28"/>
        </w:rPr>
      </w:pPr>
      <w:r>
        <w:rPr>
          <w:rFonts w:eastAsia="仿宋_GB2312"/>
          <w:b/>
          <w:color w:val="auto"/>
          <w:sz w:val="28"/>
          <w:szCs w:val="28"/>
        </w:rPr>
        <w:t>四、服务费用及结算方式</w:t>
      </w:r>
    </w:p>
    <w:p>
      <w:pPr>
        <w:ind w:firstLine="560" w:firstLineChars="200"/>
        <w:rPr>
          <w:rFonts w:eastAsia="仿宋_GB2312"/>
          <w:color w:val="auto"/>
          <w:sz w:val="28"/>
          <w:szCs w:val="28"/>
        </w:rPr>
      </w:pPr>
      <w:r>
        <w:rPr>
          <w:rFonts w:eastAsia="仿宋_GB2312"/>
          <w:color w:val="auto"/>
          <w:sz w:val="28"/>
          <w:szCs w:val="28"/>
        </w:rPr>
        <w:t>备注事项：费用包</w:t>
      </w:r>
      <w:r>
        <w:rPr>
          <w:rFonts w:hint="eastAsia" w:eastAsia="仿宋_GB2312"/>
          <w:color w:val="auto"/>
          <w:sz w:val="28"/>
          <w:szCs w:val="28"/>
        </w:rPr>
        <w:t>括但不限于</w:t>
      </w:r>
      <w:r>
        <w:rPr>
          <w:rFonts w:eastAsia="仿宋_GB2312"/>
          <w:color w:val="auto"/>
          <w:sz w:val="28"/>
          <w:szCs w:val="28"/>
        </w:rPr>
        <w:t>交通车运行所需的油费、高速通行费、维修费、保养费、保险费、年审费、</w:t>
      </w:r>
      <w:r>
        <w:rPr>
          <w:rFonts w:hint="eastAsia" w:eastAsia="仿宋_GB2312"/>
          <w:color w:val="auto"/>
          <w:sz w:val="28"/>
          <w:szCs w:val="28"/>
        </w:rPr>
        <w:t>驾驶员等</w:t>
      </w:r>
      <w:r>
        <w:rPr>
          <w:rFonts w:eastAsia="仿宋_GB2312"/>
          <w:color w:val="auto"/>
          <w:sz w:val="28"/>
          <w:szCs w:val="28"/>
        </w:rPr>
        <w:t>人工工资、管理费、违章罚款、税金等所有费用，甲方不再另行支付其他费用。</w:t>
      </w:r>
    </w:p>
    <w:p>
      <w:pPr>
        <w:ind w:firstLine="560" w:firstLineChars="200"/>
        <w:rPr>
          <w:rFonts w:eastAsia="仿宋_GB2312"/>
          <w:color w:val="auto"/>
          <w:sz w:val="28"/>
          <w:szCs w:val="28"/>
        </w:rPr>
      </w:pPr>
      <w:r>
        <w:rPr>
          <w:rFonts w:eastAsia="仿宋_GB2312"/>
          <w:color w:val="auto"/>
          <w:sz w:val="28"/>
          <w:szCs w:val="28"/>
        </w:rPr>
        <w:t>结算方式：按月结算，根据</w:t>
      </w:r>
      <w:r>
        <w:rPr>
          <w:rFonts w:hint="eastAsia" w:eastAsia="仿宋_GB2312"/>
          <w:color w:val="auto"/>
          <w:sz w:val="28"/>
          <w:szCs w:val="28"/>
        </w:rPr>
        <w:t>和畅机关及龙杨高速</w:t>
      </w:r>
      <w:r>
        <w:rPr>
          <w:rFonts w:eastAsia="仿宋_GB2312"/>
          <w:color w:val="auto"/>
          <w:sz w:val="28"/>
          <w:szCs w:val="28"/>
        </w:rPr>
        <w:t>交通车实际运行次数，按本协议规定单价和实际运行趟数进行结算。支付费用前，乙方应提供</w:t>
      </w:r>
      <w:r>
        <w:rPr>
          <w:rFonts w:hint="eastAsia" w:eastAsia="仿宋_GB2312"/>
          <w:color w:val="auto"/>
          <w:sz w:val="28"/>
          <w:szCs w:val="28"/>
          <w:lang w:val="en-US" w:eastAsia="zh-CN"/>
        </w:rPr>
        <w:t>经甲方签字确认的</w:t>
      </w:r>
      <w:r>
        <w:rPr>
          <w:rFonts w:eastAsia="仿宋_GB2312"/>
          <w:color w:val="auto"/>
          <w:sz w:val="28"/>
          <w:szCs w:val="28"/>
        </w:rPr>
        <w:t>实际运行趟数佐证资料。经甲方核对确认无误后，乙方提供税务</w:t>
      </w:r>
      <w:r>
        <w:rPr>
          <w:rFonts w:hint="eastAsia" w:eastAsia="仿宋_GB2312"/>
          <w:color w:val="auto"/>
          <w:sz w:val="28"/>
          <w:szCs w:val="28"/>
        </w:rPr>
        <w:t>专票</w:t>
      </w:r>
      <w:r>
        <w:rPr>
          <w:rFonts w:eastAsia="仿宋_GB2312"/>
          <w:color w:val="auto"/>
          <w:sz w:val="28"/>
          <w:szCs w:val="28"/>
        </w:rPr>
        <w:t>发票，甲方再按程序将款项汇入乙方银行账户，原则上每月15日前付清上月费用</w:t>
      </w:r>
      <w:r>
        <w:rPr>
          <w:rFonts w:hint="eastAsia" w:eastAsia="仿宋_GB2312"/>
          <w:color w:val="auto"/>
          <w:sz w:val="28"/>
          <w:szCs w:val="28"/>
        </w:rPr>
        <w:t>（</w:t>
      </w:r>
      <w:r>
        <w:rPr>
          <w:rFonts w:eastAsia="仿宋_GB2312"/>
          <w:color w:val="auto"/>
          <w:sz w:val="28"/>
          <w:szCs w:val="28"/>
        </w:rPr>
        <w:t>遇节假日顺延）。户名：</w:t>
      </w:r>
      <w:r>
        <w:rPr>
          <w:rFonts w:hint="eastAsia" w:eastAsia="仿宋_GB2312"/>
          <w:color w:val="auto"/>
          <w:sz w:val="28"/>
          <w:szCs w:val="28"/>
        </w:rPr>
        <w:t>XXX</w:t>
      </w:r>
      <w:r>
        <w:rPr>
          <w:rFonts w:eastAsia="仿宋_GB2312"/>
          <w:color w:val="auto"/>
          <w:sz w:val="28"/>
          <w:szCs w:val="28"/>
        </w:rPr>
        <w:t>；开户行：</w:t>
      </w:r>
      <w:r>
        <w:rPr>
          <w:rFonts w:hint="eastAsia" w:eastAsia="仿宋_GB2312"/>
          <w:color w:val="auto"/>
          <w:sz w:val="28"/>
          <w:szCs w:val="28"/>
        </w:rPr>
        <w:t>XXX</w:t>
      </w:r>
      <w:r>
        <w:rPr>
          <w:rFonts w:eastAsia="仿宋_GB2312"/>
          <w:color w:val="auto"/>
          <w:sz w:val="28"/>
          <w:szCs w:val="28"/>
        </w:rPr>
        <w:t>；账号：</w:t>
      </w:r>
      <w:r>
        <w:rPr>
          <w:rFonts w:hint="eastAsia" w:eastAsia="仿宋_GB2312"/>
          <w:color w:val="auto"/>
          <w:sz w:val="28"/>
          <w:szCs w:val="28"/>
        </w:rPr>
        <w:t>XXX</w:t>
      </w:r>
      <w:r>
        <w:rPr>
          <w:rFonts w:eastAsia="仿宋_GB2312"/>
          <w:color w:val="auto"/>
          <w:sz w:val="28"/>
          <w:szCs w:val="28"/>
        </w:rPr>
        <w:t>。</w:t>
      </w:r>
    </w:p>
    <w:p>
      <w:pPr>
        <w:ind w:firstLine="562" w:firstLineChars="200"/>
        <w:rPr>
          <w:rFonts w:eastAsia="仿宋_GB2312"/>
          <w:b/>
          <w:color w:val="auto"/>
          <w:sz w:val="28"/>
          <w:szCs w:val="28"/>
        </w:rPr>
      </w:pPr>
      <w:r>
        <w:rPr>
          <w:rFonts w:hint="eastAsia" w:eastAsia="仿宋_GB2312"/>
          <w:b/>
          <w:color w:val="auto"/>
          <w:sz w:val="28"/>
          <w:szCs w:val="28"/>
          <w:lang w:val="en-US" w:eastAsia="zh-CN"/>
        </w:rPr>
        <w:t>五</w:t>
      </w:r>
      <w:r>
        <w:rPr>
          <w:rFonts w:eastAsia="仿宋_GB2312"/>
          <w:b/>
          <w:color w:val="auto"/>
          <w:sz w:val="28"/>
          <w:szCs w:val="28"/>
        </w:rPr>
        <w:t>、双方的权利和义务</w:t>
      </w:r>
    </w:p>
    <w:p>
      <w:pPr>
        <w:ind w:firstLine="420" w:firstLineChars="150"/>
        <w:rPr>
          <w:rFonts w:eastAsia="仿宋_GB2312"/>
          <w:color w:val="auto"/>
          <w:sz w:val="28"/>
          <w:szCs w:val="28"/>
        </w:rPr>
      </w:pPr>
      <w:r>
        <w:rPr>
          <w:rFonts w:eastAsia="仿宋_GB2312"/>
          <w:color w:val="auto"/>
          <w:sz w:val="28"/>
          <w:szCs w:val="28"/>
        </w:rPr>
        <w:t xml:space="preserve">（一）甲方权利及义务 </w:t>
      </w:r>
    </w:p>
    <w:p>
      <w:pPr>
        <w:ind w:firstLine="560" w:firstLineChars="200"/>
        <w:rPr>
          <w:rFonts w:eastAsia="仿宋_GB2312"/>
          <w:color w:val="auto"/>
          <w:sz w:val="28"/>
          <w:szCs w:val="28"/>
        </w:rPr>
      </w:pPr>
      <w:r>
        <w:rPr>
          <w:rFonts w:eastAsia="仿宋_GB2312"/>
          <w:color w:val="auto"/>
          <w:sz w:val="28"/>
          <w:szCs w:val="28"/>
        </w:rPr>
        <w:t>1、甲方有权随时对乙方提供的车辆进行核实，如不符协议约定可拒绝使用，并要求乙方改换与协议约定相符的车辆。</w:t>
      </w:r>
    </w:p>
    <w:p>
      <w:pPr>
        <w:ind w:firstLine="560" w:firstLineChars="200"/>
        <w:rPr>
          <w:rFonts w:eastAsia="仿宋_GB2312"/>
          <w:color w:val="auto"/>
          <w:sz w:val="28"/>
          <w:szCs w:val="28"/>
        </w:rPr>
      </w:pPr>
      <w:r>
        <w:rPr>
          <w:rFonts w:eastAsia="仿宋_GB2312"/>
          <w:color w:val="auto"/>
          <w:sz w:val="28"/>
          <w:szCs w:val="28"/>
        </w:rPr>
        <w:t>2、甲方的用车时间以及其他要求，由甲方根据实际情况提前告知乙方。</w:t>
      </w:r>
    </w:p>
    <w:p>
      <w:pPr>
        <w:ind w:firstLine="560" w:firstLineChars="200"/>
        <w:rPr>
          <w:rFonts w:eastAsia="仿宋_GB2312"/>
          <w:color w:val="auto"/>
          <w:sz w:val="28"/>
          <w:szCs w:val="28"/>
        </w:rPr>
      </w:pPr>
      <w:r>
        <w:rPr>
          <w:rFonts w:eastAsia="仿宋_GB2312"/>
          <w:color w:val="auto"/>
          <w:sz w:val="28"/>
          <w:szCs w:val="28"/>
        </w:rPr>
        <w:t>3、如果甲方要求增加路线、班次或者调整车辆大小，乙方须按甲方的要求及时提供接送服务，具体费用双方协商解决。</w:t>
      </w:r>
    </w:p>
    <w:p>
      <w:pPr>
        <w:ind w:firstLine="560" w:firstLineChars="200"/>
        <w:rPr>
          <w:rFonts w:eastAsia="仿宋_GB2312"/>
          <w:color w:val="auto"/>
          <w:sz w:val="28"/>
          <w:szCs w:val="28"/>
        </w:rPr>
      </w:pPr>
      <w:r>
        <w:rPr>
          <w:rFonts w:eastAsia="仿宋_GB2312"/>
          <w:color w:val="auto"/>
          <w:sz w:val="28"/>
          <w:szCs w:val="28"/>
        </w:rPr>
        <w:t>4、甲方不得以包车名义，从事道路运输经营活动，包括设点销售客票、招揽散客等，不得从事盈利性的客运代理活动。</w:t>
      </w:r>
    </w:p>
    <w:p>
      <w:pPr>
        <w:ind w:firstLine="560" w:firstLineChars="200"/>
        <w:rPr>
          <w:rFonts w:eastAsia="仿宋_GB2312"/>
          <w:color w:val="auto"/>
          <w:sz w:val="28"/>
          <w:szCs w:val="28"/>
        </w:rPr>
      </w:pPr>
      <w:r>
        <w:rPr>
          <w:rFonts w:eastAsia="仿宋_GB2312"/>
          <w:color w:val="auto"/>
          <w:sz w:val="28"/>
          <w:szCs w:val="28"/>
        </w:rPr>
        <w:t>5、甲方应保证乘客不携带易燃易爆易腐蚀等危险品乘车。</w:t>
      </w:r>
    </w:p>
    <w:p>
      <w:pPr>
        <w:ind w:firstLine="560" w:firstLineChars="200"/>
        <w:rPr>
          <w:rFonts w:eastAsia="仿宋_GB2312"/>
          <w:color w:val="auto"/>
          <w:sz w:val="28"/>
          <w:szCs w:val="28"/>
        </w:rPr>
      </w:pPr>
      <w:r>
        <w:rPr>
          <w:rFonts w:eastAsia="仿宋_GB2312"/>
          <w:color w:val="auto"/>
          <w:sz w:val="28"/>
          <w:szCs w:val="28"/>
        </w:rPr>
        <w:t>6、车辆行驶过程中，甲方员工不得离开座位搞互动活动，甲方员工应配合驾驶员相互监督系好安全带。</w:t>
      </w:r>
    </w:p>
    <w:p>
      <w:pPr>
        <w:ind w:firstLine="560" w:firstLineChars="200"/>
        <w:rPr>
          <w:rFonts w:eastAsia="仿宋_GB2312"/>
          <w:color w:val="auto"/>
          <w:sz w:val="28"/>
          <w:szCs w:val="28"/>
        </w:rPr>
      </w:pPr>
      <w:r>
        <w:rPr>
          <w:rFonts w:eastAsia="仿宋_GB2312"/>
          <w:color w:val="auto"/>
          <w:sz w:val="28"/>
          <w:szCs w:val="28"/>
        </w:rPr>
        <w:t>7、甲方员工不得要求驾驶员违章驾驶，并提醒员工：除必要的工作交流外，不得与驾驶员闲聊。</w:t>
      </w:r>
    </w:p>
    <w:p>
      <w:pPr>
        <w:ind w:firstLine="560" w:firstLineChars="200"/>
        <w:rPr>
          <w:rFonts w:eastAsia="仿宋_GB2312"/>
          <w:color w:val="auto"/>
          <w:sz w:val="28"/>
          <w:szCs w:val="28"/>
        </w:rPr>
      </w:pPr>
      <w:r>
        <w:rPr>
          <w:rFonts w:eastAsia="仿宋_GB2312"/>
          <w:color w:val="auto"/>
          <w:sz w:val="28"/>
          <w:szCs w:val="28"/>
        </w:rPr>
        <w:t>（二）乙方权利及义务</w:t>
      </w:r>
    </w:p>
    <w:p>
      <w:pPr>
        <w:ind w:firstLine="560" w:firstLineChars="200"/>
        <w:rPr>
          <w:rFonts w:eastAsia="仿宋_GB2312"/>
          <w:color w:val="auto"/>
          <w:sz w:val="28"/>
          <w:szCs w:val="28"/>
        </w:rPr>
      </w:pPr>
      <w:r>
        <w:rPr>
          <w:rFonts w:eastAsia="仿宋_GB2312"/>
          <w:color w:val="auto"/>
          <w:sz w:val="28"/>
          <w:szCs w:val="28"/>
        </w:rPr>
        <w:t>1、乙方提供车辆的各类手续及保险（交强险、第三者责任险、驾驶员及全车乘客座位险等其它商业险种且车辆单个乘客座位险保额不得低于60万元）必须齐全，车辆内部和外观干净整洁，车龄须在7年以内（车辆行驶证上注册日期为201</w:t>
      </w:r>
      <w:r>
        <w:rPr>
          <w:rFonts w:hint="eastAsia" w:eastAsia="仿宋_GB2312"/>
          <w:color w:val="auto"/>
          <w:sz w:val="28"/>
          <w:szCs w:val="28"/>
        </w:rPr>
        <w:t>7</w:t>
      </w:r>
      <w:r>
        <w:rPr>
          <w:rFonts w:eastAsia="仿宋_GB2312"/>
          <w:color w:val="auto"/>
          <w:sz w:val="28"/>
          <w:szCs w:val="28"/>
        </w:rPr>
        <w:t>年</w:t>
      </w:r>
      <w:r>
        <w:rPr>
          <w:rFonts w:hint="eastAsia" w:eastAsia="仿宋_GB2312"/>
          <w:color w:val="auto"/>
          <w:sz w:val="28"/>
          <w:szCs w:val="28"/>
        </w:rPr>
        <w:t>5</w:t>
      </w:r>
      <w:r>
        <w:rPr>
          <w:rFonts w:eastAsia="仿宋_GB2312"/>
          <w:color w:val="auto"/>
          <w:sz w:val="28"/>
          <w:szCs w:val="28"/>
        </w:rPr>
        <w:t>月1日及以后），乙方提供的车辆须相对固定，以确保甲方用车稳定，如乙方须更换车辆须提前1天通知甲方并经甲方审核同意后方可更换。</w:t>
      </w:r>
    </w:p>
    <w:p>
      <w:pPr>
        <w:ind w:firstLine="560" w:firstLineChars="200"/>
        <w:rPr>
          <w:rFonts w:eastAsia="仿宋_GB2312"/>
          <w:color w:val="auto"/>
          <w:sz w:val="28"/>
          <w:szCs w:val="28"/>
        </w:rPr>
      </w:pPr>
      <w:r>
        <w:rPr>
          <w:rFonts w:eastAsia="仿宋_GB2312"/>
          <w:color w:val="auto"/>
          <w:sz w:val="28"/>
          <w:szCs w:val="28"/>
        </w:rPr>
        <w:t>2、乙方负责车辆的定期维修及保养，并符合国家的相关规定，甲方有权要求乙方出具相应的维修及保养记录；如车辆在使用期间需维修或保养，乙方应派同等类型的车辆为甲方服务；若乙方不能及时提供替代车辆，甲方有权以其他方式替代解决，由此产生的费用或造成的损失及后果由乙方承担。</w:t>
      </w:r>
    </w:p>
    <w:p>
      <w:pPr>
        <w:ind w:firstLine="560" w:firstLineChars="200"/>
        <w:rPr>
          <w:rFonts w:eastAsia="仿宋_GB2312"/>
          <w:color w:val="auto"/>
          <w:sz w:val="28"/>
          <w:szCs w:val="28"/>
        </w:rPr>
      </w:pPr>
      <w:r>
        <w:rPr>
          <w:rFonts w:eastAsia="仿宋_GB2312"/>
          <w:color w:val="auto"/>
          <w:sz w:val="28"/>
          <w:szCs w:val="28"/>
        </w:rPr>
        <w:t>3、乙方必须按照甲方提供的上下班路线站点准时接送职工，如因车辆故障或乙方因素导致行车过程中出现延误，乙方必须在1个小时内派遣同类型车辆到达事发地替换故障车辆，若乙方不能及时提供替代车辆，甲方有权以其他方式替代解决，由此产生的费用或造成的损失及后果由乙方承担。</w:t>
      </w:r>
    </w:p>
    <w:p>
      <w:pPr>
        <w:ind w:firstLine="560" w:firstLineChars="200"/>
        <w:rPr>
          <w:rFonts w:eastAsia="仿宋_GB2312"/>
          <w:color w:val="auto"/>
          <w:sz w:val="28"/>
          <w:szCs w:val="28"/>
        </w:rPr>
      </w:pPr>
      <w:r>
        <w:rPr>
          <w:rFonts w:eastAsia="仿宋_GB2312"/>
          <w:color w:val="auto"/>
          <w:sz w:val="28"/>
          <w:szCs w:val="28"/>
        </w:rPr>
        <w:t>4、乙方派遣的驾驶员年龄须在50周岁以内，持有A1驾照及道路运输从业人员从业资格证，具备5年以上的19座及以上客车驾驶经验，并对行程路线熟悉，乙方拟派遣的驾驶员须相对固定，以确保甲方用车稳定，如乙方须更换驾驶员须提前1天通知甲方并经甲方审核同意后方可更换；</w:t>
      </w:r>
    </w:p>
    <w:p>
      <w:pPr>
        <w:ind w:firstLine="560" w:firstLineChars="200"/>
        <w:rPr>
          <w:rFonts w:eastAsia="仿宋_GB2312"/>
          <w:color w:val="auto"/>
          <w:sz w:val="28"/>
          <w:szCs w:val="28"/>
        </w:rPr>
      </w:pPr>
      <w:r>
        <w:rPr>
          <w:rFonts w:eastAsia="仿宋_GB2312"/>
          <w:color w:val="auto"/>
          <w:sz w:val="28"/>
          <w:szCs w:val="28"/>
        </w:rPr>
        <w:t>6、乙方驾驶员有义务核实甲方乘车职工的身份；若不能出示相关身份证明，乙方驾驶员应拒绝其上车并告知甲方。</w:t>
      </w:r>
    </w:p>
    <w:p>
      <w:pPr>
        <w:ind w:firstLine="560" w:firstLineChars="200"/>
        <w:rPr>
          <w:rFonts w:eastAsia="仿宋_GB2312"/>
          <w:color w:val="auto"/>
          <w:sz w:val="28"/>
          <w:szCs w:val="28"/>
        </w:rPr>
      </w:pPr>
      <w:r>
        <w:rPr>
          <w:rFonts w:eastAsia="仿宋_GB2312"/>
          <w:color w:val="auto"/>
          <w:sz w:val="28"/>
          <w:szCs w:val="28"/>
        </w:rPr>
        <w:t>7、如因特殊情况造成乙方车辆无法运行（例：交通管制、政府新规章制度此路线范围属禁行路段），由双方协商解决路线变更等事宜。</w:t>
      </w:r>
    </w:p>
    <w:p>
      <w:pPr>
        <w:ind w:firstLine="560" w:firstLineChars="200"/>
        <w:rPr>
          <w:rFonts w:eastAsia="仿宋_GB2312"/>
          <w:color w:val="auto"/>
          <w:sz w:val="28"/>
          <w:szCs w:val="28"/>
        </w:rPr>
      </w:pPr>
      <w:r>
        <w:rPr>
          <w:rFonts w:eastAsia="仿宋_GB2312"/>
          <w:color w:val="auto"/>
          <w:sz w:val="28"/>
          <w:szCs w:val="28"/>
        </w:rPr>
        <w:t>8、如甲方要求增加路线或者调整车辆大小，乙方须按甲方的要求及时提供接送服务，具体费用双方协商解决。</w:t>
      </w:r>
    </w:p>
    <w:p>
      <w:pPr>
        <w:ind w:firstLine="560" w:firstLineChars="200"/>
        <w:rPr>
          <w:rFonts w:eastAsia="仿宋_GB2312"/>
          <w:color w:val="auto"/>
          <w:sz w:val="28"/>
          <w:szCs w:val="28"/>
        </w:rPr>
      </w:pPr>
      <w:r>
        <w:rPr>
          <w:rFonts w:eastAsia="仿宋_GB2312"/>
          <w:color w:val="auto"/>
          <w:sz w:val="28"/>
          <w:szCs w:val="28"/>
        </w:rPr>
        <w:t>9、甲方的用车时间以及其他要求根据实际情况，由甲方提前告知乙方。</w:t>
      </w:r>
    </w:p>
    <w:p>
      <w:pPr>
        <w:ind w:firstLine="560" w:firstLineChars="200"/>
        <w:rPr>
          <w:rFonts w:eastAsia="仿宋_GB2312"/>
          <w:color w:val="auto"/>
          <w:sz w:val="28"/>
          <w:szCs w:val="28"/>
        </w:rPr>
      </w:pPr>
      <w:r>
        <w:rPr>
          <w:rFonts w:eastAsia="仿宋_GB2312"/>
          <w:color w:val="auto"/>
          <w:sz w:val="28"/>
          <w:szCs w:val="28"/>
        </w:rPr>
        <w:t>10、乙方要采取必要的措施，避免在运输过程中出现侵害双方人身、财产安全的违法行为。若发生道路交通安全事故，须按国家有关法律、政策迅速有效进行处置等相关工作。</w:t>
      </w:r>
    </w:p>
    <w:p>
      <w:pPr>
        <w:ind w:firstLine="562" w:firstLineChars="200"/>
        <w:rPr>
          <w:rFonts w:eastAsia="仿宋_GB2312"/>
          <w:b/>
          <w:color w:val="auto"/>
          <w:sz w:val="28"/>
          <w:szCs w:val="28"/>
        </w:rPr>
      </w:pPr>
      <w:r>
        <w:rPr>
          <w:rFonts w:hint="eastAsia" w:eastAsia="仿宋_GB2312"/>
          <w:b/>
          <w:color w:val="auto"/>
          <w:sz w:val="28"/>
          <w:szCs w:val="28"/>
          <w:lang w:val="en-US" w:eastAsia="zh-CN"/>
        </w:rPr>
        <w:t>六</w:t>
      </w:r>
      <w:r>
        <w:rPr>
          <w:rFonts w:eastAsia="仿宋_GB2312"/>
          <w:b/>
          <w:color w:val="auto"/>
          <w:sz w:val="28"/>
          <w:szCs w:val="28"/>
        </w:rPr>
        <w:t>、违约责任</w:t>
      </w:r>
    </w:p>
    <w:p>
      <w:pPr>
        <w:ind w:firstLine="560" w:firstLineChars="200"/>
        <w:rPr>
          <w:rFonts w:eastAsia="仿宋_GB2312"/>
          <w:color w:val="auto"/>
          <w:sz w:val="28"/>
          <w:szCs w:val="28"/>
        </w:rPr>
      </w:pPr>
      <w:r>
        <w:rPr>
          <w:rFonts w:eastAsia="仿宋_GB2312"/>
          <w:color w:val="auto"/>
          <w:sz w:val="28"/>
          <w:szCs w:val="28"/>
        </w:rPr>
        <w:t>1、协议签订后，乙方无正当理由不按协议约定时间、地点和车辆等承运的，须赔偿甲方由此引起的相关经济损失。</w:t>
      </w:r>
    </w:p>
    <w:p>
      <w:pPr>
        <w:ind w:firstLine="560" w:firstLineChars="200"/>
        <w:rPr>
          <w:rFonts w:eastAsia="仿宋_GB2312"/>
          <w:color w:val="auto"/>
          <w:sz w:val="28"/>
          <w:szCs w:val="28"/>
        </w:rPr>
      </w:pPr>
      <w:r>
        <w:rPr>
          <w:rFonts w:eastAsia="仿宋_GB2312"/>
          <w:color w:val="auto"/>
          <w:sz w:val="28"/>
          <w:szCs w:val="28"/>
        </w:rPr>
        <w:t>2、如乙方无法按照</w:t>
      </w:r>
      <w:r>
        <w:rPr>
          <w:rFonts w:hint="eastAsia" w:eastAsia="仿宋_GB2312"/>
          <w:color w:val="auto"/>
          <w:sz w:val="28"/>
          <w:szCs w:val="28"/>
        </w:rPr>
        <w:t>和畅机关及龙杨高速交通车</w:t>
      </w:r>
      <w:r>
        <w:rPr>
          <w:rFonts w:eastAsia="仿宋_GB2312"/>
          <w:color w:val="auto"/>
          <w:sz w:val="28"/>
          <w:szCs w:val="28"/>
        </w:rPr>
        <w:t>询价文件第二条“询价内容及要求”第二款“询价要求”的所有条款及约定</w:t>
      </w:r>
      <w:r>
        <w:rPr>
          <w:rFonts w:hint="eastAsia" w:eastAsia="仿宋_GB2312"/>
          <w:color w:val="auto"/>
          <w:sz w:val="28"/>
          <w:szCs w:val="28"/>
        </w:rPr>
        <w:t>：</w:t>
      </w:r>
    </w:p>
    <w:p>
      <w:pPr>
        <w:ind w:firstLine="560" w:firstLineChars="200"/>
        <w:rPr>
          <w:rFonts w:eastAsia="仿宋_GB2312"/>
          <w:color w:val="auto"/>
          <w:sz w:val="28"/>
          <w:szCs w:val="28"/>
        </w:rPr>
      </w:pPr>
      <w:r>
        <w:rPr>
          <w:rFonts w:hint="eastAsia" w:eastAsia="仿宋_GB2312"/>
          <w:color w:val="auto"/>
          <w:sz w:val="28"/>
          <w:szCs w:val="28"/>
        </w:rPr>
        <w:t>（1）合同签订前，报价人须提供车辆的行驶证及全部保险信息（交强险、第三者责任险、驾驶员及全车乘客座位险等其它商业险种且车辆单个乘客座位险保额不得低于60万元）等供询价人核查，报价人须保证提供车辆的各类手续必须齐全，车辆内部和外观干净整洁，车龄须在7年以内（车辆行驶证上注册日期为2017年5月1日及以后），报价人提供的车辆须相对固定，以确保用车人用车稳定，如报价人须更换车辆须提前1天通知询价人并经用车人审核同意后方可更换。</w:t>
      </w:r>
    </w:p>
    <w:p>
      <w:pPr>
        <w:ind w:firstLine="560" w:firstLineChars="200"/>
        <w:rPr>
          <w:rFonts w:eastAsia="仿宋_GB2312"/>
          <w:color w:val="auto"/>
          <w:sz w:val="28"/>
          <w:szCs w:val="28"/>
        </w:rPr>
      </w:pPr>
      <w:r>
        <w:rPr>
          <w:rFonts w:hint="eastAsia" w:eastAsia="仿宋_GB2312"/>
          <w:color w:val="auto"/>
          <w:sz w:val="28"/>
          <w:szCs w:val="28"/>
        </w:rPr>
        <w:t>（2）报价人负责车辆的定期维修及保养，并符合国家的相关规定，用车人有权要求报价人出具相应的维修及保养记录；如车辆在使用期间需维修或保养，报价人应派同等类型的车辆为用车人服务；若报价人不能及时提供替代车辆，用车人有权以其他方式替代解决，由此产生的费用或造成的损失及后果由报价人承担。</w:t>
      </w:r>
    </w:p>
    <w:p>
      <w:pPr>
        <w:ind w:firstLine="560" w:firstLineChars="200"/>
        <w:rPr>
          <w:rFonts w:eastAsia="仿宋_GB2312"/>
          <w:color w:val="auto"/>
          <w:sz w:val="28"/>
          <w:szCs w:val="28"/>
        </w:rPr>
      </w:pPr>
      <w:r>
        <w:rPr>
          <w:rFonts w:hint="eastAsia" w:eastAsia="仿宋_GB2312"/>
          <w:color w:val="auto"/>
          <w:sz w:val="28"/>
          <w:szCs w:val="28"/>
        </w:rPr>
        <w:t>（3）报价人必须按照询价人提供的上下班路线站点准时接送职工，如因车辆故障或报价人因素导致行车过程中出现延误，报价人必须在1个小时内派遣同类型车辆到达事发地替换故障车辆，若报价人不能及时提供替代车辆，用车人有权以其他方式替代解决，由此产生的费用或造成的损失及后果由报价人承担。</w:t>
      </w:r>
    </w:p>
    <w:p>
      <w:pPr>
        <w:ind w:firstLine="560" w:firstLineChars="200"/>
        <w:rPr>
          <w:rFonts w:eastAsia="仿宋_GB2312"/>
          <w:color w:val="auto"/>
          <w:sz w:val="28"/>
          <w:szCs w:val="28"/>
        </w:rPr>
      </w:pPr>
      <w:r>
        <w:rPr>
          <w:rFonts w:hint="eastAsia" w:eastAsia="仿宋_GB2312"/>
          <w:color w:val="auto"/>
          <w:sz w:val="28"/>
          <w:szCs w:val="28"/>
        </w:rPr>
        <w:t>（4）合同签订前报价人须提供驾驶员的身份证复印件、驾驶证复印件、道路运输从业人员从业资格证及与报价人劳动关系证明等相关资料，报价人拟派遣的驾驶员年龄须在50周岁以内，持有A1驾照及道路运输从业人员从业资格证 ，具备5年以上客车驾驶经验，并对行程路线熟悉，报价人拟派遣的驾驶员须相对固定，以确保用车人用车稳定，如报价人须更换驾驶员须提前1天通知询价人并经用车人审核同意后方可更换。</w:t>
      </w:r>
    </w:p>
    <w:p>
      <w:pPr>
        <w:ind w:firstLine="560" w:firstLineChars="200"/>
        <w:rPr>
          <w:rFonts w:eastAsia="仿宋_GB2312"/>
          <w:color w:val="auto"/>
          <w:sz w:val="28"/>
          <w:szCs w:val="28"/>
        </w:rPr>
      </w:pPr>
      <w:r>
        <w:rPr>
          <w:rFonts w:hint="eastAsia" w:eastAsia="仿宋_GB2312"/>
          <w:color w:val="auto"/>
          <w:sz w:val="28"/>
          <w:szCs w:val="28"/>
        </w:rPr>
        <w:t>（5）报价人驾驶员有义务核实用车人乘车职工的身份；若不能出示相关身份证明，报价人驾驶员应拒绝其上车并告知用车人。</w:t>
      </w:r>
    </w:p>
    <w:p>
      <w:pPr>
        <w:ind w:firstLine="560" w:firstLineChars="200"/>
        <w:rPr>
          <w:rFonts w:eastAsia="仿宋_GB2312"/>
          <w:color w:val="auto"/>
          <w:sz w:val="28"/>
          <w:szCs w:val="28"/>
        </w:rPr>
      </w:pPr>
      <w:r>
        <w:rPr>
          <w:rFonts w:hint="eastAsia" w:eastAsia="仿宋_GB2312"/>
          <w:color w:val="auto"/>
          <w:sz w:val="28"/>
          <w:szCs w:val="28"/>
        </w:rPr>
        <w:t>（6）如因特殊情况造成报价人车辆无法运行（例：交通管制、政府新规章制度此路线范围属禁行路段），由双方协商解决路线变更等事宜。</w:t>
      </w:r>
    </w:p>
    <w:p>
      <w:pPr>
        <w:ind w:firstLine="560" w:firstLineChars="200"/>
        <w:rPr>
          <w:rFonts w:eastAsia="仿宋_GB2312"/>
          <w:color w:val="auto"/>
          <w:sz w:val="28"/>
          <w:szCs w:val="28"/>
        </w:rPr>
      </w:pPr>
      <w:r>
        <w:rPr>
          <w:rFonts w:hint="eastAsia" w:eastAsia="仿宋_GB2312"/>
          <w:color w:val="auto"/>
          <w:sz w:val="28"/>
          <w:szCs w:val="28"/>
        </w:rPr>
        <w:t>（7）如用车人要求增加路线或者调整车辆大小，报价人须按用车人的要求及时提供接送服务，具体费用双方协商解决。</w:t>
      </w:r>
    </w:p>
    <w:p>
      <w:pPr>
        <w:ind w:firstLine="560" w:firstLineChars="200"/>
        <w:rPr>
          <w:rFonts w:eastAsia="仿宋_GB2312"/>
          <w:color w:val="auto"/>
          <w:sz w:val="28"/>
          <w:szCs w:val="28"/>
        </w:rPr>
      </w:pPr>
      <w:r>
        <w:rPr>
          <w:rFonts w:hint="eastAsia" w:eastAsia="仿宋_GB2312"/>
          <w:color w:val="auto"/>
          <w:sz w:val="28"/>
          <w:szCs w:val="28"/>
        </w:rPr>
        <w:t>（8）用车人的用车时间以及其他要求根据实际情况，由用车人提前告知报价人。</w:t>
      </w:r>
    </w:p>
    <w:p>
      <w:pPr>
        <w:ind w:firstLine="560" w:firstLineChars="200"/>
        <w:rPr>
          <w:rFonts w:eastAsia="仿宋_GB2312"/>
          <w:color w:val="auto"/>
          <w:sz w:val="28"/>
          <w:szCs w:val="28"/>
        </w:rPr>
      </w:pPr>
      <w:r>
        <w:rPr>
          <w:rFonts w:hint="eastAsia" w:eastAsia="仿宋_GB2312"/>
          <w:color w:val="auto"/>
          <w:sz w:val="28"/>
          <w:szCs w:val="28"/>
        </w:rPr>
        <w:t>（9）报价人要采取必要的措施，避免在运输过程中出现侵害双方人身、财产安全的违法行为。若发生道路交通安全事故，须按国家有关法律、政策迅速有效进行处置等相关工作。</w:t>
      </w:r>
    </w:p>
    <w:p>
      <w:pPr>
        <w:ind w:firstLine="560" w:firstLineChars="200"/>
        <w:rPr>
          <w:rFonts w:eastAsia="仿宋_GB2312"/>
          <w:color w:val="auto"/>
          <w:sz w:val="28"/>
          <w:szCs w:val="28"/>
        </w:rPr>
      </w:pPr>
      <w:r>
        <w:rPr>
          <w:rFonts w:hint="eastAsia" w:eastAsia="仿宋_GB2312"/>
          <w:color w:val="auto"/>
          <w:sz w:val="28"/>
          <w:szCs w:val="28"/>
        </w:rPr>
        <w:t>向甲方提供不低于询价要求的所有服务，甲方有权扣除部分或全部合同款，直至终止协议。</w:t>
      </w:r>
    </w:p>
    <w:p>
      <w:pPr>
        <w:ind w:firstLine="630"/>
        <w:rPr>
          <w:rFonts w:eastAsia="仿宋_GB2312"/>
          <w:color w:val="auto"/>
          <w:sz w:val="28"/>
          <w:szCs w:val="28"/>
        </w:rPr>
      </w:pPr>
      <w:r>
        <w:rPr>
          <w:rFonts w:hint="eastAsia" w:eastAsia="仿宋_GB2312"/>
          <w:color w:val="auto"/>
          <w:sz w:val="28"/>
          <w:szCs w:val="28"/>
        </w:rPr>
        <w:t>3</w:t>
      </w:r>
      <w:r>
        <w:rPr>
          <w:rFonts w:eastAsia="仿宋_GB2312"/>
          <w:color w:val="auto"/>
          <w:sz w:val="28"/>
          <w:szCs w:val="28"/>
        </w:rPr>
        <w:t>、如因车辆故障或乙方因素导致无法按时出车或出车时间迟到三十分钟以上，合同期内出现的第一次，甲方将扣除当天班车费用；合同期内出现的第二次，将扣除两天班车费用；合同期内出现的第三次，将扣除三天班车费用并有权终止协议。</w:t>
      </w:r>
    </w:p>
    <w:p>
      <w:pPr>
        <w:ind w:firstLine="560" w:firstLineChars="200"/>
        <w:rPr>
          <w:rFonts w:eastAsia="仿宋_GB2312"/>
          <w:color w:val="auto"/>
          <w:sz w:val="28"/>
          <w:szCs w:val="28"/>
        </w:rPr>
      </w:pPr>
      <w:r>
        <w:rPr>
          <w:rFonts w:hint="eastAsia" w:eastAsia="仿宋_GB2312"/>
          <w:color w:val="auto"/>
          <w:sz w:val="28"/>
          <w:szCs w:val="28"/>
        </w:rPr>
        <w:t>4</w:t>
      </w:r>
      <w:r>
        <w:rPr>
          <w:rFonts w:eastAsia="仿宋_GB2312"/>
          <w:color w:val="auto"/>
          <w:sz w:val="28"/>
          <w:szCs w:val="28"/>
        </w:rPr>
        <w:t>、遇疫情等特殊情况，甲方不租用乙方车辆或变更协议事项应提前告知，提前48小时以上告知的可免费取消用车。</w:t>
      </w:r>
    </w:p>
    <w:p>
      <w:pPr>
        <w:ind w:firstLine="560" w:firstLineChars="200"/>
        <w:rPr>
          <w:rFonts w:eastAsia="仿宋_GB2312"/>
          <w:b/>
          <w:color w:val="auto"/>
          <w:sz w:val="28"/>
          <w:szCs w:val="28"/>
        </w:rPr>
      </w:pPr>
      <w:r>
        <w:rPr>
          <w:rFonts w:hint="eastAsia" w:eastAsia="仿宋_GB2312"/>
          <w:color w:val="auto"/>
          <w:sz w:val="28"/>
          <w:szCs w:val="28"/>
        </w:rPr>
        <w:t>5</w:t>
      </w:r>
      <w:r>
        <w:rPr>
          <w:rFonts w:eastAsia="仿宋_GB2312"/>
          <w:color w:val="auto"/>
          <w:sz w:val="28"/>
          <w:szCs w:val="28"/>
        </w:rPr>
        <w:t>、甲方须按协议约定方式及时向乙方支付结算费用。</w:t>
      </w:r>
    </w:p>
    <w:p>
      <w:pPr>
        <w:ind w:firstLine="560" w:firstLineChars="200"/>
        <w:rPr>
          <w:rFonts w:eastAsia="仿宋_GB2312"/>
          <w:color w:val="auto"/>
          <w:sz w:val="28"/>
          <w:szCs w:val="28"/>
        </w:rPr>
      </w:pPr>
      <w:r>
        <w:rPr>
          <w:rFonts w:hint="eastAsia" w:eastAsia="仿宋_GB2312"/>
          <w:color w:val="auto"/>
          <w:sz w:val="28"/>
          <w:szCs w:val="28"/>
        </w:rPr>
        <w:t>6</w:t>
      </w:r>
      <w:r>
        <w:rPr>
          <w:rFonts w:eastAsia="仿宋_GB2312"/>
          <w:color w:val="auto"/>
          <w:sz w:val="28"/>
          <w:szCs w:val="28"/>
        </w:rPr>
        <w:t>、甲方利用包车从事班车客运或其它非法经营活动，造成乙方受到处罚的，须赔偿由此引起的所有经济损失。</w:t>
      </w:r>
    </w:p>
    <w:p>
      <w:pPr>
        <w:ind w:firstLine="630"/>
        <w:rPr>
          <w:rFonts w:eastAsia="仿宋_GB2312"/>
          <w:color w:val="auto"/>
          <w:sz w:val="28"/>
          <w:szCs w:val="28"/>
        </w:rPr>
      </w:pPr>
      <w:r>
        <w:rPr>
          <w:rFonts w:hint="eastAsia" w:eastAsia="仿宋_GB2312"/>
          <w:color w:val="auto"/>
          <w:sz w:val="28"/>
          <w:szCs w:val="28"/>
        </w:rPr>
        <w:t>7</w:t>
      </w:r>
      <w:r>
        <w:rPr>
          <w:rFonts w:eastAsia="仿宋_GB2312"/>
          <w:color w:val="auto"/>
          <w:sz w:val="28"/>
          <w:szCs w:val="28"/>
        </w:rPr>
        <w:t>、甲乙双方不按协议约定执行，造成一方产生其他损失的，由责任方负责赔偿。</w:t>
      </w:r>
    </w:p>
    <w:p>
      <w:pPr>
        <w:ind w:firstLine="630"/>
        <w:rPr>
          <w:rFonts w:eastAsia="仿宋_GB2312"/>
          <w:color w:val="auto"/>
          <w:sz w:val="28"/>
          <w:szCs w:val="28"/>
        </w:rPr>
      </w:pPr>
      <w:r>
        <w:rPr>
          <w:rFonts w:hint="eastAsia" w:eastAsia="仿宋_GB2312"/>
          <w:color w:val="auto"/>
          <w:sz w:val="28"/>
          <w:szCs w:val="28"/>
        </w:rPr>
        <w:t>8</w:t>
      </w:r>
      <w:r>
        <w:rPr>
          <w:rFonts w:eastAsia="仿宋_GB2312"/>
          <w:color w:val="auto"/>
          <w:sz w:val="28"/>
          <w:szCs w:val="28"/>
        </w:rPr>
        <w:t>、因不可抗力因素不能履行协议的，不承担赔偿责任，但应及时通知对方，并提供事件原因的详情。</w:t>
      </w:r>
    </w:p>
    <w:p>
      <w:pPr>
        <w:ind w:firstLine="630"/>
        <w:rPr>
          <w:rFonts w:eastAsia="仿宋_GB2312"/>
          <w:b/>
          <w:color w:val="auto"/>
          <w:sz w:val="28"/>
          <w:szCs w:val="28"/>
        </w:rPr>
      </w:pPr>
      <w:r>
        <w:rPr>
          <w:rFonts w:hint="eastAsia" w:eastAsia="仿宋_GB2312"/>
          <w:b/>
          <w:color w:val="auto"/>
          <w:sz w:val="28"/>
          <w:szCs w:val="28"/>
          <w:lang w:val="en-US" w:eastAsia="zh-CN"/>
        </w:rPr>
        <w:t>七</w:t>
      </w:r>
      <w:r>
        <w:rPr>
          <w:rFonts w:eastAsia="仿宋_GB2312"/>
          <w:b/>
          <w:color w:val="auto"/>
          <w:sz w:val="28"/>
          <w:szCs w:val="28"/>
        </w:rPr>
        <w:t>、争议处理</w:t>
      </w:r>
    </w:p>
    <w:p>
      <w:pPr>
        <w:ind w:firstLine="560" w:firstLineChars="200"/>
        <w:rPr>
          <w:rFonts w:eastAsia="仿宋_GB2312"/>
          <w:color w:val="auto"/>
          <w:sz w:val="28"/>
          <w:szCs w:val="28"/>
        </w:rPr>
      </w:pPr>
      <w:r>
        <w:rPr>
          <w:rFonts w:eastAsia="仿宋_GB2312"/>
          <w:color w:val="auto"/>
          <w:sz w:val="28"/>
          <w:szCs w:val="28"/>
        </w:rPr>
        <w:t>发生纠纷时，双方应友好协商解决。协商无法解决时，可向赣州市道路运输协会或赣州市消费者协会反映要求调解，调解无效可向甲方所在地人民法院提起诉讼。</w:t>
      </w:r>
    </w:p>
    <w:p>
      <w:pPr>
        <w:ind w:firstLine="562" w:firstLineChars="200"/>
        <w:rPr>
          <w:rFonts w:eastAsia="仿宋_GB2312"/>
          <w:b/>
          <w:color w:val="auto"/>
          <w:sz w:val="28"/>
          <w:szCs w:val="28"/>
        </w:rPr>
      </w:pPr>
      <w:r>
        <w:rPr>
          <w:rFonts w:hint="eastAsia" w:eastAsia="仿宋_GB2312"/>
          <w:b/>
          <w:color w:val="auto"/>
          <w:sz w:val="28"/>
          <w:szCs w:val="28"/>
          <w:lang w:val="en-US" w:eastAsia="zh-CN"/>
        </w:rPr>
        <w:t>八</w:t>
      </w:r>
      <w:r>
        <w:rPr>
          <w:rFonts w:eastAsia="仿宋_GB2312"/>
          <w:b/>
          <w:color w:val="auto"/>
          <w:sz w:val="28"/>
          <w:szCs w:val="28"/>
        </w:rPr>
        <w:t>、其它</w:t>
      </w:r>
    </w:p>
    <w:p>
      <w:pPr>
        <w:ind w:firstLine="560" w:firstLineChars="200"/>
        <w:rPr>
          <w:rFonts w:eastAsia="仿宋_GB2312"/>
          <w:color w:val="auto"/>
          <w:sz w:val="28"/>
          <w:szCs w:val="28"/>
        </w:rPr>
      </w:pPr>
      <w:r>
        <w:rPr>
          <w:rFonts w:eastAsia="仿宋_GB2312"/>
          <w:color w:val="auto"/>
          <w:sz w:val="28"/>
          <w:szCs w:val="28"/>
        </w:rPr>
        <w:t>本协议一式陆份，甲方肆份，乙方贰份，具有同等法律效力，经甲乙双方法人代表或授权代理人签字并加盖公章之日起生效。</w:t>
      </w:r>
    </w:p>
    <w:p>
      <w:pPr>
        <w:pStyle w:val="2"/>
        <w:rPr>
          <w:color w:val="auto"/>
          <w:sz w:val="28"/>
          <w:szCs w:val="28"/>
        </w:rPr>
      </w:pPr>
    </w:p>
    <w:p>
      <w:pPr>
        <w:pStyle w:val="2"/>
        <w:rPr>
          <w:color w:val="auto"/>
          <w:sz w:val="28"/>
          <w:szCs w:val="28"/>
        </w:rPr>
      </w:pPr>
    </w:p>
    <w:p>
      <w:pPr>
        <w:rPr>
          <w:rFonts w:eastAsia="仿宋_GB2312"/>
          <w:color w:val="auto"/>
          <w:sz w:val="28"/>
          <w:szCs w:val="28"/>
        </w:rPr>
      </w:pPr>
      <w:r>
        <w:rPr>
          <w:rFonts w:eastAsia="仿宋_GB2312"/>
          <w:color w:val="auto"/>
          <w:sz w:val="28"/>
          <w:szCs w:val="28"/>
        </w:rPr>
        <w:t>甲方（盖章） ：              乙方（盖章）：</w:t>
      </w:r>
    </w:p>
    <w:p>
      <w:pPr>
        <w:pStyle w:val="2"/>
        <w:spacing w:line="240" w:lineRule="auto"/>
        <w:rPr>
          <w:color w:val="auto"/>
          <w:sz w:val="28"/>
          <w:szCs w:val="28"/>
        </w:rPr>
      </w:pPr>
    </w:p>
    <w:p>
      <w:pPr>
        <w:rPr>
          <w:rFonts w:eastAsia="仿宋_GB2312"/>
          <w:color w:val="auto"/>
          <w:sz w:val="28"/>
          <w:szCs w:val="28"/>
        </w:rPr>
      </w:pPr>
      <w:r>
        <w:rPr>
          <w:rFonts w:eastAsia="仿宋_GB2312"/>
          <w:color w:val="auto"/>
          <w:sz w:val="28"/>
          <w:szCs w:val="28"/>
        </w:rPr>
        <w:t xml:space="preserve">代表签字：               </w:t>
      </w:r>
      <w:r>
        <w:rPr>
          <w:rFonts w:hint="eastAsia" w:eastAsia="仿宋_GB2312"/>
          <w:color w:val="auto"/>
          <w:sz w:val="28"/>
          <w:szCs w:val="28"/>
        </w:rPr>
        <w:t xml:space="preserve"> </w:t>
      </w:r>
      <w:r>
        <w:rPr>
          <w:rFonts w:eastAsia="仿宋_GB2312"/>
          <w:color w:val="auto"/>
          <w:sz w:val="28"/>
          <w:szCs w:val="28"/>
        </w:rPr>
        <w:t xml:space="preserve">    代表签字：</w:t>
      </w:r>
    </w:p>
    <w:p>
      <w:pPr>
        <w:pStyle w:val="2"/>
        <w:spacing w:line="240" w:lineRule="auto"/>
        <w:rPr>
          <w:color w:val="auto"/>
          <w:sz w:val="28"/>
          <w:szCs w:val="28"/>
        </w:rPr>
      </w:pPr>
    </w:p>
    <w:p>
      <w:pPr>
        <w:ind w:firstLine="4760" w:firstLineChars="1700"/>
        <w:rPr>
          <w:color w:val="auto"/>
        </w:rPr>
      </w:pPr>
      <w:r>
        <w:rPr>
          <w:rFonts w:eastAsia="仿宋_GB2312"/>
          <w:color w:val="auto"/>
          <w:sz w:val="28"/>
          <w:szCs w:val="28"/>
        </w:rPr>
        <w:t>年    月    日</w:t>
      </w:r>
    </w:p>
    <w:sectPr>
      <w:footerReference r:id="rId3" w:type="default"/>
      <w:pgSz w:w="11906" w:h="16838"/>
      <w:pgMar w:top="1588" w:right="1418" w:bottom="141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2ABC4A"/>
    <w:multiLevelType w:val="singleLevel"/>
    <w:tmpl w:val="7B2ABC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UyNmY0ZGRjMzE3NzRkMDI4ZTAyZGE4ZjkzNDUifQ=="/>
    <w:docVar w:name="KSO_WPS_MARK_KEY" w:val="671a2108-6525-4457-bf55-a0222bb43557"/>
  </w:docVars>
  <w:rsids>
    <w:rsidRoot w:val="007706A9"/>
    <w:rsid w:val="00024C3A"/>
    <w:rsid w:val="000328AA"/>
    <w:rsid w:val="00036A23"/>
    <w:rsid w:val="000641D4"/>
    <w:rsid w:val="00066C71"/>
    <w:rsid w:val="00085DA0"/>
    <w:rsid w:val="001042EC"/>
    <w:rsid w:val="00115A94"/>
    <w:rsid w:val="001334C2"/>
    <w:rsid w:val="00135269"/>
    <w:rsid w:val="001360B3"/>
    <w:rsid w:val="001431CE"/>
    <w:rsid w:val="0014529A"/>
    <w:rsid w:val="001552DE"/>
    <w:rsid w:val="001576D2"/>
    <w:rsid w:val="00160B4A"/>
    <w:rsid w:val="00172269"/>
    <w:rsid w:val="00174B91"/>
    <w:rsid w:val="001B0A31"/>
    <w:rsid w:val="001F495F"/>
    <w:rsid w:val="00205F45"/>
    <w:rsid w:val="00206728"/>
    <w:rsid w:val="00227A62"/>
    <w:rsid w:val="0023315B"/>
    <w:rsid w:val="00234A25"/>
    <w:rsid w:val="00240F9C"/>
    <w:rsid w:val="00241E5C"/>
    <w:rsid w:val="00280FBC"/>
    <w:rsid w:val="002C4E66"/>
    <w:rsid w:val="002D108B"/>
    <w:rsid w:val="002D4994"/>
    <w:rsid w:val="002E43E9"/>
    <w:rsid w:val="00321E65"/>
    <w:rsid w:val="00360207"/>
    <w:rsid w:val="00373380"/>
    <w:rsid w:val="00376F38"/>
    <w:rsid w:val="00377BF7"/>
    <w:rsid w:val="003A4E06"/>
    <w:rsid w:val="003A548B"/>
    <w:rsid w:val="003C3392"/>
    <w:rsid w:val="003D72A1"/>
    <w:rsid w:val="003E280D"/>
    <w:rsid w:val="00411C57"/>
    <w:rsid w:val="00427996"/>
    <w:rsid w:val="004640C6"/>
    <w:rsid w:val="00466D6C"/>
    <w:rsid w:val="0046789D"/>
    <w:rsid w:val="00473ED3"/>
    <w:rsid w:val="004A7D5C"/>
    <w:rsid w:val="004B49CF"/>
    <w:rsid w:val="004D2374"/>
    <w:rsid w:val="004E4C07"/>
    <w:rsid w:val="004E54EF"/>
    <w:rsid w:val="004F21DF"/>
    <w:rsid w:val="0050409D"/>
    <w:rsid w:val="00511192"/>
    <w:rsid w:val="00512E79"/>
    <w:rsid w:val="00525254"/>
    <w:rsid w:val="00533654"/>
    <w:rsid w:val="00552BA6"/>
    <w:rsid w:val="00591287"/>
    <w:rsid w:val="005A26D3"/>
    <w:rsid w:val="005E1AFD"/>
    <w:rsid w:val="005E473B"/>
    <w:rsid w:val="005F19DA"/>
    <w:rsid w:val="005F6836"/>
    <w:rsid w:val="0061553D"/>
    <w:rsid w:val="00662699"/>
    <w:rsid w:val="006915C0"/>
    <w:rsid w:val="006A1BA8"/>
    <w:rsid w:val="006B3222"/>
    <w:rsid w:val="006C6980"/>
    <w:rsid w:val="00703982"/>
    <w:rsid w:val="007071B1"/>
    <w:rsid w:val="007217DD"/>
    <w:rsid w:val="00734249"/>
    <w:rsid w:val="007364D3"/>
    <w:rsid w:val="00752F69"/>
    <w:rsid w:val="007634B5"/>
    <w:rsid w:val="00763580"/>
    <w:rsid w:val="007706A9"/>
    <w:rsid w:val="00774183"/>
    <w:rsid w:val="0078416B"/>
    <w:rsid w:val="007A0B44"/>
    <w:rsid w:val="007C64A8"/>
    <w:rsid w:val="007E3C8D"/>
    <w:rsid w:val="007E7BBF"/>
    <w:rsid w:val="00804C1A"/>
    <w:rsid w:val="0081072D"/>
    <w:rsid w:val="00824801"/>
    <w:rsid w:val="00827263"/>
    <w:rsid w:val="00834196"/>
    <w:rsid w:val="00862232"/>
    <w:rsid w:val="008646ED"/>
    <w:rsid w:val="00865F7A"/>
    <w:rsid w:val="0087771D"/>
    <w:rsid w:val="008A4ECE"/>
    <w:rsid w:val="008D61B2"/>
    <w:rsid w:val="008E1414"/>
    <w:rsid w:val="008E2F5C"/>
    <w:rsid w:val="008E4779"/>
    <w:rsid w:val="00910BA5"/>
    <w:rsid w:val="00915BD8"/>
    <w:rsid w:val="00946802"/>
    <w:rsid w:val="009479D6"/>
    <w:rsid w:val="009516E1"/>
    <w:rsid w:val="00952DED"/>
    <w:rsid w:val="00956625"/>
    <w:rsid w:val="0096639D"/>
    <w:rsid w:val="0097698C"/>
    <w:rsid w:val="00986129"/>
    <w:rsid w:val="009A7D05"/>
    <w:rsid w:val="009C0EE6"/>
    <w:rsid w:val="009C564B"/>
    <w:rsid w:val="009D1E24"/>
    <w:rsid w:val="009F15EC"/>
    <w:rsid w:val="00A03B29"/>
    <w:rsid w:val="00A27E6D"/>
    <w:rsid w:val="00A54AA0"/>
    <w:rsid w:val="00A61744"/>
    <w:rsid w:val="00A919F9"/>
    <w:rsid w:val="00AA5334"/>
    <w:rsid w:val="00AA5809"/>
    <w:rsid w:val="00AB0B48"/>
    <w:rsid w:val="00AB0BED"/>
    <w:rsid w:val="00AC6467"/>
    <w:rsid w:val="00AE6045"/>
    <w:rsid w:val="00AF1A58"/>
    <w:rsid w:val="00B03753"/>
    <w:rsid w:val="00B13B01"/>
    <w:rsid w:val="00B14373"/>
    <w:rsid w:val="00B35505"/>
    <w:rsid w:val="00B42854"/>
    <w:rsid w:val="00B71C32"/>
    <w:rsid w:val="00B72705"/>
    <w:rsid w:val="00B85279"/>
    <w:rsid w:val="00B92C20"/>
    <w:rsid w:val="00BB4758"/>
    <w:rsid w:val="00BC651D"/>
    <w:rsid w:val="00BC6B66"/>
    <w:rsid w:val="00BC7ED5"/>
    <w:rsid w:val="00BF6294"/>
    <w:rsid w:val="00C11764"/>
    <w:rsid w:val="00C23176"/>
    <w:rsid w:val="00C35010"/>
    <w:rsid w:val="00C3517B"/>
    <w:rsid w:val="00C451A8"/>
    <w:rsid w:val="00C619FC"/>
    <w:rsid w:val="00C749E6"/>
    <w:rsid w:val="00C7675D"/>
    <w:rsid w:val="00C87534"/>
    <w:rsid w:val="00CA2056"/>
    <w:rsid w:val="00CA2CE9"/>
    <w:rsid w:val="00CB2C75"/>
    <w:rsid w:val="00CE4829"/>
    <w:rsid w:val="00D03A34"/>
    <w:rsid w:val="00D33A65"/>
    <w:rsid w:val="00D652C8"/>
    <w:rsid w:val="00D767B8"/>
    <w:rsid w:val="00D921D6"/>
    <w:rsid w:val="00DA2AA8"/>
    <w:rsid w:val="00DC5902"/>
    <w:rsid w:val="00DE3080"/>
    <w:rsid w:val="00DE3322"/>
    <w:rsid w:val="00DF7497"/>
    <w:rsid w:val="00E1366E"/>
    <w:rsid w:val="00E155F8"/>
    <w:rsid w:val="00E1656E"/>
    <w:rsid w:val="00E21D9F"/>
    <w:rsid w:val="00E50AFE"/>
    <w:rsid w:val="00E63A39"/>
    <w:rsid w:val="00E92D44"/>
    <w:rsid w:val="00E96BD2"/>
    <w:rsid w:val="00E97F84"/>
    <w:rsid w:val="00EB0D65"/>
    <w:rsid w:val="00EB52B7"/>
    <w:rsid w:val="00EE120C"/>
    <w:rsid w:val="00EE1C60"/>
    <w:rsid w:val="00EF756F"/>
    <w:rsid w:val="00F05856"/>
    <w:rsid w:val="00F20C55"/>
    <w:rsid w:val="00F23DAE"/>
    <w:rsid w:val="00F30233"/>
    <w:rsid w:val="00F414E0"/>
    <w:rsid w:val="00F524CD"/>
    <w:rsid w:val="00F81696"/>
    <w:rsid w:val="00F93D35"/>
    <w:rsid w:val="00FB4958"/>
    <w:rsid w:val="00FD1A45"/>
    <w:rsid w:val="00FD6C58"/>
    <w:rsid w:val="00FF12C7"/>
    <w:rsid w:val="00FF1356"/>
    <w:rsid w:val="04E23E2D"/>
    <w:rsid w:val="079F3DF2"/>
    <w:rsid w:val="082E083E"/>
    <w:rsid w:val="0A594E84"/>
    <w:rsid w:val="0CB66C23"/>
    <w:rsid w:val="0E3F3BCA"/>
    <w:rsid w:val="14D4051B"/>
    <w:rsid w:val="17121F05"/>
    <w:rsid w:val="21116A8B"/>
    <w:rsid w:val="337D060C"/>
    <w:rsid w:val="37AB754B"/>
    <w:rsid w:val="43376D29"/>
    <w:rsid w:val="462E13F1"/>
    <w:rsid w:val="46725FDB"/>
    <w:rsid w:val="5030461D"/>
    <w:rsid w:val="50AB461F"/>
    <w:rsid w:val="534C400E"/>
    <w:rsid w:val="54D53CB5"/>
    <w:rsid w:val="58CE42D5"/>
    <w:rsid w:val="5AD37F64"/>
    <w:rsid w:val="631E404C"/>
    <w:rsid w:val="6D117C4E"/>
    <w:rsid w:val="6F9553F2"/>
    <w:rsid w:val="70EA0361"/>
    <w:rsid w:val="71D16D62"/>
    <w:rsid w:val="77F26344"/>
    <w:rsid w:val="7D1C5CA3"/>
    <w:rsid w:val="7D1D21FA"/>
    <w:rsid w:val="7FC84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unhideWhenUsed/>
    <w:qFormat/>
    <w:uiPriority w:val="0"/>
    <w:pPr>
      <w:adjustRightInd w:val="0"/>
      <w:snapToGrid w:val="0"/>
      <w:spacing w:line="360" w:lineRule="auto"/>
      <w:ind w:firstLine="200" w:firstLineChars="200"/>
    </w:pPr>
    <w:rPr>
      <w:rFonts w:ascii="Calibri" w:hAnsi="Calibri"/>
      <w:kern w:val="0"/>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semiHidden/>
    <w:unhideWhenUsed/>
    <w:qFormat/>
    <w:uiPriority w:val="99"/>
    <w:rPr>
      <w:color w:val="0563C1" w:themeColor="hyperlink"/>
      <w:u w:val="single"/>
      <w14:textFill>
        <w14:solidFill>
          <w14:schemeClr w14:val="hlink"/>
        </w14:solidFill>
      </w14:textFill>
    </w:r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20</Pages>
  <Words>10093</Words>
  <Characters>10413</Characters>
  <Lines>74</Lines>
  <Paragraphs>20</Paragraphs>
  <TotalTime>42</TotalTime>
  <ScaleCrop>false</ScaleCrop>
  <LinksUpToDate>false</LinksUpToDate>
  <CharactersWithSpaces>10791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2023-02-15T06:58:00Z</dcterms:created>
  <dc:creator>Administrator</dc:creator>
  <cp:lastModifiedBy>Administrator</cp:lastModifiedBy>
  <cp:lastPrinted>2024-06-27T08:03:00Z</cp:lastPrinted>
  <dcterms:modified xsi:type="dcterms:W3CDTF">2024-09-05T07:40:52Z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55FC0CE094B84A05A04A3B900AF1C426_12</vt:lpwstr>
  </property>
</Properties>
</file>