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highlight w:val="none"/>
        </w:rPr>
      </w:pPr>
    </w:p>
    <w:p>
      <w:pPr>
        <w:jc w:val="center"/>
        <w:rPr>
          <w:b/>
          <w:sz w:val="36"/>
          <w:szCs w:val="36"/>
          <w:highlight w:val="none"/>
        </w:rPr>
      </w:pPr>
    </w:p>
    <w:p>
      <w:pPr>
        <w:jc w:val="center"/>
        <w:rPr>
          <w:b/>
          <w:sz w:val="36"/>
          <w:szCs w:val="36"/>
          <w:highlight w:val="none"/>
        </w:rPr>
      </w:pPr>
    </w:p>
    <w:p>
      <w:pPr>
        <w:jc w:val="center"/>
        <w:rPr>
          <w:b/>
          <w:sz w:val="36"/>
          <w:szCs w:val="36"/>
          <w:highlight w:val="none"/>
        </w:rPr>
      </w:pPr>
    </w:p>
    <w:p>
      <w:pPr>
        <w:jc w:val="center"/>
        <w:rPr>
          <w:b/>
          <w:sz w:val="44"/>
          <w:szCs w:val="44"/>
          <w:highlight w:val="none"/>
        </w:rPr>
      </w:pPr>
      <w:r>
        <w:rPr>
          <w:rFonts w:hint="eastAsia"/>
          <w:b/>
          <w:sz w:val="44"/>
          <w:szCs w:val="44"/>
          <w:highlight w:val="none"/>
        </w:rPr>
        <w:t>赣州高速</w:t>
      </w:r>
      <w:r>
        <w:rPr>
          <w:b/>
          <w:sz w:val="44"/>
          <w:szCs w:val="44"/>
          <w:highlight w:val="none"/>
        </w:rPr>
        <w:t>公路</w:t>
      </w:r>
      <w:r>
        <w:rPr>
          <w:rFonts w:hint="eastAsia"/>
          <w:b/>
          <w:sz w:val="44"/>
          <w:szCs w:val="44"/>
          <w:highlight w:val="none"/>
        </w:rPr>
        <w:t>有限责任公司</w:t>
      </w:r>
    </w:p>
    <w:p>
      <w:pPr>
        <w:jc w:val="center"/>
        <w:rPr>
          <w:b/>
          <w:sz w:val="36"/>
          <w:szCs w:val="36"/>
          <w:highlight w:val="none"/>
        </w:rPr>
      </w:pPr>
    </w:p>
    <w:p>
      <w:pPr>
        <w:spacing w:line="576" w:lineRule="exact"/>
        <w:ind w:left="2690" w:hanging="2690" w:hangingChars="500"/>
        <w:jc w:val="center"/>
        <w:rPr>
          <w:rFonts w:hint="eastAsia" w:asciiTheme="majorEastAsia" w:hAnsiTheme="majorEastAsia" w:eastAsiaTheme="majorEastAsia"/>
          <w:b/>
          <w:spacing w:val="8"/>
          <w:sz w:val="52"/>
          <w:szCs w:val="52"/>
          <w:highlight w:val="none"/>
        </w:rPr>
      </w:pPr>
      <w:r>
        <w:rPr>
          <w:rFonts w:hint="eastAsia" w:asciiTheme="majorEastAsia" w:hAnsiTheme="majorEastAsia" w:eastAsiaTheme="majorEastAsia"/>
          <w:b/>
          <w:spacing w:val="8"/>
          <w:sz w:val="52"/>
          <w:szCs w:val="52"/>
          <w:highlight w:val="none"/>
        </w:rPr>
        <w:t>机关大院绿化日常管养项目</w:t>
      </w:r>
    </w:p>
    <w:p>
      <w:pPr>
        <w:spacing w:line="576" w:lineRule="exact"/>
        <w:ind w:left="2690" w:hanging="2690" w:hangingChars="500"/>
        <w:jc w:val="center"/>
        <w:rPr>
          <w:rFonts w:asciiTheme="majorEastAsia" w:hAnsiTheme="majorEastAsia" w:eastAsiaTheme="majorEastAsia"/>
          <w:b/>
          <w:spacing w:val="8"/>
          <w:sz w:val="52"/>
          <w:szCs w:val="52"/>
          <w:highlight w:val="none"/>
        </w:rPr>
      </w:pPr>
      <w:r>
        <w:rPr>
          <w:rFonts w:hint="eastAsia" w:asciiTheme="majorEastAsia" w:hAnsiTheme="majorEastAsia" w:eastAsiaTheme="majorEastAsia"/>
          <w:b/>
          <w:spacing w:val="8"/>
          <w:sz w:val="52"/>
          <w:szCs w:val="52"/>
          <w:highlight w:val="none"/>
        </w:rPr>
        <w:t>询价文件</w:t>
      </w:r>
    </w:p>
    <w:p>
      <w:pPr>
        <w:jc w:val="center"/>
        <w:rPr>
          <w:b/>
          <w:sz w:val="36"/>
          <w:szCs w:val="36"/>
          <w:highlight w:val="none"/>
        </w:rPr>
      </w:pPr>
    </w:p>
    <w:p>
      <w:pPr>
        <w:jc w:val="center"/>
        <w:rPr>
          <w:b/>
          <w:sz w:val="36"/>
          <w:szCs w:val="36"/>
          <w:highlight w:val="none"/>
        </w:rPr>
      </w:pPr>
    </w:p>
    <w:p>
      <w:pPr>
        <w:jc w:val="center"/>
        <w:rPr>
          <w:b/>
          <w:sz w:val="36"/>
          <w:szCs w:val="36"/>
          <w:highlight w:val="none"/>
        </w:rPr>
      </w:pPr>
    </w:p>
    <w:p>
      <w:pPr>
        <w:jc w:val="center"/>
        <w:rPr>
          <w:b/>
          <w:sz w:val="36"/>
          <w:szCs w:val="36"/>
          <w:highlight w:val="none"/>
        </w:rPr>
      </w:pPr>
    </w:p>
    <w:p>
      <w:pPr>
        <w:jc w:val="center"/>
        <w:rPr>
          <w:b/>
          <w:sz w:val="36"/>
          <w:szCs w:val="36"/>
          <w:highlight w:val="none"/>
        </w:rPr>
      </w:pPr>
    </w:p>
    <w:p>
      <w:pPr>
        <w:jc w:val="center"/>
        <w:rPr>
          <w:b/>
          <w:sz w:val="36"/>
          <w:szCs w:val="36"/>
          <w:highlight w:val="none"/>
        </w:rPr>
      </w:pPr>
    </w:p>
    <w:p>
      <w:pPr>
        <w:rPr>
          <w:b/>
          <w:sz w:val="36"/>
          <w:szCs w:val="36"/>
          <w:highlight w:val="none"/>
        </w:rPr>
      </w:pPr>
    </w:p>
    <w:p>
      <w:pPr>
        <w:jc w:val="center"/>
        <w:rPr>
          <w:b/>
          <w:sz w:val="36"/>
          <w:szCs w:val="36"/>
          <w:highlight w:val="none"/>
        </w:rPr>
      </w:pPr>
    </w:p>
    <w:p>
      <w:pPr>
        <w:jc w:val="center"/>
        <w:rPr>
          <w:b/>
          <w:sz w:val="36"/>
          <w:szCs w:val="36"/>
          <w:highlight w:val="none"/>
        </w:rPr>
      </w:pPr>
    </w:p>
    <w:p>
      <w:pPr>
        <w:jc w:val="center"/>
        <w:rPr>
          <w:b/>
          <w:sz w:val="36"/>
          <w:szCs w:val="36"/>
          <w:highlight w:val="none"/>
        </w:rPr>
      </w:pPr>
      <w:r>
        <w:rPr>
          <w:rFonts w:hint="eastAsia"/>
          <w:b/>
          <w:sz w:val="36"/>
          <w:szCs w:val="36"/>
          <w:highlight w:val="none"/>
        </w:rPr>
        <w:t>赣州高速</w:t>
      </w:r>
      <w:r>
        <w:rPr>
          <w:b/>
          <w:sz w:val="36"/>
          <w:szCs w:val="36"/>
          <w:highlight w:val="none"/>
        </w:rPr>
        <w:t>公路</w:t>
      </w:r>
      <w:r>
        <w:rPr>
          <w:rFonts w:hint="eastAsia"/>
          <w:b/>
          <w:sz w:val="36"/>
          <w:szCs w:val="36"/>
          <w:highlight w:val="none"/>
        </w:rPr>
        <w:t>有限责任公司</w:t>
      </w:r>
    </w:p>
    <w:p>
      <w:pPr>
        <w:jc w:val="center"/>
        <w:rPr>
          <w:b/>
          <w:sz w:val="36"/>
          <w:szCs w:val="36"/>
          <w:highlight w:val="none"/>
        </w:rPr>
      </w:pPr>
    </w:p>
    <w:p>
      <w:pPr>
        <w:jc w:val="center"/>
        <w:rPr>
          <w:b/>
          <w:sz w:val="36"/>
          <w:szCs w:val="36"/>
          <w:highlight w:val="none"/>
        </w:rPr>
      </w:pPr>
      <w:r>
        <w:rPr>
          <w:rFonts w:hint="eastAsia"/>
          <w:b/>
          <w:sz w:val="36"/>
          <w:szCs w:val="36"/>
          <w:highlight w:val="none"/>
        </w:rPr>
        <w:t>二</w:t>
      </w:r>
      <w:r>
        <w:rPr>
          <w:b/>
          <w:sz w:val="36"/>
          <w:szCs w:val="36"/>
          <w:highlight w:val="none"/>
        </w:rPr>
        <w:t>O</w:t>
      </w:r>
      <w:r>
        <w:rPr>
          <w:rFonts w:hint="eastAsia"/>
          <w:b/>
          <w:sz w:val="36"/>
          <w:szCs w:val="36"/>
          <w:highlight w:val="none"/>
        </w:rPr>
        <w:t>二</w:t>
      </w:r>
      <w:r>
        <w:rPr>
          <w:rFonts w:hint="eastAsia"/>
          <w:b/>
          <w:sz w:val="36"/>
          <w:szCs w:val="36"/>
          <w:highlight w:val="none"/>
          <w:lang w:val="en-US" w:eastAsia="zh-CN"/>
        </w:rPr>
        <w:t>四</w:t>
      </w:r>
      <w:r>
        <w:rPr>
          <w:rFonts w:hint="eastAsia"/>
          <w:b/>
          <w:sz w:val="36"/>
          <w:szCs w:val="36"/>
          <w:highlight w:val="none"/>
        </w:rPr>
        <w:t>年</w:t>
      </w:r>
      <w:r>
        <w:rPr>
          <w:rFonts w:hint="eastAsia"/>
          <w:b/>
          <w:sz w:val="36"/>
          <w:szCs w:val="36"/>
          <w:highlight w:val="none"/>
          <w:lang w:val="en-US" w:eastAsia="zh-CN"/>
        </w:rPr>
        <w:t>三</w:t>
      </w:r>
      <w:r>
        <w:rPr>
          <w:rFonts w:hint="eastAsia"/>
          <w:b/>
          <w:sz w:val="36"/>
          <w:szCs w:val="36"/>
          <w:highlight w:val="none"/>
        </w:rPr>
        <w:t>月</w:t>
      </w:r>
    </w:p>
    <w:p>
      <w:pPr>
        <w:spacing w:line="420" w:lineRule="exact"/>
        <w:jc w:val="center"/>
        <w:rPr>
          <w:b/>
          <w:sz w:val="36"/>
          <w:szCs w:val="36"/>
          <w:highlight w:val="none"/>
        </w:rPr>
      </w:pPr>
    </w:p>
    <w:p>
      <w:pPr>
        <w:spacing w:line="420" w:lineRule="exact"/>
        <w:jc w:val="center"/>
        <w:rPr>
          <w:b/>
          <w:sz w:val="36"/>
          <w:szCs w:val="36"/>
          <w:highlight w:val="none"/>
        </w:rPr>
      </w:pPr>
    </w:p>
    <w:p>
      <w:pPr>
        <w:spacing w:line="420" w:lineRule="exact"/>
        <w:jc w:val="center"/>
        <w:rPr>
          <w:rFonts w:hint="eastAsia"/>
          <w:b/>
          <w:sz w:val="36"/>
          <w:szCs w:val="36"/>
          <w:highlight w:val="none"/>
        </w:rPr>
      </w:pPr>
    </w:p>
    <w:p>
      <w:pPr>
        <w:spacing w:line="360" w:lineRule="auto"/>
        <w:jc w:val="center"/>
        <w:rPr>
          <w:rFonts w:hint="eastAsia"/>
          <w:b/>
          <w:sz w:val="36"/>
          <w:szCs w:val="36"/>
          <w:highlight w:val="none"/>
          <w:lang w:val="en-US" w:eastAsia="zh-CN"/>
        </w:rPr>
      </w:pPr>
      <w:r>
        <w:rPr>
          <w:rFonts w:hint="eastAsia"/>
          <w:b/>
          <w:sz w:val="36"/>
          <w:szCs w:val="36"/>
          <w:highlight w:val="none"/>
        </w:rPr>
        <w:t>第一章</w:t>
      </w:r>
      <w:r>
        <w:rPr>
          <w:rFonts w:hint="eastAsia"/>
          <w:b/>
          <w:sz w:val="36"/>
          <w:szCs w:val="36"/>
          <w:highlight w:val="none"/>
          <w:lang w:val="en-US" w:eastAsia="zh-CN"/>
        </w:rPr>
        <w:t xml:space="preserve"> 赣州高速公路有限责任公司机关大院绿化日常</w:t>
      </w:r>
    </w:p>
    <w:p>
      <w:pPr>
        <w:spacing w:line="360" w:lineRule="auto"/>
        <w:jc w:val="center"/>
        <w:rPr>
          <w:rFonts w:asciiTheme="minorEastAsia" w:hAnsiTheme="minorEastAsia"/>
          <w:spacing w:val="8"/>
          <w:sz w:val="36"/>
          <w:szCs w:val="36"/>
          <w:highlight w:val="none"/>
        </w:rPr>
      </w:pPr>
      <w:r>
        <w:rPr>
          <w:rFonts w:hint="eastAsia"/>
          <w:b/>
          <w:sz w:val="36"/>
          <w:szCs w:val="36"/>
          <w:highlight w:val="none"/>
          <w:lang w:val="en-US" w:eastAsia="zh-CN"/>
        </w:rPr>
        <w:t>管养项目</w:t>
      </w:r>
      <w:r>
        <w:rPr>
          <w:rFonts w:hint="eastAsia"/>
          <w:b/>
          <w:sz w:val="36"/>
          <w:szCs w:val="36"/>
          <w:highlight w:val="none"/>
        </w:rPr>
        <w:t>询价公告</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微软雅黑" w:hAnsi="微软雅黑" w:eastAsia="微软雅黑" w:cs="宋体"/>
          <w:b/>
          <w:kern w:val="0"/>
          <w:sz w:val="24"/>
          <w:szCs w:val="24"/>
          <w:highlight w:val="none"/>
        </w:rPr>
      </w:pPr>
      <w:r>
        <w:rPr>
          <w:rFonts w:hint="eastAsia" w:ascii="宋体" w:hAnsi="宋体" w:eastAsia="宋体" w:cs="宋体"/>
          <w:b/>
          <w:bCs/>
          <w:kern w:val="0"/>
          <w:sz w:val="24"/>
          <w:szCs w:val="24"/>
          <w:highlight w:val="none"/>
        </w:rPr>
        <w:t>一、询价条件</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因</w:t>
      </w:r>
      <w:r>
        <w:rPr>
          <w:rFonts w:hint="eastAsia" w:ascii="宋体" w:hAnsi="宋体" w:eastAsia="宋体" w:cs="宋体"/>
          <w:kern w:val="0"/>
          <w:sz w:val="24"/>
          <w:szCs w:val="24"/>
          <w:highlight w:val="none"/>
          <w:lang w:val="en-US" w:eastAsia="zh-CN"/>
        </w:rPr>
        <w:t>工作需要，现需开展</w:t>
      </w:r>
      <w:r>
        <w:rPr>
          <w:rFonts w:hint="eastAsia" w:ascii="宋体" w:hAnsi="宋体"/>
          <w:sz w:val="24"/>
          <w:highlight w:val="none"/>
        </w:rPr>
        <w:t>赣州高速公路有限责任公司机关大院绿化日常管养项目</w:t>
      </w:r>
      <w:r>
        <w:rPr>
          <w:rFonts w:hint="eastAsia" w:ascii="宋体" w:hAnsi="宋体" w:eastAsia="宋体" w:cs="宋体"/>
          <w:kern w:val="0"/>
          <w:sz w:val="24"/>
          <w:szCs w:val="24"/>
          <w:highlight w:val="none"/>
          <w:lang w:val="en-US" w:eastAsia="zh-CN"/>
        </w:rPr>
        <w:t>询价，</w:t>
      </w:r>
      <w:r>
        <w:rPr>
          <w:rFonts w:hint="eastAsia" w:ascii="宋体" w:hAnsi="宋体" w:eastAsia="宋体" w:cs="宋体"/>
          <w:kern w:val="0"/>
          <w:sz w:val="24"/>
          <w:szCs w:val="24"/>
          <w:highlight w:val="none"/>
        </w:rPr>
        <w:t>资金来源为自有资金，</w:t>
      </w:r>
      <w:r>
        <w:rPr>
          <w:rFonts w:hint="eastAsia" w:ascii="宋体" w:hAnsi="宋体" w:eastAsia="宋体" w:cs="宋体"/>
          <w:b w:val="0"/>
          <w:bCs/>
          <w:sz w:val="24"/>
          <w:szCs w:val="24"/>
          <w:highlight w:val="none"/>
        </w:rPr>
        <w:t>该项目已具备</w:t>
      </w:r>
      <w:r>
        <w:rPr>
          <w:rFonts w:hint="eastAsia" w:ascii="宋体" w:hAnsi="宋体" w:eastAsia="宋体" w:cs="宋体"/>
          <w:b w:val="0"/>
          <w:bCs/>
          <w:sz w:val="24"/>
          <w:szCs w:val="24"/>
          <w:highlight w:val="none"/>
          <w:lang w:val="en-US" w:eastAsia="zh-CN"/>
        </w:rPr>
        <w:t>实施</w:t>
      </w:r>
      <w:r>
        <w:rPr>
          <w:rFonts w:hint="eastAsia" w:ascii="宋体" w:hAnsi="宋体" w:eastAsia="宋体" w:cs="宋体"/>
          <w:b w:val="0"/>
          <w:bCs/>
          <w:sz w:val="24"/>
          <w:szCs w:val="24"/>
          <w:highlight w:val="none"/>
        </w:rPr>
        <w:t>条件，现对该项目进行公开询价</w:t>
      </w:r>
      <w:r>
        <w:rPr>
          <w:rFonts w:hint="eastAsia" w:ascii="宋体" w:hAnsi="宋体" w:eastAsia="宋体" w:cs="宋体"/>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本次询价项目名称：</w:t>
      </w:r>
      <w:r>
        <w:rPr>
          <w:rFonts w:hint="eastAsia" w:ascii="宋体" w:hAnsi="宋体"/>
          <w:sz w:val="24"/>
          <w:highlight w:val="none"/>
        </w:rPr>
        <w:t>赣州高速公路有限责任公司机关大院绿化日常管养项目</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eastAsia="zh-CN"/>
        </w:rPr>
        <w:t>询价</w:t>
      </w:r>
      <w:r>
        <w:rPr>
          <w:rFonts w:hint="eastAsia" w:ascii="宋体" w:hAnsi="宋体" w:eastAsia="宋体" w:cs="宋体"/>
          <w:kern w:val="0"/>
          <w:sz w:val="24"/>
          <w:szCs w:val="24"/>
          <w:highlight w:val="none"/>
        </w:rPr>
        <w:t>人为: 赣州高速</w:t>
      </w:r>
      <w:r>
        <w:rPr>
          <w:rFonts w:ascii="宋体" w:hAnsi="宋体" w:eastAsia="宋体" w:cs="宋体"/>
          <w:kern w:val="0"/>
          <w:sz w:val="24"/>
          <w:szCs w:val="24"/>
          <w:highlight w:val="none"/>
        </w:rPr>
        <w:t>公路</w:t>
      </w:r>
      <w:r>
        <w:rPr>
          <w:rFonts w:hint="eastAsia" w:ascii="宋体" w:hAnsi="宋体" w:eastAsia="宋体" w:cs="宋体"/>
          <w:kern w:val="0"/>
          <w:sz w:val="24"/>
          <w:szCs w:val="24"/>
          <w:highlight w:val="none"/>
        </w:rPr>
        <w:t>有限责任公司。</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二、</w:t>
      </w:r>
      <w:r>
        <w:rPr>
          <w:rFonts w:hint="eastAsia" w:ascii="宋体" w:hAnsi="宋体" w:eastAsia="宋体" w:cs="宋体"/>
          <w:b/>
          <w:bCs/>
          <w:kern w:val="0"/>
          <w:sz w:val="24"/>
          <w:szCs w:val="24"/>
          <w:highlight w:val="none"/>
          <w:lang w:val="en-US" w:eastAsia="zh-CN"/>
        </w:rPr>
        <w:t>询价</w:t>
      </w:r>
      <w:r>
        <w:rPr>
          <w:rFonts w:hint="eastAsia" w:ascii="宋体" w:hAnsi="宋体" w:eastAsia="宋体" w:cs="宋体"/>
          <w:b/>
          <w:bCs/>
          <w:kern w:val="0"/>
          <w:sz w:val="24"/>
          <w:szCs w:val="24"/>
          <w:highlight w:val="none"/>
        </w:rPr>
        <w:t>内容及标准</w:t>
      </w:r>
    </w:p>
    <w:p>
      <w:pPr>
        <w:adjustRightInd w:val="0"/>
        <w:snapToGrid w:val="0"/>
        <w:spacing w:line="480" w:lineRule="exact"/>
        <w:ind w:firstLine="480" w:firstLineChars="200"/>
        <w:rPr>
          <w:rFonts w:ascii="宋体" w:hAnsi="宋体"/>
          <w:sz w:val="24"/>
          <w:highlight w:val="none"/>
        </w:rPr>
      </w:pPr>
      <w:r>
        <w:rPr>
          <w:rFonts w:hint="eastAsia" w:ascii="宋体" w:hAnsi="宋体"/>
          <w:sz w:val="24"/>
          <w:highlight w:val="none"/>
        </w:rPr>
        <w:t>管养区域概况：公司机关大院绿化总面积17446m2</w:t>
      </w:r>
      <w:r>
        <w:rPr>
          <w:rFonts w:ascii="宋体" w:hAnsi="宋体"/>
          <w:sz w:val="24"/>
          <w:highlight w:val="none"/>
        </w:rPr>
        <w:t>,</w:t>
      </w:r>
      <w:r>
        <w:rPr>
          <w:rFonts w:hint="eastAsia" w:ascii="宋体" w:hAnsi="宋体"/>
          <w:sz w:val="24"/>
          <w:highlight w:val="none"/>
        </w:rPr>
        <w:t>其中草皮6673 m2、停车位草籽2272 m2，小灌木8176 m2，餐厅屋顶绿化面积325 m2，其间种植有乔木、大灌木5561株。</w:t>
      </w:r>
    </w:p>
    <w:p>
      <w:pPr>
        <w:spacing w:line="480" w:lineRule="exact"/>
        <w:ind w:firstLine="480" w:firstLineChars="200"/>
        <w:rPr>
          <w:rFonts w:hint="eastAsia" w:ascii="宋体" w:hAnsi="宋体"/>
          <w:sz w:val="24"/>
          <w:highlight w:val="none"/>
        </w:rPr>
      </w:pPr>
      <w:r>
        <w:rPr>
          <w:rFonts w:hint="eastAsia" w:ascii="宋体" w:hAnsi="宋体"/>
          <w:sz w:val="24"/>
          <w:highlight w:val="none"/>
          <w:lang w:eastAsia="zh-CN"/>
        </w:rPr>
        <w:t>询价</w:t>
      </w:r>
      <w:r>
        <w:rPr>
          <w:rFonts w:hint="eastAsia" w:ascii="宋体" w:hAnsi="宋体"/>
          <w:sz w:val="24"/>
          <w:highlight w:val="none"/>
        </w:rPr>
        <w:t>内容：</w:t>
      </w:r>
      <w:r>
        <w:rPr>
          <w:rFonts w:ascii="宋体" w:hAnsi="宋体"/>
          <w:sz w:val="24"/>
          <w:highlight w:val="none"/>
        </w:rPr>
        <w:t>为提高</w:t>
      </w:r>
      <w:r>
        <w:rPr>
          <w:rFonts w:hint="eastAsia" w:ascii="宋体" w:hAnsi="宋体"/>
          <w:sz w:val="24"/>
          <w:highlight w:val="none"/>
        </w:rPr>
        <w:t>公司机关大院</w:t>
      </w:r>
      <w:r>
        <w:rPr>
          <w:rFonts w:ascii="宋体" w:hAnsi="宋体"/>
          <w:sz w:val="24"/>
          <w:highlight w:val="none"/>
        </w:rPr>
        <w:t>绿化水平，创造良好的办公生活环境</w:t>
      </w:r>
      <w:r>
        <w:rPr>
          <w:rFonts w:hint="eastAsia" w:ascii="宋体" w:hAnsi="宋体"/>
          <w:sz w:val="24"/>
          <w:highlight w:val="none"/>
        </w:rPr>
        <w:t>，拟将赣州高速公路有限责任公司机关大院绿化日常管养项目整体委托给专业机构承包管养。管养工</w:t>
      </w:r>
      <w:r>
        <w:rPr>
          <w:rFonts w:ascii="宋体" w:hAnsi="宋体"/>
          <w:sz w:val="24"/>
          <w:highlight w:val="none"/>
        </w:rPr>
        <w:t>作应按照园林绿化管养操作规程及质量标准</w:t>
      </w:r>
      <w:r>
        <w:rPr>
          <w:rFonts w:hint="eastAsia" w:ascii="宋体" w:hAnsi="宋体"/>
          <w:sz w:val="24"/>
          <w:highlight w:val="none"/>
        </w:rPr>
        <w:t>执行</w:t>
      </w:r>
      <w:r>
        <w:rPr>
          <w:rFonts w:ascii="宋体" w:hAnsi="宋体"/>
          <w:sz w:val="24"/>
          <w:highlight w:val="none"/>
        </w:rPr>
        <w:t>，</w:t>
      </w:r>
      <w:r>
        <w:rPr>
          <w:rFonts w:hint="eastAsia" w:ascii="宋体" w:hAnsi="宋体"/>
          <w:sz w:val="24"/>
          <w:highlight w:val="none"/>
        </w:rPr>
        <w:t>包括公司机关大院绿化场区内苗木的浇灌、修剪、施肥、防治病虫害、松土、除草、防灾、补植、土质改良及清理绿化场区内垃圾等工作</w:t>
      </w:r>
      <w:r>
        <w:rPr>
          <w:rFonts w:hint="eastAsia" w:ascii="宋体" w:hAnsi="宋体" w:cs="宋体"/>
          <w:sz w:val="24"/>
          <w:highlight w:val="none"/>
        </w:rPr>
        <w:t>。</w:t>
      </w:r>
      <w:r>
        <w:rPr>
          <w:rFonts w:hint="eastAsia" w:ascii="宋体" w:hAnsi="宋体"/>
          <w:sz w:val="24"/>
          <w:highlight w:val="none"/>
        </w:rPr>
        <w:t>确保所有绿化花木长势良好，绿化成活面积达95%以上，乔木、大灌木成活率达98%以上，小灌木成活面积达95%以上。</w:t>
      </w:r>
    </w:p>
    <w:p>
      <w:pPr>
        <w:adjustRightInd w:val="0"/>
        <w:snapToGrid w:val="0"/>
        <w:spacing w:line="480" w:lineRule="exact"/>
        <w:ind w:firstLine="480" w:firstLineChars="200"/>
        <w:rPr>
          <w:rFonts w:hint="eastAsia" w:ascii="宋体" w:hAnsi="宋体" w:cs="宋体"/>
          <w:sz w:val="24"/>
          <w:highlight w:val="none"/>
        </w:rPr>
      </w:pPr>
      <w:r>
        <w:rPr>
          <w:rFonts w:hint="eastAsia" w:ascii="宋体" w:hAnsi="宋体"/>
          <w:sz w:val="24"/>
          <w:highlight w:val="none"/>
        </w:rPr>
        <w:t>项目地点:</w:t>
      </w:r>
      <w:r>
        <w:rPr>
          <w:rFonts w:hint="eastAsia" w:cs="Arial"/>
          <w:highlight w:val="none"/>
        </w:rPr>
        <w:t xml:space="preserve"> </w:t>
      </w:r>
      <w:r>
        <w:rPr>
          <w:rFonts w:hint="eastAsia" w:ascii="宋体" w:hAnsi="宋体" w:cs="宋体"/>
          <w:sz w:val="24"/>
          <w:highlight w:val="none"/>
        </w:rPr>
        <w:t>赣州市章贡区沙河镇赣州东收费站出口旁赣州高速公路有限责任公司大院内。</w:t>
      </w:r>
    </w:p>
    <w:p>
      <w:pPr>
        <w:spacing w:line="480" w:lineRule="exact"/>
        <w:ind w:firstLine="480" w:firstLineChars="200"/>
        <w:rPr>
          <w:rFonts w:hint="eastAsia" w:ascii="宋体" w:hAnsi="宋体"/>
          <w:sz w:val="24"/>
          <w:highlight w:val="none"/>
        </w:rPr>
      </w:pPr>
      <w:r>
        <w:rPr>
          <w:rFonts w:hint="eastAsia" w:ascii="宋体" w:hAnsi="宋体"/>
          <w:sz w:val="24"/>
          <w:highlight w:val="none"/>
        </w:rPr>
        <w:t>为做好日常绿化管养工作，要求常驻至少3名绿化管养工人，并在管养期限对人员进行打卡考勤制度（每月人员现场绿化管养打卡天数不少于22天，且每日指纹考勤打卡4次），并纳入本项目</w:t>
      </w:r>
      <w:r>
        <w:rPr>
          <w:rFonts w:ascii="宋体" w:hAnsi="宋体"/>
          <w:sz w:val="24"/>
          <w:highlight w:val="none"/>
        </w:rPr>
        <w:t>绿化管养</w:t>
      </w:r>
      <w:r>
        <w:rPr>
          <w:rFonts w:hint="eastAsia" w:ascii="宋体" w:hAnsi="宋体"/>
          <w:sz w:val="24"/>
          <w:highlight w:val="none"/>
        </w:rPr>
        <w:t>考核评分。</w:t>
      </w:r>
    </w:p>
    <w:p>
      <w:pPr>
        <w:spacing w:line="480" w:lineRule="exact"/>
        <w:ind w:firstLine="480" w:firstLineChars="200"/>
        <w:rPr>
          <w:rFonts w:hint="eastAsia" w:ascii="宋体" w:hAnsi="宋体"/>
          <w:sz w:val="24"/>
          <w:highlight w:val="none"/>
        </w:rPr>
      </w:pPr>
      <w:r>
        <w:rPr>
          <w:rFonts w:hint="eastAsia" w:ascii="宋体" w:hAnsi="宋体"/>
          <w:sz w:val="24"/>
          <w:highlight w:val="none"/>
        </w:rPr>
        <w:t>化肥、有机肥料的验收标准应依据相关质量标准，满足</w:t>
      </w:r>
      <w:r>
        <w:rPr>
          <w:rFonts w:hint="eastAsia" w:ascii="宋体" w:hAnsi="宋体"/>
          <w:sz w:val="24"/>
          <w:highlight w:val="none"/>
          <w:lang w:eastAsia="zh-CN"/>
        </w:rPr>
        <w:t>询价</w:t>
      </w:r>
      <w:r>
        <w:rPr>
          <w:rFonts w:hint="eastAsia" w:ascii="宋体" w:hAnsi="宋体"/>
          <w:sz w:val="24"/>
          <w:highlight w:val="none"/>
        </w:rPr>
        <w:t>人要求，依据管养情况进行数量和质量的验收，且每年不少于4次。</w:t>
      </w:r>
    </w:p>
    <w:p>
      <w:pPr>
        <w:spacing w:line="480" w:lineRule="exact"/>
        <w:ind w:firstLine="480" w:firstLineChars="200"/>
        <w:rPr>
          <w:rFonts w:hint="eastAsia" w:ascii="宋体" w:hAnsi="宋体"/>
          <w:sz w:val="24"/>
          <w:highlight w:val="none"/>
        </w:rPr>
      </w:pPr>
      <w:r>
        <w:rPr>
          <w:rFonts w:hint="eastAsia" w:ascii="宋体" w:hAnsi="宋体"/>
          <w:sz w:val="24"/>
          <w:highlight w:val="none"/>
        </w:rPr>
        <w:t>管养期限：本项目</w:t>
      </w:r>
      <w:r>
        <w:rPr>
          <w:rFonts w:ascii="宋体" w:hAnsi="宋体"/>
          <w:sz w:val="24"/>
          <w:highlight w:val="none"/>
        </w:rPr>
        <w:t>管养期限为</w:t>
      </w:r>
      <w:r>
        <w:rPr>
          <w:rFonts w:hint="eastAsia" w:ascii="宋体" w:hAnsi="宋体"/>
          <w:sz w:val="24"/>
          <w:highlight w:val="none"/>
        </w:rPr>
        <w:t>两年（从合同签订之日起计算）。</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微软雅黑" w:hAnsi="微软雅黑" w:eastAsia="微软雅黑" w:cs="宋体"/>
          <w:kern w:val="0"/>
          <w:sz w:val="24"/>
          <w:szCs w:val="24"/>
          <w:highlight w:val="none"/>
        </w:rPr>
      </w:pPr>
      <w:r>
        <w:rPr>
          <w:rFonts w:hint="eastAsia" w:ascii="宋体" w:hAnsi="宋体" w:eastAsia="宋体" w:cs="宋体"/>
          <w:b/>
          <w:bCs/>
          <w:kern w:val="0"/>
          <w:sz w:val="24"/>
          <w:szCs w:val="24"/>
          <w:highlight w:val="none"/>
        </w:rPr>
        <w:t>三、本次询价的控制价上限及要求</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微软雅黑" w:hAnsi="微软雅黑" w:eastAsia="微软雅黑" w:cs="宋体"/>
          <w:kern w:val="0"/>
          <w:sz w:val="24"/>
          <w:szCs w:val="24"/>
          <w:highlight w:val="none"/>
        </w:rPr>
      </w:pPr>
      <w:r>
        <w:rPr>
          <w:rFonts w:hint="eastAsia" w:ascii="宋体" w:hAnsi="宋体" w:eastAsia="宋体" w:cs="宋体"/>
          <w:b/>
          <w:bCs/>
          <w:kern w:val="0"/>
          <w:sz w:val="24"/>
          <w:szCs w:val="24"/>
          <w:highlight w:val="none"/>
        </w:rPr>
        <w:t>控制价上限：</w:t>
      </w:r>
      <w:r>
        <w:rPr>
          <w:rFonts w:hint="eastAsia" w:ascii="宋体" w:hAnsi="宋体" w:eastAsia="宋体" w:cs="宋体"/>
          <w:b/>
          <w:bCs/>
          <w:kern w:val="0"/>
          <w:sz w:val="24"/>
          <w:szCs w:val="24"/>
          <w:highlight w:val="none"/>
          <w:lang w:val="en-US" w:eastAsia="zh-CN"/>
        </w:rPr>
        <w:t>36.8</w:t>
      </w:r>
      <w:r>
        <w:rPr>
          <w:rFonts w:hint="eastAsia" w:ascii="宋体" w:hAnsi="宋体" w:eastAsia="宋体" w:cs="宋体"/>
          <w:b/>
          <w:bCs/>
          <w:kern w:val="0"/>
          <w:sz w:val="24"/>
          <w:szCs w:val="24"/>
          <w:highlight w:val="none"/>
        </w:rPr>
        <w:t>万元，</w:t>
      </w:r>
      <w:r>
        <w:rPr>
          <w:rFonts w:hint="eastAsia" w:ascii="宋体" w:hAnsi="宋体" w:eastAsia="宋体" w:cs="宋体"/>
          <w:kern w:val="0"/>
          <w:sz w:val="24"/>
          <w:szCs w:val="24"/>
          <w:highlight w:val="none"/>
        </w:rPr>
        <w:t>报价方的报价不得高于本限价，否则视为不响应询价文件，而被</w:t>
      </w:r>
      <w:r>
        <w:rPr>
          <w:rFonts w:hint="eastAsia" w:ascii="宋体" w:hAnsi="宋体" w:eastAsia="宋体" w:cs="宋体"/>
          <w:kern w:val="0"/>
          <w:sz w:val="24"/>
          <w:szCs w:val="24"/>
          <w:highlight w:val="none"/>
          <w:lang w:eastAsia="zh-CN"/>
        </w:rPr>
        <w:t>询价人</w:t>
      </w:r>
      <w:r>
        <w:rPr>
          <w:rFonts w:hint="eastAsia" w:ascii="宋体" w:hAnsi="宋体" w:eastAsia="宋体" w:cs="宋体"/>
          <w:kern w:val="0"/>
          <w:sz w:val="24"/>
          <w:szCs w:val="24"/>
          <w:highlight w:val="none"/>
        </w:rPr>
        <w:t>拒绝。</w:t>
      </w:r>
    </w:p>
    <w:p>
      <w:pPr>
        <w:spacing w:line="480" w:lineRule="exact"/>
        <w:ind w:firstLine="480" w:firstLineChars="200"/>
        <w:rPr>
          <w:rFonts w:hint="eastAsia" w:ascii="宋体" w:hAnsi="宋体"/>
          <w:sz w:val="24"/>
          <w:highlight w:val="none"/>
        </w:rPr>
      </w:pPr>
      <w:r>
        <w:rPr>
          <w:rFonts w:hint="eastAsia" w:ascii="宋体" w:hAnsi="宋体" w:eastAsia="宋体" w:cs="宋体"/>
          <w:kern w:val="0"/>
          <w:sz w:val="24"/>
          <w:szCs w:val="24"/>
          <w:highlight w:val="none"/>
        </w:rPr>
        <w:t>本报价包含实施和完成项目所需的</w:t>
      </w:r>
      <w:r>
        <w:rPr>
          <w:rFonts w:hint="eastAsia" w:ascii="宋体" w:hAnsi="宋体"/>
          <w:sz w:val="24"/>
          <w:highlight w:val="none"/>
        </w:rPr>
        <w:t>包含人工费、苗木补植费、肥料及材料费、土质改良费、设备及燃油费、运费、税金、利润等所有内容，住宿、通行费自理，</w:t>
      </w:r>
      <w:r>
        <w:rPr>
          <w:rFonts w:hint="eastAsia" w:ascii="宋体" w:hAnsi="宋体"/>
          <w:sz w:val="24"/>
          <w:highlight w:val="none"/>
          <w:lang w:eastAsia="zh-CN"/>
        </w:rPr>
        <w:t>询价</w:t>
      </w:r>
      <w:r>
        <w:rPr>
          <w:rFonts w:hint="eastAsia" w:ascii="宋体" w:hAnsi="宋体"/>
          <w:sz w:val="24"/>
          <w:highlight w:val="none"/>
        </w:rPr>
        <w:t>人不再另行支付其他费用。</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宋体" w:hAnsi="宋体" w:eastAsia="宋体" w:cs="宋体"/>
          <w:kern w:val="0"/>
          <w:sz w:val="24"/>
          <w:szCs w:val="24"/>
          <w:highlight w:val="none"/>
        </w:rPr>
      </w:pPr>
      <w:r>
        <w:rPr>
          <w:rFonts w:hint="eastAsia" w:ascii="宋体" w:hAnsi="宋体"/>
          <w:sz w:val="24"/>
          <w:highlight w:val="none"/>
        </w:rPr>
        <w:t>浇灌用水由</w:t>
      </w:r>
      <w:r>
        <w:rPr>
          <w:rFonts w:hint="eastAsia" w:ascii="宋体" w:hAnsi="宋体"/>
          <w:sz w:val="24"/>
          <w:highlight w:val="none"/>
          <w:lang w:eastAsia="zh-CN"/>
        </w:rPr>
        <w:t>询价</w:t>
      </w:r>
      <w:r>
        <w:rPr>
          <w:rFonts w:hint="eastAsia" w:ascii="宋体" w:hAnsi="宋体"/>
          <w:sz w:val="24"/>
          <w:highlight w:val="none"/>
        </w:rPr>
        <w:t>人提供，承包人</w:t>
      </w:r>
      <w:r>
        <w:rPr>
          <w:rFonts w:hint="eastAsia" w:ascii="宋体" w:hAnsi="宋体"/>
          <w:sz w:val="24"/>
          <w:highlight w:val="none"/>
          <w:lang w:val="en-US" w:eastAsia="zh-CN"/>
        </w:rPr>
        <w:t>须</w:t>
      </w:r>
      <w:r>
        <w:rPr>
          <w:rFonts w:hint="eastAsia" w:ascii="宋体" w:hAnsi="宋体"/>
          <w:sz w:val="24"/>
          <w:highlight w:val="none"/>
        </w:rPr>
        <w:t>节约用水。</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rPr>
        <w:tab/>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outlineLvl w:val="1"/>
        <w:rPr>
          <w:rFonts w:ascii="宋体" w:hAnsi="宋体" w:cs="宋体"/>
          <w:b/>
          <w:sz w:val="24"/>
          <w:highlight w:val="none"/>
        </w:rPr>
      </w:pPr>
      <w:bookmarkStart w:id="0" w:name="_Toc5310"/>
      <w:r>
        <w:rPr>
          <w:rFonts w:hint="eastAsia" w:ascii="宋体" w:hAnsi="宋体" w:cs="宋体"/>
          <w:b/>
          <w:sz w:val="24"/>
          <w:highlight w:val="none"/>
        </w:rPr>
        <w:t>四、</w:t>
      </w:r>
      <w:bookmarkEnd w:id="0"/>
      <w:r>
        <w:rPr>
          <w:rFonts w:hint="eastAsia" w:ascii="宋体" w:hAnsi="宋体" w:cs="宋体"/>
          <w:b/>
          <w:sz w:val="24"/>
          <w:highlight w:val="none"/>
        </w:rPr>
        <w:t>询价保证金</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80" w:firstLineChars="200"/>
        <w:textAlignment w:val="auto"/>
        <w:outlineLvl w:val="1"/>
        <w:rPr>
          <w:rFonts w:hint="eastAsia" w:ascii="宋体" w:hAnsi="宋体" w:eastAsia="宋体" w:cs="宋体"/>
          <w:sz w:val="24"/>
          <w:highlight w:val="none"/>
          <w:shd w:val="clear" w:color="auto" w:fill="auto"/>
        </w:rPr>
      </w:pPr>
      <w:r>
        <w:rPr>
          <w:rFonts w:hint="eastAsia" w:ascii="宋体" w:hAnsi="宋体"/>
          <w:sz w:val="24"/>
          <w:highlight w:val="none"/>
        </w:rPr>
        <w:t>该项目询价保证金为人民币</w:t>
      </w:r>
      <w:r>
        <w:rPr>
          <w:rFonts w:hint="eastAsia" w:ascii="宋体" w:hAnsi="宋体"/>
          <w:sz w:val="24"/>
          <w:highlight w:val="none"/>
          <w:lang w:val="en-US" w:eastAsia="zh-CN"/>
        </w:rPr>
        <w:t>柒仟叁佰元</w:t>
      </w:r>
      <w:r>
        <w:rPr>
          <w:rFonts w:hint="eastAsia" w:ascii="宋体" w:hAnsi="宋体"/>
          <w:sz w:val="24"/>
          <w:highlight w:val="none"/>
        </w:rPr>
        <w:t>整(￥</w:t>
      </w:r>
      <w:r>
        <w:rPr>
          <w:rFonts w:hint="eastAsia" w:ascii="宋体" w:hAnsi="宋体"/>
          <w:sz w:val="24"/>
          <w:highlight w:val="none"/>
          <w:lang w:val="en-US" w:eastAsia="zh-CN"/>
        </w:rPr>
        <w:t>7300</w:t>
      </w:r>
      <w:r>
        <w:rPr>
          <w:rFonts w:hint="eastAsia" w:ascii="宋体" w:hAnsi="宋体"/>
          <w:sz w:val="24"/>
          <w:highlight w:val="none"/>
        </w:rPr>
        <w:t>元)。</w:t>
      </w:r>
      <w:r>
        <w:rPr>
          <w:rFonts w:hint="eastAsia" w:ascii="宋体" w:hAnsi="宋体" w:eastAsia="宋体" w:cs="宋体"/>
          <w:sz w:val="24"/>
          <w:highlight w:val="none"/>
          <w:shd w:val="clear" w:color="auto" w:fill="auto"/>
        </w:rPr>
        <w:t>报价单位必须在报价文件的递交截止时间之前将询价保证金以现金或银行保函形式（现金形式或银行保函的原件，均应密封完好在一个单独的封套内，并在封套的封口处加盖报价人单位公章），在递交报价文件时一并递交给询价人，逾期不予受理。</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80" w:firstLineChars="200"/>
        <w:textAlignment w:val="auto"/>
        <w:outlineLvl w:val="1"/>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询价保证金必须按上述的时限、密封要求递交，否则其询价保证金无效，询价单位有权拒绝其报价文件。</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80" w:firstLineChars="200"/>
        <w:textAlignment w:val="auto"/>
        <w:outlineLvl w:val="1"/>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询价保证金的核验及退还：在第二轮报价后，由询价人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w:t>
      </w:r>
      <w:r>
        <w:rPr>
          <w:rFonts w:hint="eastAsia" w:ascii="宋体" w:hAnsi="宋体" w:eastAsia="宋体" w:cs="宋体"/>
          <w:sz w:val="24"/>
          <w:highlight w:val="none"/>
          <w:shd w:val="clear" w:color="auto" w:fill="auto"/>
          <w:lang w:val="en-US" w:eastAsia="zh-CN"/>
        </w:rPr>
        <w:t>如中选人拒绝签订合同或存在其他损害询价人利益的情况，</w:t>
      </w:r>
      <w:r>
        <w:rPr>
          <w:rFonts w:hint="eastAsia" w:ascii="宋体" w:hAnsi="宋体" w:eastAsia="宋体" w:cs="宋体"/>
          <w:sz w:val="24"/>
          <w:highlight w:val="none"/>
          <w:shd w:val="clear" w:color="auto" w:fill="auto"/>
        </w:rPr>
        <w:t>询价单位</w:t>
      </w:r>
      <w:r>
        <w:rPr>
          <w:rFonts w:hint="eastAsia" w:ascii="宋体" w:hAnsi="宋体" w:eastAsia="宋体" w:cs="宋体"/>
          <w:sz w:val="24"/>
          <w:highlight w:val="none"/>
          <w:shd w:val="clear" w:color="auto" w:fill="auto"/>
          <w:lang w:val="en-US" w:eastAsia="zh-CN"/>
        </w:rPr>
        <w:t>有权拒绝退还中选单位的询价保证金</w:t>
      </w:r>
      <w:r>
        <w:rPr>
          <w:rFonts w:hint="eastAsia" w:ascii="宋体" w:hAnsi="宋体" w:eastAsia="宋体" w:cs="宋体"/>
          <w:sz w:val="24"/>
          <w:highlight w:val="none"/>
          <w:shd w:val="clear" w:color="auto" w:fill="auto"/>
        </w:rPr>
        <w:t>。</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sz w:val="24"/>
          <w:highlight w:val="none"/>
        </w:rPr>
      </w:pPr>
      <w:r>
        <w:rPr>
          <w:rFonts w:hint="eastAsia" w:ascii="宋体" w:hAnsi="宋体" w:eastAsia="宋体" w:cs="宋体"/>
          <w:sz w:val="24"/>
          <w:highlight w:val="none"/>
          <w:shd w:val="clear" w:color="auto" w:fill="auto"/>
          <w:lang w:val="en-US" w:eastAsia="zh-CN"/>
        </w:rPr>
        <w:t>若报价人在报价文件的递交截止时间后要求撤回报价文件、拒绝二次报价或出现第二轮报价高于第一轮报价的情况，询价人有权拒绝退还报价人的询价保证金。</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outlineLvl w:val="1"/>
        <w:rPr>
          <w:rFonts w:ascii="宋体" w:hAnsi="宋体" w:cs="宋体"/>
          <w:b/>
          <w:sz w:val="24"/>
          <w:highlight w:val="none"/>
        </w:rPr>
      </w:pPr>
      <w:r>
        <w:rPr>
          <w:rFonts w:hint="eastAsia" w:ascii="宋体" w:hAnsi="宋体" w:cs="宋体"/>
          <w:b/>
          <w:sz w:val="24"/>
          <w:highlight w:val="none"/>
        </w:rPr>
        <w:t>五、履约担保</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rFonts w:hint="eastAsia" w:ascii="宋体" w:hAnsi="宋体" w:cs="宋体"/>
          <w:bCs/>
          <w:sz w:val="24"/>
          <w:highlight w:val="none"/>
        </w:rPr>
      </w:pPr>
      <w:r>
        <w:rPr>
          <w:rFonts w:hint="eastAsia" w:ascii="宋体" w:hAnsi="宋体" w:cs="宋体"/>
          <w:bCs/>
          <w:sz w:val="24"/>
          <w:highlight w:val="none"/>
        </w:rPr>
        <w:t>1、在</w:t>
      </w:r>
      <w:r>
        <w:rPr>
          <w:rFonts w:hint="eastAsia" w:ascii="宋体" w:hAnsi="宋体" w:cs="宋体"/>
          <w:bCs/>
          <w:sz w:val="24"/>
          <w:highlight w:val="none"/>
          <w:lang w:val="en-US" w:eastAsia="zh-CN"/>
        </w:rPr>
        <w:t>询价人发出成交通知书后</w:t>
      </w:r>
      <w:r>
        <w:rPr>
          <w:rFonts w:hint="eastAsia" w:ascii="宋体" w:hAnsi="宋体" w:cs="宋体"/>
          <w:bCs/>
          <w:sz w:val="24"/>
          <w:highlight w:val="none"/>
        </w:rPr>
        <w:t>后14天内成交人应向</w:t>
      </w:r>
      <w:r>
        <w:rPr>
          <w:rFonts w:hint="eastAsia" w:ascii="宋体" w:hAnsi="宋体" w:cs="宋体"/>
          <w:bCs/>
          <w:sz w:val="24"/>
          <w:highlight w:val="none"/>
          <w:lang w:eastAsia="zh-CN"/>
        </w:rPr>
        <w:t>询价</w:t>
      </w:r>
      <w:r>
        <w:rPr>
          <w:rFonts w:hint="eastAsia" w:ascii="宋体" w:hAnsi="宋体" w:cs="宋体"/>
          <w:bCs/>
          <w:sz w:val="24"/>
          <w:highlight w:val="none"/>
        </w:rPr>
        <w:t>人提交履约担保并签订合同，履约保证金的金额：签约合同价的10%。</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rFonts w:hint="eastAsia" w:ascii="宋体" w:hAnsi="宋体" w:cs="宋体"/>
          <w:bCs/>
          <w:sz w:val="24"/>
          <w:highlight w:val="none"/>
        </w:rPr>
      </w:pPr>
      <w:r>
        <w:rPr>
          <w:rFonts w:hint="eastAsia" w:ascii="宋体" w:hAnsi="宋体" w:cs="宋体"/>
          <w:bCs/>
          <w:sz w:val="24"/>
          <w:highlight w:val="none"/>
        </w:rPr>
        <w:t>2、履约担保的形式：保函（银行保函、财务公司保函、保险公司保函、第三方担保公司保函）或现金保证金。</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rFonts w:hint="eastAsia" w:ascii="宋体" w:hAnsi="宋体" w:cs="宋体"/>
          <w:bCs/>
          <w:sz w:val="24"/>
          <w:highlight w:val="none"/>
        </w:rPr>
      </w:pPr>
      <w:r>
        <w:rPr>
          <w:rFonts w:hint="eastAsia" w:ascii="宋体" w:hAnsi="宋体" w:cs="宋体"/>
          <w:bCs/>
          <w:sz w:val="24"/>
          <w:highlight w:val="none"/>
        </w:rPr>
        <w:t>若采用银行保函，出具履约保证金的银行级别：成交人所在地的国有商业银行或股份制商业银行的支行及以上级别且具有相应担保能力；</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rFonts w:hint="eastAsia" w:ascii="宋体" w:hAnsi="宋体" w:cs="宋体"/>
          <w:bCs/>
          <w:sz w:val="24"/>
          <w:highlight w:val="none"/>
        </w:rPr>
      </w:pPr>
      <w:r>
        <w:rPr>
          <w:rFonts w:hint="eastAsia" w:ascii="宋体" w:hAnsi="宋体" w:cs="宋体"/>
          <w:bCs/>
          <w:sz w:val="24"/>
          <w:highlight w:val="none"/>
        </w:rPr>
        <w:t>若采用财务公司保函，财务公司应属于中国银行保险监管委员会批准的国有财务公司且经合同签订人认可；</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rFonts w:hint="eastAsia" w:ascii="宋体" w:hAnsi="宋体" w:cs="宋体"/>
          <w:bCs/>
          <w:sz w:val="24"/>
          <w:highlight w:val="none"/>
        </w:rPr>
      </w:pPr>
      <w:r>
        <w:rPr>
          <w:rFonts w:hint="eastAsia" w:ascii="宋体" w:hAnsi="宋体" w:cs="宋体"/>
          <w:bCs/>
          <w:sz w:val="24"/>
          <w:highlight w:val="none"/>
        </w:rPr>
        <w:t>若采用保险公司保函或第三方担保公司保函，应经合同签订人认可；</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rFonts w:hint="eastAsia" w:ascii="宋体" w:hAnsi="宋体" w:cs="宋体"/>
          <w:bCs/>
          <w:sz w:val="24"/>
          <w:highlight w:val="none"/>
        </w:rPr>
      </w:pPr>
      <w:r>
        <w:rPr>
          <w:rFonts w:hint="eastAsia" w:ascii="宋体" w:hAnsi="宋体" w:cs="宋体"/>
          <w:bCs/>
          <w:sz w:val="24"/>
          <w:highlight w:val="none"/>
        </w:rPr>
        <w:t>若采用现金，成交人应从其基本账户以转账或电汇形式一次性转入合同签订人指定的银行账户内（退还时不计利息）。</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rFonts w:hint="eastAsia" w:ascii="宋体" w:hAnsi="宋体" w:cs="宋体"/>
          <w:bCs/>
          <w:sz w:val="24"/>
          <w:highlight w:val="none"/>
        </w:rPr>
      </w:pPr>
      <w:r>
        <w:rPr>
          <w:rFonts w:hint="eastAsia" w:ascii="宋体" w:hAnsi="宋体" w:cs="宋体"/>
          <w:bCs/>
          <w:sz w:val="24"/>
          <w:highlight w:val="none"/>
        </w:rPr>
        <w:t>3、在项目实施完成合同工作内容并经业主验收合格后28天内将履约担保退还成交人。</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cs="宋体"/>
          <w:bCs/>
          <w:sz w:val="24"/>
          <w:highlight w:val="none"/>
        </w:rPr>
      </w:pPr>
      <w:r>
        <w:rPr>
          <w:rFonts w:hint="eastAsia" w:ascii="宋体" w:hAnsi="宋体" w:cs="宋体"/>
          <w:bCs/>
          <w:sz w:val="24"/>
          <w:highlight w:val="none"/>
        </w:rPr>
        <w:t>4、履约担保采用公路工程标准施工招标文件（2018版本）履约担保的格式。</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cs="宋体"/>
          <w:bCs/>
          <w:sz w:val="24"/>
          <w:highlight w:val="none"/>
        </w:rPr>
      </w:pPr>
      <w:r>
        <w:rPr>
          <w:rFonts w:hint="eastAsia" w:ascii="宋体" w:hAnsi="宋体" w:eastAsia="宋体" w:cs="宋体"/>
          <w:b/>
          <w:bCs/>
          <w:kern w:val="0"/>
          <w:sz w:val="24"/>
          <w:szCs w:val="24"/>
          <w:highlight w:val="none"/>
        </w:rPr>
        <w:t>六、费用的支付</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sz w:val="24"/>
          <w:highlight w:val="none"/>
          <w:lang w:val="en-US" w:eastAsia="zh-CN"/>
        </w:rPr>
      </w:pPr>
      <w:r>
        <w:rPr>
          <w:rFonts w:hint="eastAsia" w:ascii="宋体" w:hAnsi="宋体"/>
          <w:sz w:val="24"/>
          <w:highlight w:val="none"/>
          <w:lang w:val="en-US" w:eastAsia="zh-CN"/>
        </w:rPr>
        <w:t>按分期方式支付，支付阶段如下：</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rFonts w:hint="eastAsia" w:ascii="宋体" w:hAnsi="宋体" w:cs="宋体"/>
          <w:bCs/>
          <w:sz w:val="24"/>
          <w:highlight w:val="none"/>
        </w:rPr>
      </w:pPr>
      <w:r>
        <w:rPr>
          <w:rFonts w:hint="eastAsia" w:ascii="宋体" w:hAnsi="宋体" w:cs="宋体"/>
          <w:bCs/>
          <w:sz w:val="24"/>
          <w:highlight w:val="none"/>
        </w:rPr>
        <w:t>1、</w:t>
      </w:r>
      <w:r>
        <w:rPr>
          <w:rFonts w:hint="eastAsia" w:ascii="宋体" w:hAnsi="宋体" w:cs="宋体"/>
          <w:bCs/>
          <w:sz w:val="24"/>
          <w:highlight w:val="none"/>
          <w:lang w:val="en-US" w:eastAsia="zh-CN"/>
        </w:rPr>
        <w:t>自合同签订之日起每</w:t>
      </w:r>
      <w:r>
        <w:rPr>
          <w:rFonts w:hint="eastAsia" w:ascii="宋体" w:hAnsi="宋体" w:cs="宋体"/>
          <w:bCs/>
          <w:sz w:val="24"/>
          <w:highlight w:val="none"/>
        </w:rPr>
        <w:t>半年进行一次考核验收，</w:t>
      </w:r>
      <w:r>
        <w:rPr>
          <w:rFonts w:hint="eastAsia" w:ascii="宋体" w:hAnsi="宋体" w:cs="宋体"/>
          <w:bCs/>
          <w:sz w:val="24"/>
          <w:highlight w:val="none"/>
          <w:lang w:val="en-US" w:eastAsia="zh-CN"/>
        </w:rPr>
        <w:t>经询价人考核验收后，按现场检查评分进行计量支付</w:t>
      </w:r>
      <w:r>
        <w:rPr>
          <w:rFonts w:hint="eastAsia" w:ascii="宋体" w:hAnsi="宋体" w:cs="宋体"/>
          <w:bCs/>
          <w:sz w:val="24"/>
          <w:highlight w:val="none"/>
        </w:rPr>
        <w:t>，</w:t>
      </w:r>
      <w:r>
        <w:rPr>
          <w:rFonts w:hint="eastAsia" w:ascii="宋体" w:hAnsi="宋体" w:cs="宋体"/>
          <w:bCs/>
          <w:sz w:val="24"/>
          <w:highlight w:val="none"/>
          <w:lang w:val="en-US" w:eastAsia="zh-CN"/>
        </w:rPr>
        <w:t>每次</w:t>
      </w:r>
      <w:r>
        <w:rPr>
          <w:rFonts w:hint="eastAsia" w:ascii="宋体" w:hAnsi="宋体" w:cs="宋体"/>
          <w:bCs/>
          <w:sz w:val="24"/>
          <w:highlight w:val="none"/>
        </w:rPr>
        <w:t>支付不超过合同价的25%作为当次绿化管养费用，</w:t>
      </w:r>
      <w:r>
        <w:rPr>
          <w:rFonts w:hint="eastAsia" w:ascii="宋体" w:hAnsi="宋体" w:cs="宋体"/>
          <w:bCs/>
          <w:sz w:val="24"/>
          <w:highlight w:val="none"/>
          <w:lang w:val="en-US" w:eastAsia="zh-CN"/>
        </w:rPr>
        <w:t>具体支付标准</w:t>
      </w:r>
      <w:r>
        <w:rPr>
          <w:rFonts w:hint="eastAsia" w:ascii="宋体" w:hAnsi="宋体" w:cs="宋体"/>
          <w:bCs/>
          <w:sz w:val="24"/>
          <w:highlight w:val="none"/>
        </w:rPr>
        <w:t>按下述第2款</w:t>
      </w:r>
      <w:r>
        <w:rPr>
          <w:rFonts w:hint="eastAsia" w:ascii="宋体" w:hAnsi="宋体" w:cs="宋体"/>
          <w:bCs/>
          <w:sz w:val="24"/>
          <w:highlight w:val="none"/>
          <w:lang w:val="en-US" w:eastAsia="zh-CN"/>
        </w:rPr>
        <w:t>执行</w:t>
      </w:r>
      <w:r>
        <w:rPr>
          <w:rFonts w:hint="eastAsia" w:ascii="宋体" w:hAnsi="宋体" w:cs="宋体"/>
          <w:bCs/>
          <w:sz w:val="24"/>
          <w:highlight w:val="none"/>
        </w:rPr>
        <w:t>。具体考核标准详见（附表《赣州高速公路有限责任公司机关大院绿化日常管养项目绿化管养检查评分表》）。</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rFonts w:hint="eastAsia" w:ascii="宋体" w:hAnsi="宋体" w:cs="宋体"/>
          <w:bCs/>
          <w:sz w:val="24"/>
          <w:highlight w:val="none"/>
        </w:rPr>
      </w:pPr>
      <w:r>
        <w:rPr>
          <w:rFonts w:hint="eastAsia" w:ascii="宋体" w:hAnsi="宋体" w:cs="宋体"/>
          <w:bCs/>
          <w:sz w:val="24"/>
          <w:highlight w:val="none"/>
        </w:rPr>
        <w:t>2、每次绿化管养费根据双方现场检查评分进行计算，若考评得分在100分-90分（含），则</w:t>
      </w:r>
      <w:r>
        <w:rPr>
          <w:rFonts w:hint="eastAsia" w:ascii="宋体" w:hAnsi="宋体" w:cs="宋体"/>
          <w:bCs/>
          <w:sz w:val="24"/>
          <w:highlight w:val="none"/>
          <w:lang w:val="en-US" w:eastAsia="zh-CN"/>
        </w:rPr>
        <w:t>支付当次全部</w:t>
      </w:r>
      <w:r>
        <w:rPr>
          <w:rFonts w:hint="eastAsia" w:ascii="宋体" w:hAnsi="宋体" w:cs="宋体"/>
          <w:bCs/>
          <w:sz w:val="24"/>
          <w:highlight w:val="none"/>
        </w:rPr>
        <w:t>绿化管养</w:t>
      </w:r>
      <w:r>
        <w:rPr>
          <w:rFonts w:hint="eastAsia" w:ascii="宋体" w:hAnsi="宋体" w:cs="宋体"/>
          <w:bCs/>
          <w:sz w:val="24"/>
          <w:highlight w:val="none"/>
          <w:lang w:val="en-US" w:eastAsia="zh-CN"/>
        </w:rPr>
        <w:t>费用</w:t>
      </w:r>
      <w:r>
        <w:rPr>
          <w:rFonts w:hint="eastAsia" w:ascii="宋体" w:hAnsi="宋体" w:cs="宋体"/>
          <w:bCs/>
          <w:sz w:val="24"/>
          <w:highlight w:val="none"/>
        </w:rPr>
        <w:t>；若考评得分在90分（不含）-80分（含），</w:t>
      </w:r>
      <w:r>
        <w:rPr>
          <w:rFonts w:hint="eastAsia" w:ascii="宋体" w:hAnsi="宋体" w:cs="宋体"/>
          <w:bCs/>
          <w:sz w:val="24"/>
          <w:highlight w:val="none"/>
          <w:lang w:eastAsia="zh-CN"/>
        </w:rPr>
        <w:t>询价人</w:t>
      </w:r>
      <w:r>
        <w:rPr>
          <w:rFonts w:hint="eastAsia" w:ascii="宋体" w:hAnsi="宋体" w:cs="宋体"/>
          <w:bCs/>
          <w:sz w:val="24"/>
          <w:highlight w:val="none"/>
        </w:rPr>
        <w:t>从</w:t>
      </w:r>
      <w:r>
        <w:rPr>
          <w:rFonts w:hint="eastAsia" w:ascii="宋体" w:hAnsi="宋体" w:cs="宋体"/>
          <w:bCs/>
          <w:sz w:val="24"/>
          <w:highlight w:val="none"/>
          <w:lang w:eastAsia="zh-CN"/>
        </w:rPr>
        <w:t>报价人</w:t>
      </w:r>
      <w:r>
        <w:rPr>
          <w:rFonts w:hint="eastAsia" w:ascii="宋体" w:hAnsi="宋体" w:cs="宋体"/>
          <w:bCs/>
          <w:sz w:val="24"/>
          <w:highlight w:val="none"/>
        </w:rPr>
        <w:t>当次绿化管养费中扣除10%的当次绿化管养费作为</w:t>
      </w:r>
      <w:r>
        <w:rPr>
          <w:rFonts w:hint="eastAsia" w:ascii="宋体" w:hAnsi="宋体" w:cs="宋体"/>
          <w:bCs/>
          <w:sz w:val="24"/>
          <w:highlight w:val="none"/>
          <w:lang w:eastAsia="zh-CN"/>
        </w:rPr>
        <w:t>报价人</w:t>
      </w:r>
      <w:r>
        <w:rPr>
          <w:rFonts w:hint="eastAsia" w:ascii="宋体" w:hAnsi="宋体" w:cs="宋体"/>
          <w:bCs/>
          <w:sz w:val="24"/>
          <w:highlight w:val="none"/>
        </w:rPr>
        <w:t>违约处罚金；考评得分在80分（不含）-70分（含），</w:t>
      </w:r>
      <w:r>
        <w:rPr>
          <w:rFonts w:hint="eastAsia" w:ascii="宋体" w:hAnsi="宋体" w:cs="宋体"/>
          <w:bCs/>
          <w:sz w:val="24"/>
          <w:highlight w:val="none"/>
          <w:lang w:eastAsia="zh-CN"/>
        </w:rPr>
        <w:t>询价人</w:t>
      </w:r>
      <w:r>
        <w:rPr>
          <w:rFonts w:hint="eastAsia" w:ascii="宋体" w:hAnsi="宋体" w:cs="宋体"/>
          <w:bCs/>
          <w:sz w:val="24"/>
          <w:highlight w:val="none"/>
        </w:rPr>
        <w:t>从</w:t>
      </w:r>
      <w:r>
        <w:rPr>
          <w:rFonts w:hint="eastAsia" w:ascii="宋体" w:hAnsi="宋体" w:cs="宋体"/>
          <w:bCs/>
          <w:sz w:val="24"/>
          <w:highlight w:val="none"/>
          <w:lang w:eastAsia="zh-CN"/>
        </w:rPr>
        <w:t>报价人</w:t>
      </w:r>
      <w:r>
        <w:rPr>
          <w:rFonts w:hint="eastAsia" w:ascii="宋体" w:hAnsi="宋体" w:cs="宋体"/>
          <w:bCs/>
          <w:sz w:val="24"/>
          <w:highlight w:val="none"/>
        </w:rPr>
        <w:t>当次绿化管养费中扣除20%的当次绿化管养费作为</w:t>
      </w:r>
      <w:r>
        <w:rPr>
          <w:rFonts w:hint="eastAsia" w:ascii="宋体" w:hAnsi="宋体" w:cs="宋体"/>
          <w:bCs/>
          <w:sz w:val="24"/>
          <w:highlight w:val="none"/>
          <w:lang w:eastAsia="zh-CN"/>
        </w:rPr>
        <w:t>报价人</w:t>
      </w:r>
      <w:r>
        <w:rPr>
          <w:rFonts w:hint="eastAsia" w:ascii="宋体" w:hAnsi="宋体" w:cs="宋体"/>
          <w:bCs/>
          <w:sz w:val="24"/>
          <w:highlight w:val="none"/>
        </w:rPr>
        <w:t>违约处罚金；</w:t>
      </w:r>
      <w:r>
        <w:rPr>
          <w:rFonts w:hint="eastAsia" w:ascii="宋体" w:hAnsi="宋体" w:cs="宋体"/>
          <w:bCs/>
          <w:sz w:val="24"/>
          <w:highlight w:val="none"/>
          <w:lang w:eastAsia="zh-CN"/>
        </w:rPr>
        <w:t>报价人</w:t>
      </w:r>
      <w:r>
        <w:rPr>
          <w:rFonts w:hint="eastAsia" w:ascii="宋体" w:hAnsi="宋体" w:cs="宋体"/>
          <w:bCs/>
          <w:sz w:val="24"/>
          <w:highlight w:val="none"/>
        </w:rPr>
        <w:t>违约处罚金，以此类推扣除违约处罚金，当考评得分小于60分时，</w:t>
      </w:r>
      <w:r>
        <w:rPr>
          <w:rFonts w:hint="eastAsia" w:ascii="宋体" w:hAnsi="宋体" w:cs="宋体"/>
          <w:bCs/>
          <w:sz w:val="24"/>
          <w:highlight w:val="none"/>
          <w:lang w:eastAsia="zh-CN"/>
        </w:rPr>
        <w:t>询价人</w:t>
      </w:r>
      <w:r>
        <w:rPr>
          <w:rFonts w:hint="eastAsia" w:ascii="宋体" w:hAnsi="宋体" w:cs="宋体"/>
          <w:bCs/>
          <w:sz w:val="24"/>
          <w:highlight w:val="none"/>
        </w:rPr>
        <w:t>有权终止合同</w:t>
      </w:r>
      <w:r>
        <w:rPr>
          <w:rFonts w:hint="eastAsia" w:ascii="宋体" w:hAnsi="宋体" w:cs="宋体"/>
          <w:bCs/>
          <w:sz w:val="24"/>
          <w:highlight w:val="none"/>
          <w:lang w:eastAsia="zh-CN"/>
        </w:rPr>
        <w:t>，</w:t>
      </w:r>
      <w:r>
        <w:rPr>
          <w:rFonts w:hint="eastAsia" w:ascii="宋体" w:hAnsi="宋体" w:cs="宋体"/>
          <w:bCs/>
          <w:sz w:val="24"/>
          <w:highlight w:val="none"/>
          <w:lang w:val="en-US" w:eastAsia="zh-CN"/>
        </w:rPr>
        <w:t>且拒绝支付当次绿化管养费</w:t>
      </w:r>
      <w:r>
        <w:rPr>
          <w:rFonts w:hint="eastAsia" w:ascii="宋体" w:hAnsi="宋体" w:cs="宋体"/>
          <w:bCs/>
          <w:sz w:val="24"/>
          <w:highlight w:val="none"/>
        </w:rPr>
        <w:t>。</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rFonts w:hint="eastAsia" w:ascii="宋体" w:hAnsi="宋体" w:cs="宋体"/>
          <w:bCs/>
          <w:sz w:val="24"/>
          <w:highlight w:val="none"/>
        </w:rPr>
      </w:pPr>
      <w:r>
        <w:rPr>
          <w:rFonts w:hint="eastAsia" w:ascii="宋体" w:hAnsi="宋体" w:cs="宋体"/>
          <w:bCs/>
          <w:sz w:val="24"/>
          <w:highlight w:val="none"/>
        </w:rPr>
        <w:t>3、</w:t>
      </w:r>
      <w:r>
        <w:rPr>
          <w:rFonts w:hint="eastAsia" w:ascii="宋体" w:hAnsi="宋体" w:cs="宋体"/>
          <w:bCs/>
          <w:sz w:val="24"/>
          <w:highlight w:val="none"/>
          <w:lang w:eastAsia="zh-CN"/>
        </w:rPr>
        <w:t>询价</w:t>
      </w:r>
      <w:r>
        <w:rPr>
          <w:rFonts w:hint="eastAsia" w:ascii="宋体" w:hAnsi="宋体" w:cs="宋体"/>
          <w:bCs/>
          <w:sz w:val="24"/>
          <w:highlight w:val="none"/>
        </w:rPr>
        <w:t>人支付费用前，</w:t>
      </w:r>
      <w:r>
        <w:rPr>
          <w:rFonts w:hint="eastAsia" w:ascii="宋体" w:hAnsi="宋体" w:cs="宋体"/>
          <w:bCs/>
          <w:sz w:val="24"/>
          <w:highlight w:val="none"/>
          <w:lang w:val="en-US" w:eastAsia="zh-CN"/>
        </w:rPr>
        <w:t>报价</w:t>
      </w:r>
      <w:r>
        <w:rPr>
          <w:rFonts w:hint="eastAsia" w:ascii="宋体" w:hAnsi="宋体" w:cs="宋体"/>
          <w:bCs/>
          <w:sz w:val="24"/>
          <w:highlight w:val="none"/>
        </w:rPr>
        <w:t>人</w:t>
      </w:r>
      <w:r>
        <w:rPr>
          <w:rFonts w:hint="eastAsia" w:ascii="宋体" w:hAnsi="宋体" w:cs="宋体"/>
          <w:bCs/>
          <w:sz w:val="24"/>
          <w:highlight w:val="none"/>
          <w:lang w:val="en-US" w:eastAsia="zh-CN"/>
        </w:rPr>
        <w:t>须</w:t>
      </w:r>
      <w:r>
        <w:rPr>
          <w:rFonts w:hint="eastAsia" w:ascii="宋体" w:hAnsi="宋体" w:cs="宋体"/>
          <w:bCs/>
          <w:sz w:val="24"/>
          <w:highlight w:val="none"/>
        </w:rPr>
        <w:t>按</w:t>
      </w:r>
      <w:r>
        <w:rPr>
          <w:rFonts w:hint="eastAsia" w:ascii="宋体" w:hAnsi="宋体" w:cs="宋体"/>
          <w:bCs/>
          <w:sz w:val="24"/>
          <w:highlight w:val="none"/>
          <w:lang w:eastAsia="zh-CN"/>
        </w:rPr>
        <w:t>询价</w:t>
      </w:r>
      <w:r>
        <w:rPr>
          <w:rFonts w:hint="eastAsia" w:ascii="宋体" w:hAnsi="宋体" w:cs="宋体"/>
          <w:bCs/>
          <w:sz w:val="24"/>
          <w:highlight w:val="none"/>
        </w:rPr>
        <w:t>人要求提供经</w:t>
      </w:r>
      <w:r>
        <w:rPr>
          <w:rFonts w:hint="eastAsia" w:ascii="宋体" w:hAnsi="宋体" w:cs="宋体"/>
          <w:bCs/>
          <w:sz w:val="24"/>
          <w:highlight w:val="none"/>
          <w:lang w:eastAsia="zh-CN"/>
        </w:rPr>
        <w:t>询价</w:t>
      </w:r>
      <w:r>
        <w:rPr>
          <w:rFonts w:hint="eastAsia" w:ascii="宋体" w:hAnsi="宋体" w:cs="宋体"/>
          <w:bCs/>
          <w:sz w:val="24"/>
          <w:highlight w:val="none"/>
        </w:rPr>
        <w:t>人认可的真实有效的发票。</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微软雅黑" w:hAnsi="微软雅黑" w:eastAsia="微软雅黑" w:cs="宋体"/>
          <w:kern w:val="0"/>
          <w:sz w:val="24"/>
          <w:szCs w:val="24"/>
          <w:highlight w:val="none"/>
        </w:rPr>
      </w:pPr>
      <w:r>
        <w:rPr>
          <w:rFonts w:hint="eastAsia" w:ascii="宋体" w:hAnsi="宋体" w:eastAsia="宋体" w:cs="宋体"/>
          <w:b/>
          <w:bCs/>
          <w:kern w:val="0"/>
          <w:sz w:val="24"/>
          <w:szCs w:val="24"/>
          <w:highlight w:val="none"/>
        </w:rPr>
        <w:t>七、报价方资格要求</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sz w:val="24"/>
          <w:highlight w:val="none"/>
        </w:rPr>
      </w:pPr>
      <w:r>
        <w:rPr>
          <w:rFonts w:hint="eastAsia" w:ascii="宋体" w:hAnsi="宋体" w:eastAsia="宋体"/>
          <w:sz w:val="24"/>
          <w:highlight w:val="none"/>
        </w:rPr>
        <w:t>1、资格要求：具备独立法人资格，持有有效的营业执照。</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sz w:val="24"/>
          <w:highlight w:val="none"/>
        </w:rPr>
      </w:pPr>
      <w:r>
        <w:rPr>
          <w:rFonts w:hint="eastAsia" w:ascii="宋体" w:hAnsi="宋体" w:eastAsia="宋体"/>
          <w:sz w:val="24"/>
          <w:highlight w:val="none"/>
        </w:rPr>
        <w:t>2、业绩要求：</w:t>
      </w:r>
      <w:r>
        <w:rPr>
          <w:rFonts w:hint="eastAsia" w:ascii="宋体" w:hAnsi="宋体" w:eastAsia="宋体" w:cs="宋体"/>
          <w:sz w:val="24"/>
          <w:szCs w:val="24"/>
          <w:highlight w:val="none"/>
        </w:rPr>
        <w:t>近三年内（合同签订时间为202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月1日至询价公告发布前1日）</w:t>
      </w:r>
      <w:r>
        <w:rPr>
          <w:rFonts w:hint="eastAsia" w:ascii="宋体" w:hAnsi="宋体" w:cs="宋体"/>
          <w:sz w:val="24"/>
          <w:highlight w:val="none"/>
        </w:rPr>
        <w:t>承接过1个合同金额不少于</w:t>
      </w:r>
      <w:r>
        <w:rPr>
          <w:rFonts w:hint="eastAsia" w:ascii="宋体" w:hAnsi="宋体" w:cs="宋体"/>
          <w:sz w:val="24"/>
          <w:highlight w:val="none"/>
          <w:lang w:val="en-US" w:eastAsia="zh-CN"/>
        </w:rPr>
        <w:t>14</w:t>
      </w:r>
      <w:r>
        <w:rPr>
          <w:rFonts w:hint="eastAsia" w:ascii="宋体" w:hAnsi="宋体" w:cs="宋体"/>
          <w:sz w:val="24"/>
          <w:highlight w:val="none"/>
        </w:rPr>
        <w:t>万元的绿化日常管养</w:t>
      </w:r>
      <w:r>
        <w:rPr>
          <w:rFonts w:hint="eastAsia" w:ascii="宋体" w:hAnsi="宋体" w:eastAsia="宋体" w:cs="宋体"/>
          <w:color w:val="auto"/>
          <w:kern w:val="0"/>
          <w:sz w:val="24"/>
          <w:szCs w:val="24"/>
          <w:highlight w:val="none"/>
          <w:lang w:val="en-US" w:eastAsia="zh-CN"/>
        </w:rPr>
        <w:t>项目不少于1个</w:t>
      </w:r>
      <w:r>
        <w:rPr>
          <w:rFonts w:hint="eastAsia" w:ascii="宋体" w:hAnsi="宋体" w:eastAsia="宋体"/>
          <w:sz w:val="24"/>
          <w:highlight w:val="none"/>
        </w:rPr>
        <w:t>。</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highlight w:val="none"/>
        </w:rPr>
      </w:pPr>
      <w:r>
        <w:rPr>
          <w:rFonts w:hint="eastAsia" w:ascii="宋体" w:hAnsi="宋体" w:cs="Times New Roman"/>
          <w:sz w:val="24"/>
          <w:szCs w:val="24"/>
          <w:highlight w:val="none"/>
        </w:rPr>
        <w:t>3</w:t>
      </w:r>
      <w:r>
        <w:rPr>
          <w:rFonts w:hint="eastAsia" w:ascii="宋体" w:hAnsi="宋体" w:eastAsia="宋体" w:cs="Times New Roman"/>
          <w:sz w:val="24"/>
          <w:szCs w:val="24"/>
          <w:highlight w:val="none"/>
        </w:rPr>
        <w:t>、人员要求：报价人应提供报价人所属社保机构出具的拟委任的项目负责人近一年内连续三个月以上的社保缴费证明或其他能够证明拟委任的项目负责人参加社保的有效证明材料复印件（社保证明材料的社保缴纳单位名称需与报价人单位名称一致）。</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微软雅黑" w:hAnsi="微软雅黑" w:eastAsia="微软雅黑" w:cs="宋体"/>
          <w:kern w:val="0"/>
          <w:sz w:val="24"/>
          <w:szCs w:val="24"/>
          <w:highlight w:val="none"/>
        </w:rPr>
      </w:pPr>
      <w:r>
        <w:rPr>
          <w:rFonts w:hint="eastAsia" w:ascii="宋体" w:hAnsi="宋体" w:eastAsia="宋体" w:cs="宋体"/>
          <w:b/>
          <w:bCs/>
          <w:kern w:val="0"/>
          <w:sz w:val="24"/>
          <w:szCs w:val="24"/>
          <w:highlight w:val="none"/>
        </w:rPr>
        <w:t>八、报价文件组成</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sz w:val="24"/>
          <w:highlight w:val="none"/>
        </w:rPr>
      </w:pPr>
      <w:r>
        <w:rPr>
          <w:rFonts w:hint="eastAsia" w:ascii="宋体" w:hAnsi="宋体" w:eastAsia="宋体" w:cs="Times New Roman"/>
          <w:sz w:val="24"/>
          <w:highlight w:val="none"/>
        </w:rPr>
        <w:t>请贵单位派专人携带身份</w:t>
      </w:r>
      <w:r>
        <w:rPr>
          <w:rFonts w:hint="eastAsia" w:ascii="宋体" w:hAnsi="宋体"/>
          <w:sz w:val="24"/>
          <w:highlight w:val="none"/>
        </w:rPr>
        <w:t>证原件及报价文件，参加本次询价活动，报价文件包括：</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Times New Roman"/>
          <w:sz w:val="24"/>
          <w:highlight w:val="none"/>
        </w:rPr>
      </w:pPr>
      <w:r>
        <w:rPr>
          <w:rFonts w:hint="eastAsia" w:ascii="宋体" w:hAnsi="宋体" w:eastAsia="宋体" w:cs="Times New Roman"/>
          <w:sz w:val="24"/>
          <w:highlight w:val="none"/>
        </w:rPr>
        <w:t>1、法人代表（持法人代表相关证明复印件）或其授权代理人（持授权书原件）</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Times New Roman"/>
          <w:sz w:val="24"/>
          <w:highlight w:val="none"/>
        </w:rPr>
      </w:pPr>
      <w:r>
        <w:rPr>
          <w:rFonts w:hint="eastAsia" w:ascii="宋体" w:hAnsi="宋体" w:eastAsia="宋体" w:cs="Times New Roman"/>
          <w:sz w:val="24"/>
          <w:highlight w:val="none"/>
        </w:rPr>
        <w:t>2、经办人身份证复印件</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Times New Roman"/>
          <w:sz w:val="24"/>
          <w:highlight w:val="none"/>
        </w:rPr>
      </w:pPr>
      <w:r>
        <w:rPr>
          <w:rFonts w:hint="eastAsia" w:ascii="宋体" w:hAnsi="宋体" w:eastAsia="宋体" w:cs="Times New Roman"/>
          <w:sz w:val="24"/>
          <w:highlight w:val="none"/>
        </w:rPr>
        <w:t>3、报价函</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Times New Roman"/>
          <w:sz w:val="24"/>
          <w:highlight w:val="none"/>
        </w:rPr>
      </w:pPr>
      <w:r>
        <w:rPr>
          <w:rFonts w:hint="eastAsia" w:ascii="宋体" w:hAnsi="宋体" w:eastAsia="宋体" w:cs="Times New Roman"/>
          <w:sz w:val="24"/>
          <w:highlight w:val="none"/>
        </w:rPr>
        <w:t>4、信誉承诺表</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Times New Roman"/>
          <w:sz w:val="24"/>
          <w:highlight w:val="none"/>
        </w:rPr>
      </w:pPr>
      <w:r>
        <w:rPr>
          <w:rFonts w:hint="eastAsia" w:ascii="宋体" w:hAnsi="宋体" w:eastAsia="宋体" w:cs="Times New Roman"/>
          <w:sz w:val="24"/>
          <w:highlight w:val="none"/>
        </w:rPr>
        <w:t>5、单位营业执照（事业单位法人证书）复印件</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eastAsia="宋体"/>
          <w:highlight w:val="none"/>
        </w:rPr>
      </w:pPr>
      <w:r>
        <w:rPr>
          <w:rFonts w:hint="eastAsia" w:ascii="宋体" w:hAnsi="宋体" w:eastAsia="宋体" w:cs="Times New Roman"/>
          <w:sz w:val="24"/>
          <w:highlight w:val="none"/>
        </w:rPr>
        <w:t>6、业绩证明材料（须提供已完项目的合同文件）复印件</w:t>
      </w:r>
      <w:r>
        <w:rPr>
          <w:rFonts w:hint="eastAsia" w:ascii="宋体" w:hAnsi="宋体" w:cs="Times New Roman"/>
          <w:sz w:val="24"/>
          <w:highlight w:val="none"/>
        </w:rPr>
        <w:t>、人员相关资料。</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Times New Roman"/>
          <w:sz w:val="24"/>
          <w:highlight w:val="none"/>
        </w:rPr>
      </w:pPr>
      <w:r>
        <w:rPr>
          <w:rFonts w:hint="eastAsia" w:ascii="宋体" w:hAnsi="宋体" w:eastAsia="宋体" w:cs="Times New Roman"/>
          <w:sz w:val="24"/>
          <w:highlight w:val="none"/>
        </w:rPr>
        <w:t>7、询价文件要求的其它文件。</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rFonts w:ascii="宋体" w:hAnsi="宋体" w:eastAsia="宋体" w:cs="Times New Roman"/>
          <w:b/>
          <w:sz w:val="24"/>
          <w:highlight w:val="none"/>
        </w:rPr>
      </w:pPr>
      <w:r>
        <w:rPr>
          <w:rFonts w:hint="eastAsia" w:ascii="宋体" w:hAnsi="宋体" w:eastAsia="宋体" w:cs="Times New Roman"/>
          <w:b/>
          <w:sz w:val="24"/>
          <w:highlight w:val="none"/>
        </w:rPr>
        <w:t>以上资料均应逐页加盖单位公章并装订成册（一式</w:t>
      </w:r>
      <w:r>
        <w:rPr>
          <w:rFonts w:hint="eastAsia" w:ascii="宋体" w:hAnsi="宋体" w:eastAsia="宋体" w:cs="Times New Roman"/>
          <w:b/>
          <w:sz w:val="24"/>
          <w:highlight w:val="none"/>
          <w:lang w:val="en-US" w:eastAsia="zh-CN"/>
        </w:rPr>
        <w:t>三</w:t>
      </w:r>
      <w:r>
        <w:rPr>
          <w:rFonts w:hint="eastAsia" w:ascii="宋体" w:hAnsi="宋体" w:eastAsia="宋体" w:cs="Times New Roman"/>
          <w:b/>
          <w:sz w:val="24"/>
          <w:highlight w:val="none"/>
        </w:rPr>
        <w:t>份</w:t>
      </w:r>
      <w:r>
        <w:rPr>
          <w:rFonts w:hint="eastAsia" w:ascii="宋体" w:hAnsi="宋体" w:eastAsia="宋体" w:cs="Times New Roman"/>
          <w:b/>
          <w:sz w:val="24"/>
          <w:highlight w:val="none"/>
          <w:lang w:eastAsia="zh-CN"/>
        </w:rPr>
        <w:t>，</w:t>
      </w:r>
      <w:r>
        <w:rPr>
          <w:rFonts w:hint="eastAsia" w:ascii="宋体" w:hAnsi="宋体"/>
          <w:b/>
          <w:sz w:val="24"/>
          <w:highlight w:val="none"/>
        </w:rPr>
        <w:t>一正两副</w:t>
      </w:r>
      <w:r>
        <w:rPr>
          <w:rFonts w:hint="eastAsia" w:ascii="宋体" w:hAnsi="宋体" w:eastAsia="宋体" w:cs="Times New Roman"/>
          <w:b/>
          <w:sz w:val="24"/>
          <w:highlight w:val="none"/>
        </w:rPr>
        <w:t>）、不得活页，并标明正副本（正本与副本内容不一致的，以正本为准）。</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sz w:val="24"/>
          <w:highlight w:val="none"/>
        </w:rPr>
      </w:pPr>
      <w:r>
        <w:rPr>
          <w:rFonts w:hint="eastAsia"/>
          <w:b/>
          <w:sz w:val="24"/>
          <w:highlight w:val="none"/>
        </w:rPr>
        <w:t>九</w:t>
      </w:r>
      <w:r>
        <w:rPr>
          <w:b/>
          <w:sz w:val="24"/>
          <w:highlight w:val="none"/>
        </w:rPr>
        <w:t>、公告媒介、</w:t>
      </w:r>
      <w:r>
        <w:rPr>
          <w:rFonts w:hint="eastAsia"/>
          <w:b/>
          <w:sz w:val="24"/>
          <w:highlight w:val="none"/>
          <w:lang w:eastAsia="zh-CN"/>
        </w:rPr>
        <w:t>询价</w:t>
      </w:r>
      <w:r>
        <w:rPr>
          <w:b/>
          <w:sz w:val="24"/>
          <w:highlight w:val="none"/>
        </w:rPr>
        <w:t>文件获取时间及方式：</w:t>
      </w:r>
      <w:r>
        <w:rPr>
          <w:rFonts w:hint="eastAsia"/>
          <w:sz w:val="24"/>
          <w:highlight w:val="none"/>
        </w:rPr>
        <w:t>有意向的报价人请于报价文件的递交截止时间前，自行在赣州交通控股集团有限公司官方网站（http://www.gzjtkgjt.com/）或江西省招标投标网（http://www.jxtb.org.cn/）查阅询价公告，在赣州交通控股集团有限公司官方网站（http://www.gzjtkgjt.com/）下载询价文件</w:t>
      </w:r>
      <w:r>
        <w:rPr>
          <w:rFonts w:hint="eastAsia"/>
          <w:sz w:val="24"/>
          <w:highlight w:val="none"/>
          <w:lang w:eastAsia="zh-CN"/>
        </w:rPr>
        <w:t>，</w:t>
      </w:r>
      <w:r>
        <w:rPr>
          <w:rFonts w:hint="eastAsia"/>
          <w:sz w:val="24"/>
          <w:highlight w:val="none"/>
          <w:lang w:val="en-US" w:eastAsia="zh-CN"/>
        </w:rPr>
        <w:t>本项目询价如有补遗，将于</w:t>
      </w:r>
      <w:r>
        <w:rPr>
          <w:rFonts w:hint="eastAsia"/>
          <w:sz w:val="24"/>
          <w:highlight w:val="none"/>
        </w:rPr>
        <w:t>报价文件递交截止时间</w:t>
      </w:r>
      <w:r>
        <w:rPr>
          <w:rFonts w:hint="eastAsia"/>
          <w:sz w:val="24"/>
          <w:highlight w:val="none"/>
          <w:lang w:val="en-US" w:eastAsia="zh-CN"/>
        </w:rPr>
        <w:t>前24小时在</w:t>
      </w:r>
      <w:r>
        <w:rPr>
          <w:rFonts w:hint="eastAsia"/>
          <w:sz w:val="24"/>
          <w:highlight w:val="none"/>
        </w:rPr>
        <w:t>赣州交通控股集团有限公司官方网站（http://www.gzjtkgjt.com/）</w:t>
      </w:r>
      <w:r>
        <w:rPr>
          <w:rFonts w:hint="eastAsia"/>
          <w:sz w:val="24"/>
          <w:highlight w:val="none"/>
          <w:lang w:val="en-US" w:eastAsia="zh-CN"/>
        </w:rPr>
        <w:t>发布，报价人应随时关注该网站，及时下载，询价人不再另行通知</w:t>
      </w:r>
      <w:r>
        <w:rPr>
          <w:sz w:val="24"/>
          <w:highlight w:val="none"/>
        </w:rPr>
        <w:t>。</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highlight w:val="none"/>
        </w:rPr>
      </w:pPr>
      <w:r>
        <w:rPr>
          <w:rFonts w:hint="eastAsia"/>
          <w:b/>
          <w:sz w:val="24"/>
          <w:highlight w:val="none"/>
        </w:rPr>
        <w:t>十</w:t>
      </w:r>
      <w:r>
        <w:rPr>
          <w:b/>
          <w:sz w:val="24"/>
          <w:highlight w:val="none"/>
        </w:rPr>
        <w:t>、报价文件的密封和标识</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sz w:val="24"/>
          <w:highlight w:val="none"/>
        </w:rPr>
      </w:pPr>
      <w:r>
        <w:rPr>
          <w:sz w:val="24"/>
          <w:highlight w:val="none"/>
        </w:rPr>
        <w:t>报价文件应密封包装。封套的封口处加盖报价人单位章或由报价人的法定代表人或其委托代理人签字。</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highlight w:val="none"/>
        </w:rPr>
      </w:pPr>
      <w:r>
        <w:rPr>
          <w:rFonts w:hint="eastAsia"/>
          <w:b/>
          <w:sz w:val="24"/>
          <w:highlight w:val="none"/>
        </w:rPr>
        <w:t>十一</w:t>
      </w:r>
      <w:r>
        <w:rPr>
          <w:b/>
          <w:sz w:val="24"/>
          <w:highlight w:val="none"/>
        </w:rPr>
        <w:t>、报价文件的递交及相关事宜：</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highlight w:val="none"/>
        </w:rPr>
      </w:pPr>
      <w:r>
        <w:rPr>
          <w:sz w:val="24"/>
          <w:highlight w:val="none"/>
        </w:rPr>
        <w:t>报价文件的递交截止时间：20</w:t>
      </w:r>
      <w:r>
        <w:rPr>
          <w:rFonts w:hint="eastAsia"/>
          <w:sz w:val="24"/>
          <w:highlight w:val="none"/>
          <w:lang w:val="en-US" w:eastAsia="zh-CN"/>
        </w:rPr>
        <w:t>24</w:t>
      </w:r>
      <w:r>
        <w:rPr>
          <w:sz w:val="24"/>
          <w:highlight w:val="none"/>
        </w:rPr>
        <w:t>年</w:t>
      </w:r>
      <w:r>
        <w:rPr>
          <w:rFonts w:hint="eastAsia"/>
          <w:sz w:val="24"/>
          <w:highlight w:val="none"/>
          <w:lang w:val="en-US" w:eastAsia="zh-CN"/>
        </w:rPr>
        <w:t>4</w:t>
      </w:r>
      <w:r>
        <w:rPr>
          <w:sz w:val="24"/>
          <w:highlight w:val="none"/>
        </w:rPr>
        <w:t>月</w:t>
      </w:r>
      <w:r>
        <w:rPr>
          <w:rFonts w:hint="eastAsia"/>
          <w:sz w:val="24"/>
          <w:highlight w:val="none"/>
          <w:lang w:val="en-US" w:eastAsia="zh-CN"/>
        </w:rPr>
        <w:t>3</w:t>
      </w:r>
      <w:r>
        <w:rPr>
          <w:sz w:val="24"/>
          <w:highlight w:val="none"/>
        </w:rPr>
        <w:t>日</w:t>
      </w:r>
      <w:r>
        <w:rPr>
          <w:rFonts w:hint="eastAsia"/>
          <w:sz w:val="24"/>
          <w:highlight w:val="none"/>
          <w:lang w:val="en-US" w:eastAsia="zh-CN"/>
        </w:rPr>
        <w:t>上午</w:t>
      </w:r>
      <w:bookmarkStart w:id="1" w:name="_GoBack"/>
      <w:bookmarkEnd w:id="1"/>
      <w:r>
        <w:rPr>
          <w:rFonts w:hint="eastAsia"/>
          <w:sz w:val="24"/>
          <w:highlight w:val="none"/>
        </w:rPr>
        <w:t>9</w:t>
      </w:r>
      <w:r>
        <w:rPr>
          <w:sz w:val="24"/>
          <w:highlight w:val="none"/>
        </w:rPr>
        <w:t>：</w:t>
      </w:r>
      <w:r>
        <w:rPr>
          <w:rFonts w:hint="eastAsia"/>
          <w:sz w:val="24"/>
          <w:highlight w:val="none"/>
        </w:rPr>
        <w:t>3</w:t>
      </w:r>
      <w:r>
        <w:rPr>
          <w:sz w:val="24"/>
          <w:highlight w:val="none"/>
        </w:rPr>
        <w:t>0，递交地址：赣州市章贡区沙河镇赣州东收费站出口旁赣州交通控股集团有限公司</w:t>
      </w:r>
      <w:r>
        <w:rPr>
          <w:rFonts w:hint="eastAsia"/>
          <w:sz w:val="24"/>
          <w:highlight w:val="none"/>
          <w:lang w:val="en-US" w:eastAsia="zh-CN"/>
        </w:rPr>
        <w:t>2</w:t>
      </w:r>
      <w:r>
        <w:rPr>
          <w:sz w:val="24"/>
          <w:highlight w:val="none"/>
        </w:rPr>
        <w:t>楼</w:t>
      </w:r>
      <w:r>
        <w:rPr>
          <w:rFonts w:hint="eastAsia"/>
          <w:sz w:val="24"/>
          <w:highlight w:val="none"/>
          <w:lang w:val="en-US" w:eastAsia="zh-CN"/>
        </w:rPr>
        <w:t>开标室</w:t>
      </w:r>
      <w:r>
        <w:rPr>
          <w:sz w:val="24"/>
          <w:highlight w:val="none"/>
        </w:rPr>
        <w:t>。</w:t>
      </w:r>
      <w:r>
        <w:rPr>
          <w:rFonts w:hint="eastAsia"/>
          <w:sz w:val="24"/>
          <w:highlight w:val="none"/>
          <w:lang w:eastAsia="zh-CN"/>
        </w:rPr>
        <w:t>询价</w:t>
      </w:r>
      <w:r>
        <w:rPr>
          <w:sz w:val="24"/>
          <w:highlight w:val="none"/>
        </w:rPr>
        <w:t>人将拒绝接受在递交截止时间后送达的报价函。</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highlight w:val="none"/>
        </w:rPr>
      </w:pPr>
      <w:r>
        <w:rPr>
          <w:b/>
          <w:sz w:val="24"/>
          <w:highlight w:val="none"/>
        </w:rPr>
        <w:t>十</w:t>
      </w:r>
      <w:r>
        <w:rPr>
          <w:rFonts w:hint="eastAsia"/>
          <w:b/>
          <w:sz w:val="24"/>
          <w:highlight w:val="none"/>
        </w:rPr>
        <w:t>二</w:t>
      </w:r>
      <w:r>
        <w:rPr>
          <w:b/>
          <w:sz w:val="24"/>
          <w:highlight w:val="none"/>
        </w:rPr>
        <w:t>、报价文件的开启程序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highlight w:val="none"/>
        </w:rPr>
      </w:pPr>
      <w:r>
        <w:rPr>
          <w:sz w:val="24"/>
          <w:highlight w:val="none"/>
        </w:rPr>
        <w:t>1、公布在截止时间前递交报价文件的报价人数量；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highlight w:val="none"/>
        </w:rPr>
      </w:pPr>
      <w:r>
        <w:rPr>
          <w:sz w:val="24"/>
          <w:highlight w:val="none"/>
        </w:rPr>
        <w:t>2、报价人代表现场检查报价文件密封情况；</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highlight w:val="none"/>
        </w:rPr>
      </w:pPr>
      <w:r>
        <w:rPr>
          <w:sz w:val="24"/>
          <w:highlight w:val="none"/>
        </w:rPr>
        <w:t>3、开启报价文件，公布报价人名称、报价等，结束后报价人及</w:t>
      </w:r>
      <w:r>
        <w:rPr>
          <w:rFonts w:hint="eastAsia"/>
          <w:sz w:val="24"/>
          <w:highlight w:val="none"/>
          <w:lang w:eastAsia="zh-CN"/>
        </w:rPr>
        <w:t>询价</w:t>
      </w:r>
      <w:r>
        <w:rPr>
          <w:sz w:val="24"/>
          <w:highlight w:val="none"/>
        </w:rPr>
        <w:t>小组签字确认。</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highlight w:val="none"/>
        </w:rPr>
      </w:pPr>
      <w:r>
        <w:rPr>
          <w:b/>
          <w:sz w:val="24"/>
          <w:highlight w:val="none"/>
        </w:rPr>
        <w:t>十</w:t>
      </w:r>
      <w:r>
        <w:rPr>
          <w:rFonts w:hint="eastAsia"/>
          <w:b/>
          <w:sz w:val="24"/>
          <w:highlight w:val="none"/>
        </w:rPr>
        <w:t>三</w:t>
      </w:r>
      <w:r>
        <w:rPr>
          <w:b/>
          <w:sz w:val="24"/>
          <w:highlight w:val="none"/>
        </w:rPr>
        <w:t>、公示</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highlight w:val="none"/>
        </w:rPr>
      </w:pPr>
      <w:r>
        <w:rPr>
          <w:sz w:val="24"/>
          <w:highlight w:val="none"/>
        </w:rPr>
        <w:t>询价结束后3日内，在江西省招标投标网（http://www.jxtb.org.cn）、赣州交通控股集团有限公司网站（http://www.gzjtkgjt.com）上对候选人进行公示。</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highlight w:val="none"/>
        </w:rPr>
      </w:pPr>
      <w:r>
        <w:rPr>
          <w:b/>
          <w:sz w:val="24"/>
          <w:highlight w:val="none"/>
        </w:rPr>
        <w:t>十</w:t>
      </w:r>
      <w:r>
        <w:rPr>
          <w:rFonts w:hint="eastAsia"/>
          <w:b/>
          <w:sz w:val="24"/>
          <w:highlight w:val="none"/>
        </w:rPr>
        <w:t>四</w:t>
      </w:r>
      <w:r>
        <w:rPr>
          <w:b/>
          <w:sz w:val="24"/>
          <w:highlight w:val="none"/>
        </w:rPr>
        <w:t>、联系方式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highlight w:val="none"/>
        </w:rPr>
      </w:pPr>
      <w:r>
        <w:rPr>
          <w:rFonts w:hint="eastAsia"/>
          <w:sz w:val="24"/>
          <w:highlight w:val="none"/>
          <w:lang w:eastAsia="zh-CN"/>
        </w:rPr>
        <w:t>询价</w:t>
      </w:r>
      <w:r>
        <w:rPr>
          <w:sz w:val="24"/>
          <w:highlight w:val="none"/>
        </w:rPr>
        <w:t>人名称：赣州高速公路有限责任公司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highlight w:val="none"/>
        </w:rPr>
      </w:pPr>
      <w:r>
        <w:rPr>
          <w:rFonts w:hint="eastAsia"/>
          <w:sz w:val="24"/>
          <w:highlight w:val="none"/>
          <w:lang w:eastAsia="zh-CN"/>
        </w:rPr>
        <w:t>询价</w:t>
      </w:r>
      <w:r>
        <w:rPr>
          <w:sz w:val="24"/>
          <w:highlight w:val="none"/>
        </w:rPr>
        <w:t>人地址：江西省赣州市章贡区沙河镇赣州东收费站出口右侧（赣州交通控股集团有限公司）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highlight w:val="none"/>
        </w:rPr>
      </w:pPr>
      <w:r>
        <w:rPr>
          <w:sz w:val="24"/>
          <w:highlight w:val="none"/>
        </w:rPr>
        <w:t>联系人：</w:t>
      </w:r>
      <w:r>
        <w:rPr>
          <w:rFonts w:hint="eastAsia"/>
          <w:sz w:val="24"/>
          <w:highlight w:val="none"/>
        </w:rPr>
        <w:t>杨先生</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highlight w:val="none"/>
        </w:rPr>
      </w:pPr>
      <w:r>
        <w:rPr>
          <w:sz w:val="24"/>
          <w:highlight w:val="none"/>
        </w:rPr>
        <w:t>电  话：</w:t>
      </w:r>
      <w:r>
        <w:rPr>
          <w:rFonts w:hint="eastAsia" w:ascii="宋体" w:hAnsi="宋体" w:cs="宋体"/>
          <w:bCs/>
          <w:sz w:val="24"/>
          <w:highlight w:val="none"/>
        </w:rPr>
        <w:t>0797-8289692</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highlight w:val="none"/>
        </w:rPr>
      </w:pPr>
      <w:r>
        <w:rPr>
          <w:b/>
          <w:sz w:val="24"/>
          <w:highlight w:val="none"/>
        </w:rPr>
        <w:t>十</w:t>
      </w:r>
      <w:r>
        <w:rPr>
          <w:rFonts w:hint="eastAsia"/>
          <w:b/>
          <w:sz w:val="24"/>
          <w:highlight w:val="none"/>
        </w:rPr>
        <w:t>五</w:t>
      </w:r>
      <w:r>
        <w:rPr>
          <w:b/>
          <w:sz w:val="24"/>
          <w:highlight w:val="none"/>
        </w:rPr>
        <w:t>、监督部门及联系方式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highlight w:val="none"/>
        </w:rPr>
      </w:pPr>
      <w:r>
        <w:rPr>
          <w:sz w:val="24"/>
          <w:highlight w:val="none"/>
        </w:rPr>
        <w:t>监督部门：赣州交通控股集团有限公司风控审计部、纪检监察室</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highlight w:val="none"/>
        </w:rPr>
      </w:pPr>
      <w:r>
        <w:rPr>
          <w:sz w:val="24"/>
          <w:highlight w:val="none"/>
        </w:rPr>
        <w:t>地    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宋体"/>
          <w:sz w:val="24"/>
          <w:highlight w:val="none"/>
        </w:rPr>
      </w:pPr>
      <w:r>
        <w:rPr>
          <w:sz w:val="24"/>
          <w:highlight w:val="none"/>
        </w:rPr>
        <w:t>电    话：</w:t>
      </w:r>
      <w:r>
        <w:rPr>
          <w:rFonts w:hint="eastAsia" w:ascii="宋体" w:hAnsi="宋体" w:eastAsia="宋体" w:cs="宋体"/>
          <w:sz w:val="24"/>
          <w:highlight w:val="none"/>
        </w:rPr>
        <w:t>0797-8289879、0797-8282685</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宋体"/>
          <w:sz w:val="24"/>
          <w:highlight w:val="none"/>
        </w:rPr>
      </w:pPr>
      <w:r>
        <w:rPr>
          <w:rFonts w:hint="eastAsia" w:ascii="宋体" w:hAnsi="宋体" w:eastAsia="宋体" w:cs="宋体"/>
          <w:sz w:val="24"/>
          <w:highlight w:val="none"/>
        </w:rPr>
        <w:t>邮政编码：341000</w:t>
      </w:r>
    </w:p>
    <w:p>
      <w:pPr>
        <w:keepNext w:val="0"/>
        <w:keepLines w:val="0"/>
        <w:pageBreakBefore w:val="0"/>
        <w:kinsoku/>
        <w:wordWrap/>
        <w:overflowPunct/>
        <w:topLinePunct w:val="0"/>
        <w:autoSpaceDE/>
        <w:autoSpaceDN/>
        <w:bidi w:val="0"/>
        <w:adjustRightInd/>
        <w:snapToGrid/>
        <w:spacing w:line="500" w:lineRule="exact"/>
        <w:textAlignment w:val="auto"/>
        <w:rPr>
          <w:sz w:val="24"/>
          <w:highlight w:val="none"/>
        </w:rPr>
      </w:pPr>
    </w:p>
    <w:p>
      <w:pPr>
        <w:keepNext w:val="0"/>
        <w:keepLines w:val="0"/>
        <w:pageBreakBefore w:val="0"/>
        <w:kinsoku/>
        <w:wordWrap/>
        <w:overflowPunct/>
        <w:topLinePunct w:val="0"/>
        <w:autoSpaceDE/>
        <w:autoSpaceDN/>
        <w:bidi w:val="0"/>
        <w:adjustRightInd/>
        <w:snapToGrid/>
        <w:spacing w:line="500" w:lineRule="exact"/>
        <w:textAlignment w:val="auto"/>
        <w:rPr>
          <w:highlight w:val="none"/>
        </w:rPr>
      </w:pPr>
    </w:p>
    <w:p>
      <w:pPr>
        <w:keepNext w:val="0"/>
        <w:keepLines w:val="0"/>
        <w:pageBreakBefore w:val="0"/>
        <w:kinsoku/>
        <w:wordWrap/>
        <w:overflowPunct/>
        <w:topLinePunct w:val="0"/>
        <w:autoSpaceDE/>
        <w:autoSpaceDN/>
        <w:bidi w:val="0"/>
        <w:adjustRightInd/>
        <w:snapToGrid/>
        <w:spacing w:line="500" w:lineRule="exact"/>
        <w:ind w:firstLine="4536" w:firstLineChars="1890"/>
        <w:jc w:val="center"/>
        <w:textAlignment w:val="auto"/>
        <w:rPr>
          <w:sz w:val="24"/>
          <w:highlight w:val="none"/>
        </w:rPr>
      </w:pPr>
      <w:r>
        <w:rPr>
          <w:sz w:val="24"/>
          <w:highlight w:val="none"/>
        </w:rPr>
        <w:t>赣州高速公路有限责任公司</w:t>
      </w:r>
    </w:p>
    <w:p>
      <w:pPr>
        <w:keepNext w:val="0"/>
        <w:keepLines w:val="0"/>
        <w:pageBreakBefore w:val="0"/>
        <w:kinsoku/>
        <w:wordWrap/>
        <w:overflowPunct/>
        <w:topLinePunct w:val="0"/>
        <w:autoSpaceDE/>
        <w:autoSpaceDN/>
        <w:bidi w:val="0"/>
        <w:adjustRightInd/>
        <w:snapToGrid/>
        <w:spacing w:line="500" w:lineRule="exact"/>
        <w:ind w:firstLine="4536" w:firstLineChars="1890"/>
        <w:jc w:val="center"/>
        <w:textAlignment w:val="auto"/>
        <w:rPr>
          <w:sz w:val="24"/>
          <w:highlight w:val="none"/>
        </w:rPr>
      </w:pPr>
      <w:r>
        <w:rPr>
          <w:sz w:val="24"/>
          <w:highlight w:val="none"/>
        </w:rPr>
        <w:t>202</w:t>
      </w:r>
      <w:r>
        <w:rPr>
          <w:rFonts w:hint="eastAsia"/>
          <w:sz w:val="24"/>
          <w:highlight w:val="none"/>
          <w:lang w:val="en-US" w:eastAsia="zh-CN"/>
        </w:rPr>
        <w:t>4</w:t>
      </w:r>
      <w:r>
        <w:rPr>
          <w:sz w:val="24"/>
          <w:highlight w:val="none"/>
        </w:rPr>
        <w:t>年</w:t>
      </w:r>
      <w:r>
        <w:rPr>
          <w:rFonts w:hint="eastAsia"/>
          <w:sz w:val="24"/>
          <w:highlight w:val="none"/>
          <w:lang w:val="en-US" w:eastAsia="zh-CN"/>
        </w:rPr>
        <w:t>3</w:t>
      </w:r>
      <w:r>
        <w:rPr>
          <w:sz w:val="24"/>
          <w:highlight w:val="none"/>
        </w:rPr>
        <w:t>月</w:t>
      </w:r>
      <w:r>
        <w:rPr>
          <w:rFonts w:hint="eastAsia"/>
          <w:sz w:val="24"/>
          <w:highlight w:val="none"/>
          <w:lang w:val="en-US" w:eastAsia="zh-CN"/>
        </w:rPr>
        <w:t>29</w:t>
      </w:r>
      <w:r>
        <w:rPr>
          <w:sz w:val="24"/>
          <w:highlight w:val="none"/>
        </w:rPr>
        <w:t>日</w:t>
      </w:r>
    </w:p>
    <w:p>
      <w:pPr>
        <w:spacing w:line="420" w:lineRule="exact"/>
        <w:rPr>
          <w:rFonts w:ascii="宋体" w:hAnsi="宋体" w:eastAsia="宋体" w:cs="宋体"/>
          <w:kern w:val="0"/>
          <w:sz w:val="24"/>
          <w:szCs w:val="24"/>
          <w:highlight w:val="none"/>
        </w:rPr>
      </w:pPr>
    </w:p>
    <w:p>
      <w:pPr>
        <w:spacing w:line="420" w:lineRule="exact"/>
        <w:jc w:val="center"/>
        <w:rPr>
          <w:b/>
          <w:sz w:val="36"/>
          <w:szCs w:val="36"/>
          <w:highlight w:val="none"/>
        </w:rPr>
      </w:pPr>
    </w:p>
    <w:p>
      <w:pPr>
        <w:spacing w:line="420" w:lineRule="exact"/>
        <w:jc w:val="center"/>
        <w:rPr>
          <w:b/>
          <w:sz w:val="36"/>
          <w:szCs w:val="36"/>
          <w:highlight w:val="none"/>
        </w:rPr>
      </w:pPr>
    </w:p>
    <w:p>
      <w:pPr>
        <w:spacing w:line="420" w:lineRule="exact"/>
        <w:jc w:val="center"/>
        <w:rPr>
          <w:rFonts w:hint="eastAsia"/>
          <w:b/>
          <w:sz w:val="36"/>
          <w:szCs w:val="36"/>
          <w:highlight w:val="none"/>
        </w:rPr>
      </w:pPr>
    </w:p>
    <w:p>
      <w:pPr>
        <w:spacing w:line="420" w:lineRule="exact"/>
        <w:jc w:val="center"/>
        <w:rPr>
          <w:rFonts w:hint="eastAsia"/>
          <w:b/>
          <w:sz w:val="36"/>
          <w:szCs w:val="36"/>
          <w:highlight w:val="none"/>
        </w:rPr>
      </w:pPr>
    </w:p>
    <w:p>
      <w:pPr>
        <w:spacing w:line="420" w:lineRule="exact"/>
        <w:jc w:val="center"/>
        <w:rPr>
          <w:rFonts w:hint="eastAsia"/>
          <w:b/>
          <w:sz w:val="36"/>
          <w:szCs w:val="36"/>
          <w:highlight w:val="none"/>
        </w:rPr>
      </w:pPr>
    </w:p>
    <w:p>
      <w:pPr>
        <w:spacing w:line="420" w:lineRule="exact"/>
        <w:jc w:val="center"/>
        <w:rPr>
          <w:rFonts w:hint="eastAsia"/>
          <w:b/>
          <w:sz w:val="36"/>
          <w:szCs w:val="36"/>
          <w:highlight w:val="none"/>
        </w:rPr>
      </w:pPr>
    </w:p>
    <w:p>
      <w:pPr>
        <w:spacing w:line="420" w:lineRule="exact"/>
        <w:jc w:val="center"/>
        <w:rPr>
          <w:rFonts w:hint="eastAsia"/>
          <w:b/>
          <w:sz w:val="36"/>
          <w:szCs w:val="36"/>
          <w:highlight w:val="none"/>
        </w:rPr>
      </w:pPr>
    </w:p>
    <w:p>
      <w:pPr>
        <w:spacing w:line="420" w:lineRule="exact"/>
        <w:jc w:val="center"/>
        <w:rPr>
          <w:rFonts w:hint="eastAsia"/>
          <w:b/>
          <w:sz w:val="36"/>
          <w:szCs w:val="36"/>
          <w:highlight w:val="none"/>
        </w:rPr>
      </w:pPr>
    </w:p>
    <w:p>
      <w:pPr>
        <w:spacing w:line="420" w:lineRule="exact"/>
        <w:jc w:val="center"/>
        <w:rPr>
          <w:rFonts w:hint="eastAsia"/>
          <w:b/>
          <w:sz w:val="36"/>
          <w:szCs w:val="36"/>
          <w:highlight w:val="none"/>
        </w:rPr>
      </w:pPr>
    </w:p>
    <w:p>
      <w:pPr>
        <w:spacing w:line="420" w:lineRule="exact"/>
        <w:jc w:val="center"/>
        <w:rPr>
          <w:rFonts w:hint="eastAsia"/>
          <w:b/>
          <w:sz w:val="36"/>
          <w:szCs w:val="36"/>
          <w:highlight w:val="none"/>
        </w:rPr>
      </w:pPr>
    </w:p>
    <w:p>
      <w:pPr>
        <w:spacing w:line="420" w:lineRule="exact"/>
        <w:jc w:val="center"/>
        <w:rPr>
          <w:rFonts w:hint="eastAsia"/>
          <w:b/>
          <w:sz w:val="36"/>
          <w:szCs w:val="36"/>
          <w:highlight w:val="none"/>
        </w:rPr>
      </w:pPr>
    </w:p>
    <w:p>
      <w:pPr>
        <w:rPr>
          <w:rFonts w:hint="eastAsia"/>
          <w:b/>
          <w:bCs/>
          <w:sz w:val="28"/>
          <w:szCs w:val="28"/>
          <w:highlight w:val="none"/>
          <w:lang w:val="en-US" w:eastAsia="zh-CN"/>
        </w:rPr>
      </w:pPr>
    </w:p>
    <w:p>
      <w:pPr>
        <w:spacing w:line="400" w:lineRule="exact"/>
        <w:jc w:val="both"/>
        <w:rPr>
          <w:rFonts w:hint="eastAsia" w:ascii="Calibri" w:hAnsi="Calibri" w:eastAsia="Calibri"/>
          <w:b/>
          <w:sz w:val="30"/>
          <w:szCs w:val="30"/>
          <w:highlight w:val="none"/>
          <w:lang w:val="en-US" w:eastAsia="zh-CN"/>
        </w:rPr>
      </w:pPr>
      <w:r>
        <w:rPr>
          <w:rFonts w:hint="eastAsia" w:ascii="Calibri" w:hAnsi="Calibri" w:eastAsia="Calibri"/>
          <w:b/>
          <w:sz w:val="30"/>
          <w:szCs w:val="30"/>
          <w:highlight w:val="none"/>
          <w:lang w:val="en-US" w:eastAsia="zh-CN"/>
        </w:rPr>
        <w:t>附表：</w:t>
      </w:r>
    </w:p>
    <w:p>
      <w:pPr>
        <w:spacing w:line="400" w:lineRule="exact"/>
        <w:jc w:val="center"/>
        <w:rPr>
          <w:rFonts w:hint="eastAsia" w:eastAsia="Calibri"/>
          <w:b/>
          <w:sz w:val="30"/>
          <w:szCs w:val="30"/>
          <w:highlight w:val="none"/>
        </w:rPr>
      </w:pPr>
      <w:r>
        <w:rPr>
          <w:rFonts w:hint="eastAsia" w:ascii="Calibri" w:hAnsi="Calibri" w:eastAsia="Calibri"/>
          <w:b/>
          <w:sz w:val="30"/>
          <w:szCs w:val="30"/>
          <w:highlight w:val="none"/>
        </w:rPr>
        <w:t>赣州高速公路有限责任公司机关大院绿化日常管养项目</w:t>
      </w:r>
    </w:p>
    <w:p>
      <w:pPr>
        <w:spacing w:line="400" w:lineRule="exact"/>
        <w:jc w:val="center"/>
        <w:rPr>
          <w:rFonts w:eastAsia="Calibri"/>
          <w:b/>
          <w:sz w:val="30"/>
          <w:szCs w:val="30"/>
          <w:highlight w:val="none"/>
        </w:rPr>
      </w:pPr>
      <w:r>
        <w:rPr>
          <w:rFonts w:hint="eastAsia" w:eastAsia="Calibri"/>
          <w:b/>
          <w:sz w:val="30"/>
          <w:szCs w:val="30"/>
          <w:highlight w:val="none"/>
        </w:rPr>
        <w:t>绿化管养检查评分表</w:t>
      </w:r>
    </w:p>
    <w:tbl>
      <w:tblPr>
        <w:tblStyle w:val="9"/>
        <w:tblW w:w="50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3"/>
        <w:gridCol w:w="7568"/>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pct"/>
            <w:noWrap w:val="0"/>
            <w:vAlign w:val="top"/>
          </w:tcPr>
          <w:p>
            <w:pPr>
              <w:jc w:val="center"/>
              <w:rPr>
                <w:rFonts w:ascii="楷体" w:hAnsi="楷体" w:eastAsia="楷体"/>
                <w:b/>
                <w:sz w:val="18"/>
                <w:szCs w:val="18"/>
                <w:highlight w:val="none"/>
              </w:rPr>
            </w:pPr>
            <w:r>
              <w:rPr>
                <w:rFonts w:hint="eastAsia" w:ascii="楷体" w:hAnsi="楷体" w:eastAsia="楷体"/>
                <w:b/>
                <w:sz w:val="18"/>
                <w:szCs w:val="18"/>
                <w:highlight w:val="none"/>
              </w:rPr>
              <w:t>责任部门</w:t>
            </w:r>
          </w:p>
        </w:tc>
        <w:tc>
          <w:tcPr>
            <w:tcW w:w="4102" w:type="pct"/>
            <w:gridSpan w:val="2"/>
            <w:noWrap w:val="0"/>
            <w:vAlign w:val="top"/>
          </w:tcPr>
          <w:p>
            <w:pPr>
              <w:jc w:val="left"/>
              <w:rPr>
                <w:rFonts w:ascii="楷体" w:hAnsi="楷体" w:eastAsia="楷体"/>
                <w:b/>
                <w:sz w:val="18"/>
                <w:szCs w:val="18"/>
                <w:highlight w:val="none"/>
              </w:rPr>
            </w:pPr>
            <w:r>
              <w:rPr>
                <w:rFonts w:hint="eastAsia" w:ascii="楷体" w:hAnsi="楷体" w:eastAsia="楷体"/>
                <w:b/>
                <w:sz w:val="18"/>
                <w:szCs w:val="18"/>
                <w:highlight w:val="none"/>
              </w:rPr>
              <w:t>赣州高速公路有限责任公司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8" w:type="pct"/>
            <w:noWrap w:val="0"/>
            <w:vAlign w:val="top"/>
          </w:tcPr>
          <w:p>
            <w:pPr>
              <w:jc w:val="center"/>
              <w:rPr>
                <w:rFonts w:ascii="楷体" w:hAnsi="楷体" w:eastAsia="楷体"/>
                <w:b/>
                <w:sz w:val="18"/>
                <w:szCs w:val="18"/>
                <w:highlight w:val="none"/>
              </w:rPr>
            </w:pPr>
            <w:r>
              <w:rPr>
                <w:rFonts w:hint="eastAsia" w:ascii="楷体" w:hAnsi="楷体" w:eastAsia="楷体"/>
                <w:b/>
                <w:sz w:val="18"/>
                <w:szCs w:val="18"/>
                <w:highlight w:val="none"/>
              </w:rPr>
              <w:t>管养单位</w:t>
            </w:r>
          </w:p>
        </w:tc>
        <w:tc>
          <w:tcPr>
            <w:tcW w:w="4102" w:type="pct"/>
            <w:gridSpan w:val="2"/>
            <w:noWrap w:val="0"/>
            <w:vAlign w:val="top"/>
          </w:tcPr>
          <w:p>
            <w:pPr>
              <w:jc w:val="left"/>
              <w:rPr>
                <w:rFonts w:ascii="楷体" w:hAnsi="楷体" w:eastAsia="楷体"/>
                <w:b/>
                <w:sz w:val="18"/>
                <w:szCs w:val="18"/>
                <w:highlight w:val="none"/>
              </w:rPr>
            </w:pPr>
            <w:r>
              <w:rPr>
                <w:rFonts w:hint="eastAsia" w:ascii="楷体" w:hAnsi="楷体" w:eastAsia="楷体"/>
                <w:b/>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8" w:type="pct"/>
            <w:noWrap w:val="0"/>
            <w:vAlign w:val="top"/>
          </w:tcPr>
          <w:p>
            <w:pPr>
              <w:jc w:val="center"/>
              <w:rPr>
                <w:rFonts w:ascii="楷体" w:hAnsi="楷体" w:eastAsia="楷体"/>
                <w:b/>
                <w:sz w:val="18"/>
                <w:szCs w:val="18"/>
                <w:highlight w:val="none"/>
              </w:rPr>
            </w:pPr>
            <w:r>
              <w:rPr>
                <w:rFonts w:hint="eastAsia" w:ascii="楷体" w:hAnsi="楷体" w:eastAsia="楷体"/>
                <w:b/>
                <w:sz w:val="18"/>
                <w:szCs w:val="18"/>
                <w:highlight w:val="none"/>
              </w:rPr>
              <w:t>检查项目</w:t>
            </w:r>
          </w:p>
        </w:tc>
        <w:tc>
          <w:tcPr>
            <w:tcW w:w="4102" w:type="pct"/>
            <w:gridSpan w:val="2"/>
            <w:noWrap w:val="0"/>
            <w:vAlign w:val="top"/>
          </w:tcPr>
          <w:p>
            <w:pPr>
              <w:jc w:val="left"/>
              <w:rPr>
                <w:rFonts w:ascii="楷体" w:hAnsi="楷体" w:eastAsia="楷体"/>
                <w:b/>
                <w:sz w:val="18"/>
                <w:szCs w:val="18"/>
                <w:highlight w:val="none"/>
              </w:rPr>
            </w:pPr>
            <w:r>
              <w:rPr>
                <w:rFonts w:hint="eastAsia" w:ascii="楷体" w:hAnsi="楷体" w:eastAsia="楷体"/>
                <w:b/>
                <w:sz w:val="18"/>
                <w:szCs w:val="18"/>
                <w:highlight w:val="none"/>
              </w:rPr>
              <w:t>赣州高速公路有限责任公司机关大院绿化日常管养项目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pct"/>
            <w:noWrap w:val="0"/>
            <w:vAlign w:val="top"/>
          </w:tcPr>
          <w:p>
            <w:pPr>
              <w:jc w:val="center"/>
              <w:rPr>
                <w:rFonts w:ascii="楷体" w:hAnsi="楷体" w:eastAsia="楷体"/>
                <w:b/>
                <w:sz w:val="18"/>
                <w:szCs w:val="18"/>
                <w:highlight w:val="none"/>
              </w:rPr>
            </w:pPr>
            <w:r>
              <w:rPr>
                <w:rFonts w:hint="eastAsia" w:ascii="楷体" w:hAnsi="楷体" w:eastAsia="楷体"/>
                <w:b/>
                <w:sz w:val="18"/>
                <w:szCs w:val="18"/>
                <w:highlight w:val="none"/>
              </w:rPr>
              <w:t>检查次数</w:t>
            </w:r>
          </w:p>
        </w:tc>
        <w:tc>
          <w:tcPr>
            <w:tcW w:w="4102" w:type="pct"/>
            <w:gridSpan w:val="2"/>
            <w:noWrap w:val="0"/>
            <w:vAlign w:val="top"/>
          </w:tcPr>
          <w:p>
            <w:pPr>
              <w:jc w:val="left"/>
              <w:rPr>
                <w:rFonts w:ascii="楷体" w:hAnsi="楷体" w:eastAsia="楷体"/>
                <w:b/>
                <w:sz w:val="18"/>
                <w:szCs w:val="18"/>
                <w:highlight w:val="none"/>
              </w:rPr>
            </w:pPr>
            <w:r>
              <w:rPr>
                <w:rFonts w:hint="eastAsia" w:ascii="楷体" w:hAnsi="楷体" w:eastAsia="楷体"/>
                <w:b/>
                <w:sz w:val="18"/>
                <w:szCs w:val="18"/>
                <w:highlight w:val="none"/>
              </w:rPr>
              <w:t>第</w:t>
            </w:r>
            <w:r>
              <w:rPr>
                <w:rFonts w:hint="eastAsia" w:ascii="楷体" w:hAnsi="楷体" w:eastAsia="楷体"/>
                <w:b/>
                <w:sz w:val="18"/>
                <w:szCs w:val="18"/>
                <w:highlight w:val="none"/>
                <w:u w:val="single"/>
              </w:rPr>
              <w:t xml:space="preserve"> </w:t>
            </w:r>
            <w:r>
              <w:rPr>
                <w:rFonts w:ascii="楷体" w:hAnsi="楷体" w:eastAsia="楷体"/>
                <w:b/>
                <w:sz w:val="18"/>
                <w:szCs w:val="18"/>
                <w:highlight w:val="none"/>
                <w:u w:val="single"/>
              </w:rPr>
              <w:t xml:space="preserve">  </w:t>
            </w:r>
            <w:r>
              <w:rPr>
                <w:rFonts w:hint="eastAsia" w:ascii="楷体" w:hAnsi="楷体" w:eastAsia="楷体"/>
                <w:b/>
                <w:sz w:val="18"/>
                <w:szCs w:val="18"/>
                <w:highlight w:val="none"/>
                <w:u w:val="single"/>
              </w:rPr>
              <w:t xml:space="preserve"> </w:t>
            </w:r>
            <w:r>
              <w:rPr>
                <w:rFonts w:hint="eastAsia" w:ascii="楷体" w:hAnsi="楷体" w:eastAsia="楷体"/>
                <w:b/>
                <w:sz w:val="18"/>
                <w:szCs w:val="18"/>
                <w:highlight w:val="none"/>
              </w:rPr>
              <w:t>次绿化管养检查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 w:hRule="atLeast"/>
        </w:trPr>
        <w:tc>
          <w:tcPr>
            <w:tcW w:w="898" w:type="pct"/>
            <w:tcBorders>
              <w:bottom w:val="single" w:color="auto" w:sz="4" w:space="0"/>
            </w:tcBorders>
            <w:noWrap w:val="0"/>
            <w:vAlign w:val="top"/>
          </w:tcPr>
          <w:p>
            <w:pPr>
              <w:jc w:val="center"/>
              <w:rPr>
                <w:rFonts w:ascii="楷体" w:hAnsi="楷体" w:eastAsia="楷体"/>
                <w:b/>
                <w:sz w:val="18"/>
                <w:szCs w:val="18"/>
                <w:highlight w:val="none"/>
              </w:rPr>
            </w:pPr>
            <w:r>
              <w:rPr>
                <w:rFonts w:hint="eastAsia" w:ascii="楷体" w:hAnsi="楷体" w:eastAsia="楷体"/>
                <w:b/>
                <w:sz w:val="18"/>
                <w:szCs w:val="18"/>
                <w:highlight w:val="none"/>
              </w:rPr>
              <w:t>管养时段</w:t>
            </w:r>
          </w:p>
        </w:tc>
        <w:tc>
          <w:tcPr>
            <w:tcW w:w="3727" w:type="pct"/>
            <w:noWrap w:val="0"/>
            <w:vAlign w:val="top"/>
          </w:tcPr>
          <w:p>
            <w:pPr>
              <w:ind w:firstLine="420"/>
              <w:jc w:val="left"/>
              <w:rPr>
                <w:rFonts w:ascii="楷体" w:hAnsi="楷体" w:eastAsia="楷体"/>
                <w:b/>
                <w:sz w:val="18"/>
                <w:szCs w:val="18"/>
                <w:highlight w:val="none"/>
              </w:rPr>
            </w:pPr>
            <w:r>
              <w:rPr>
                <w:rFonts w:hint="eastAsia" w:ascii="楷体" w:hAnsi="楷体" w:eastAsia="楷体"/>
                <w:b/>
                <w:sz w:val="18"/>
                <w:szCs w:val="18"/>
                <w:highlight w:val="none"/>
              </w:rPr>
              <w:t xml:space="preserve">年  </w:t>
            </w:r>
            <w:r>
              <w:rPr>
                <w:rFonts w:ascii="楷体" w:hAnsi="楷体" w:eastAsia="楷体"/>
                <w:b/>
                <w:sz w:val="18"/>
                <w:szCs w:val="18"/>
                <w:highlight w:val="none"/>
              </w:rPr>
              <w:t xml:space="preserve"> </w:t>
            </w:r>
            <w:r>
              <w:rPr>
                <w:rFonts w:hint="eastAsia" w:ascii="楷体" w:hAnsi="楷体" w:eastAsia="楷体"/>
                <w:b/>
                <w:sz w:val="18"/>
                <w:szCs w:val="18"/>
                <w:highlight w:val="none"/>
              </w:rPr>
              <w:t xml:space="preserve">月  </w:t>
            </w:r>
            <w:r>
              <w:rPr>
                <w:rFonts w:ascii="楷体" w:hAnsi="楷体" w:eastAsia="楷体"/>
                <w:b/>
                <w:sz w:val="18"/>
                <w:szCs w:val="18"/>
                <w:highlight w:val="none"/>
              </w:rPr>
              <w:t xml:space="preserve"> </w:t>
            </w:r>
            <w:r>
              <w:rPr>
                <w:rFonts w:hint="eastAsia" w:ascii="楷体" w:hAnsi="楷体" w:eastAsia="楷体"/>
                <w:b/>
                <w:sz w:val="18"/>
                <w:szCs w:val="18"/>
                <w:highlight w:val="none"/>
              </w:rPr>
              <w:t xml:space="preserve">日起至 </w:t>
            </w:r>
            <w:r>
              <w:rPr>
                <w:rFonts w:ascii="楷体" w:hAnsi="楷体" w:eastAsia="楷体"/>
                <w:b/>
                <w:sz w:val="18"/>
                <w:szCs w:val="18"/>
                <w:highlight w:val="none"/>
              </w:rPr>
              <w:t xml:space="preserve"> </w:t>
            </w:r>
            <w:r>
              <w:rPr>
                <w:rFonts w:hint="eastAsia" w:ascii="楷体" w:hAnsi="楷体" w:eastAsia="楷体"/>
                <w:b/>
                <w:sz w:val="18"/>
                <w:szCs w:val="18"/>
                <w:highlight w:val="none"/>
              </w:rPr>
              <w:t xml:space="preserve"> </w:t>
            </w:r>
            <w:r>
              <w:rPr>
                <w:rFonts w:ascii="楷体" w:hAnsi="楷体" w:eastAsia="楷体"/>
                <w:b/>
                <w:sz w:val="18"/>
                <w:szCs w:val="18"/>
                <w:highlight w:val="none"/>
              </w:rPr>
              <w:t xml:space="preserve">  </w:t>
            </w:r>
            <w:r>
              <w:rPr>
                <w:rFonts w:hint="eastAsia" w:ascii="楷体" w:hAnsi="楷体" w:eastAsia="楷体"/>
                <w:b/>
                <w:sz w:val="18"/>
                <w:szCs w:val="18"/>
                <w:highlight w:val="none"/>
              </w:rPr>
              <w:t xml:space="preserve">年  </w:t>
            </w:r>
            <w:r>
              <w:rPr>
                <w:rFonts w:ascii="楷体" w:hAnsi="楷体" w:eastAsia="楷体"/>
                <w:b/>
                <w:sz w:val="18"/>
                <w:szCs w:val="18"/>
                <w:highlight w:val="none"/>
              </w:rPr>
              <w:t xml:space="preserve"> </w:t>
            </w:r>
            <w:r>
              <w:rPr>
                <w:rFonts w:hint="eastAsia" w:ascii="楷体" w:hAnsi="楷体" w:eastAsia="楷体"/>
                <w:b/>
                <w:sz w:val="18"/>
                <w:szCs w:val="18"/>
                <w:highlight w:val="none"/>
              </w:rPr>
              <w:t xml:space="preserve">月  </w:t>
            </w:r>
            <w:r>
              <w:rPr>
                <w:rFonts w:ascii="楷体" w:hAnsi="楷体" w:eastAsia="楷体"/>
                <w:b/>
                <w:sz w:val="18"/>
                <w:szCs w:val="18"/>
                <w:highlight w:val="none"/>
              </w:rPr>
              <w:t xml:space="preserve"> </w:t>
            </w:r>
            <w:r>
              <w:rPr>
                <w:rFonts w:hint="eastAsia" w:ascii="楷体" w:hAnsi="楷体" w:eastAsia="楷体"/>
                <w:b/>
                <w:sz w:val="18"/>
                <w:szCs w:val="18"/>
                <w:highlight w:val="none"/>
              </w:rPr>
              <w:t>日</w:t>
            </w:r>
          </w:p>
        </w:tc>
        <w:tc>
          <w:tcPr>
            <w:tcW w:w="375" w:type="pct"/>
            <w:noWrap w:val="0"/>
            <w:vAlign w:val="top"/>
          </w:tcPr>
          <w:p>
            <w:pPr>
              <w:jc w:val="center"/>
              <w:rPr>
                <w:rFonts w:ascii="楷体" w:hAnsi="楷体" w:eastAsia="楷体"/>
                <w:b/>
                <w:sz w:val="18"/>
                <w:szCs w:val="18"/>
                <w:highlight w:val="none"/>
              </w:rPr>
            </w:pPr>
            <w:r>
              <w:rPr>
                <w:rFonts w:hint="eastAsia" w:ascii="楷体" w:hAnsi="楷体" w:eastAsia="楷体"/>
                <w:b/>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8" w:type="pct"/>
            <w:vMerge w:val="restart"/>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1、景观（20分）</w:t>
            </w:r>
          </w:p>
        </w:tc>
        <w:tc>
          <w:tcPr>
            <w:tcW w:w="3727" w:type="pct"/>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1</w:t>
            </w:r>
            <w:r>
              <w:rPr>
                <w:rFonts w:ascii="楷体" w:hAnsi="楷体" w:eastAsia="楷体"/>
                <w:sz w:val="18"/>
                <w:szCs w:val="18"/>
                <w:highlight w:val="none"/>
              </w:rPr>
              <w:t>.1</w:t>
            </w:r>
            <w:r>
              <w:rPr>
                <w:rFonts w:hint="eastAsia" w:ascii="楷体" w:hAnsi="楷体" w:eastAsia="楷体"/>
                <w:sz w:val="18"/>
                <w:szCs w:val="18"/>
                <w:highlight w:val="none"/>
              </w:rPr>
              <w:t>根据设计意图体现植物造景，管养精细，生长茂盛，景观良好，绿地无黄土裸露。（8分）</w:t>
            </w:r>
          </w:p>
        </w:tc>
        <w:tc>
          <w:tcPr>
            <w:tcW w:w="375" w:type="pct"/>
            <w:noWrap w:val="0"/>
            <w:vAlign w:val="top"/>
          </w:tcPr>
          <w:p>
            <w:pPr>
              <w:jc w:val="left"/>
              <w:rPr>
                <w:rFonts w:ascii="楷体" w:hAnsi="楷体" w:eastAsia="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98" w:type="pct"/>
            <w:vMerge w:val="continue"/>
            <w:noWrap w:val="0"/>
            <w:vAlign w:val="center"/>
          </w:tcPr>
          <w:p>
            <w:pPr>
              <w:jc w:val="center"/>
              <w:rPr>
                <w:rFonts w:ascii="楷体" w:hAnsi="楷体" w:eastAsia="楷体"/>
                <w:sz w:val="18"/>
                <w:szCs w:val="18"/>
                <w:highlight w:val="none"/>
              </w:rPr>
            </w:pPr>
          </w:p>
        </w:tc>
        <w:tc>
          <w:tcPr>
            <w:tcW w:w="3727" w:type="pct"/>
            <w:tcBorders>
              <w:bottom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1</w:t>
            </w:r>
            <w:r>
              <w:rPr>
                <w:rFonts w:ascii="楷体" w:hAnsi="楷体" w:eastAsia="楷体"/>
                <w:sz w:val="18"/>
                <w:szCs w:val="18"/>
                <w:highlight w:val="none"/>
              </w:rPr>
              <w:t>.</w:t>
            </w:r>
            <w:r>
              <w:rPr>
                <w:rFonts w:hint="eastAsia" w:ascii="楷体" w:hAnsi="楷体" w:eastAsia="楷体"/>
                <w:sz w:val="18"/>
                <w:szCs w:val="18"/>
                <w:highlight w:val="none"/>
              </w:rPr>
              <w:t>2确保所有绿化花木长势良好，绿化成活面积达95%以上，乔木、大灌木成活率达98%以上，小灌木成活面积达95%以上。（8分）</w:t>
            </w:r>
          </w:p>
        </w:tc>
        <w:tc>
          <w:tcPr>
            <w:tcW w:w="375" w:type="pct"/>
            <w:tcBorders>
              <w:bottom w:val="single" w:color="auto" w:sz="4" w:space="0"/>
            </w:tcBorders>
            <w:noWrap w:val="0"/>
            <w:vAlign w:val="top"/>
          </w:tcPr>
          <w:p>
            <w:pPr>
              <w:jc w:val="left"/>
              <w:rPr>
                <w:rFonts w:ascii="楷体" w:hAnsi="楷体" w:eastAsia="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898" w:type="pct"/>
            <w:vMerge w:val="continue"/>
            <w:noWrap w:val="0"/>
            <w:vAlign w:val="center"/>
          </w:tcPr>
          <w:p>
            <w:pPr>
              <w:jc w:val="center"/>
              <w:rPr>
                <w:rFonts w:ascii="楷体" w:hAnsi="楷体" w:eastAsia="楷体"/>
                <w:sz w:val="18"/>
                <w:szCs w:val="18"/>
                <w:highlight w:val="none"/>
              </w:rPr>
            </w:pPr>
          </w:p>
        </w:tc>
        <w:tc>
          <w:tcPr>
            <w:tcW w:w="3727" w:type="pct"/>
            <w:tcBorders>
              <w:bottom w:val="single" w:color="auto" w:sz="4" w:space="0"/>
            </w:tcBorders>
            <w:noWrap w:val="0"/>
            <w:vAlign w:val="top"/>
          </w:tcPr>
          <w:p>
            <w:pPr>
              <w:jc w:val="left"/>
              <w:rPr>
                <w:rFonts w:hint="eastAsia" w:ascii="楷体" w:hAnsi="楷体" w:eastAsia="楷体"/>
                <w:sz w:val="18"/>
                <w:szCs w:val="18"/>
                <w:highlight w:val="none"/>
              </w:rPr>
            </w:pPr>
            <w:r>
              <w:rPr>
                <w:rFonts w:hint="eastAsia" w:ascii="楷体" w:hAnsi="楷体" w:eastAsia="楷体"/>
                <w:sz w:val="18"/>
                <w:szCs w:val="18"/>
                <w:highlight w:val="none"/>
              </w:rPr>
              <w:t>1.3树木修剪美观、绿地内无残留枝叶，苗木与草坪衔接流畅，能及时很好的解决树木与电线、建筑物、交通等之间的矛盾。（4分）</w:t>
            </w:r>
          </w:p>
        </w:tc>
        <w:tc>
          <w:tcPr>
            <w:tcW w:w="375" w:type="pct"/>
            <w:tcBorders>
              <w:bottom w:val="single" w:color="auto" w:sz="4" w:space="0"/>
            </w:tcBorders>
            <w:noWrap w:val="0"/>
            <w:vAlign w:val="top"/>
          </w:tcPr>
          <w:p>
            <w:pPr>
              <w:jc w:val="left"/>
              <w:rPr>
                <w:rFonts w:ascii="楷体" w:hAnsi="楷体" w:eastAsia="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98" w:type="pct"/>
            <w:tcBorders>
              <w:bottom w:val="single" w:color="auto" w:sz="4" w:space="0"/>
            </w:tcBorders>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2、浇溉（1</w:t>
            </w:r>
            <w:r>
              <w:rPr>
                <w:rFonts w:ascii="楷体" w:hAnsi="楷体" w:eastAsia="楷体"/>
                <w:sz w:val="18"/>
                <w:szCs w:val="18"/>
                <w:highlight w:val="none"/>
              </w:rPr>
              <w:t>0</w:t>
            </w:r>
            <w:r>
              <w:rPr>
                <w:rFonts w:hint="eastAsia" w:ascii="楷体" w:hAnsi="楷体" w:eastAsia="楷体"/>
                <w:sz w:val="18"/>
                <w:szCs w:val="18"/>
                <w:highlight w:val="none"/>
              </w:rPr>
              <w:t>分）</w:t>
            </w:r>
          </w:p>
        </w:tc>
        <w:tc>
          <w:tcPr>
            <w:tcW w:w="3727" w:type="pct"/>
            <w:tcBorders>
              <w:bottom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2</w:t>
            </w:r>
            <w:r>
              <w:rPr>
                <w:rFonts w:ascii="楷体" w:hAnsi="楷体" w:eastAsia="楷体"/>
                <w:sz w:val="18"/>
                <w:szCs w:val="18"/>
                <w:highlight w:val="none"/>
              </w:rPr>
              <w:t>.1</w:t>
            </w:r>
            <w:r>
              <w:rPr>
                <w:rFonts w:hint="eastAsia" w:ascii="楷体" w:hAnsi="楷体" w:eastAsia="楷体"/>
                <w:sz w:val="18"/>
                <w:szCs w:val="18"/>
                <w:highlight w:val="none"/>
              </w:rPr>
              <w:t>适时浇灌花草、树木和绿地，植物长势良好，不出现干旱、水涝引发大面积枯萎或死亡现象。（1</w:t>
            </w:r>
            <w:r>
              <w:rPr>
                <w:rFonts w:ascii="楷体" w:hAnsi="楷体" w:eastAsia="楷体"/>
                <w:sz w:val="18"/>
                <w:szCs w:val="18"/>
                <w:highlight w:val="none"/>
              </w:rPr>
              <w:t>0</w:t>
            </w:r>
            <w:r>
              <w:rPr>
                <w:rFonts w:hint="eastAsia" w:ascii="楷体" w:hAnsi="楷体" w:eastAsia="楷体"/>
                <w:sz w:val="18"/>
                <w:szCs w:val="18"/>
                <w:highlight w:val="none"/>
              </w:rPr>
              <w:t>分）</w:t>
            </w:r>
          </w:p>
        </w:tc>
        <w:tc>
          <w:tcPr>
            <w:tcW w:w="375" w:type="pct"/>
            <w:tcBorders>
              <w:bottom w:val="single" w:color="auto" w:sz="4" w:space="0"/>
            </w:tcBorders>
            <w:noWrap w:val="0"/>
            <w:vAlign w:val="top"/>
          </w:tcPr>
          <w:p>
            <w:pPr>
              <w:jc w:val="left"/>
              <w:rPr>
                <w:rFonts w:ascii="楷体" w:hAnsi="楷体" w:eastAsia="楷体"/>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18"/>
                <w:szCs w:val="18"/>
                <w:highlight w:val="none"/>
              </w:rPr>
            </w:pPr>
            <w:r>
              <w:rPr>
                <w:rFonts w:ascii="楷体" w:hAnsi="楷体" w:eastAsia="楷体"/>
                <w:sz w:val="18"/>
                <w:szCs w:val="18"/>
                <w:highlight w:val="none"/>
              </w:rPr>
              <w:t>3</w:t>
            </w:r>
            <w:r>
              <w:rPr>
                <w:rFonts w:hint="eastAsia" w:ascii="楷体" w:hAnsi="楷体" w:eastAsia="楷体"/>
                <w:sz w:val="18"/>
                <w:szCs w:val="18"/>
                <w:highlight w:val="none"/>
              </w:rPr>
              <w:t>、施肥（10分）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ascii="楷体" w:hAnsi="楷体" w:eastAsia="楷体"/>
                <w:sz w:val="18"/>
                <w:szCs w:val="18"/>
                <w:highlight w:val="none"/>
              </w:rPr>
              <w:t xml:space="preserve">3.1 </w:t>
            </w:r>
            <w:r>
              <w:rPr>
                <w:rFonts w:hint="eastAsia" w:ascii="楷体" w:hAnsi="楷体" w:eastAsia="楷体"/>
                <w:sz w:val="18"/>
                <w:szCs w:val="18"/>
                <w:highlight w:val="none"/>
              </w:rPr>
              <w:t>根据土壤环境，各类植物的生长特点施肥，草坪每年施肥2-</w:t>
            </w:r>
            <w:r>
              <w:rPr>
                <w:rFonts w:ascii="楷体" w:hAnsi="楷体" w:eastAsia="楷体"/>
                <w:sz w:val="18"/>
                <w:szCs w:val="18"/>
                <w:highlight w:val="none"/>
              </w:rPr>
              <w:t>3</w:t>
            </w:r>
            <w:r>
              <w:rPr>
                <w:rFonts w:hint="eastAsia" w:ascii="楷体" w:hAnsi="楷体" w:eastAsia="楷体"/>
                <w:sz w:val="18"/>
                <w:szCs w:val="18"/>
                <w:highlight w:val="none"/>
              </w:rPr>
              <w:t>次，花木每年施肥3-</w:t>
            </w:r>
            <w:r>
              <w:rPr>
                <w:rFonts w:ascii="楷体" w:hAnsi="楷体" w:eastAsia="楷体"/>
                <w:sz w:val="18"/>
                <w:szCs w:val="18"/>
                <w:highlight w:val="none"/>
              </w:rPr>
              <w:t>4</w:t>
            </w:r>
            <w:r>
              <w:rPr>
                <w:rFonts w:hint="eastAsia" w:ascii="楷体" w:hAnsi="楷体" w:eastAsia="楷体"/>
                <w:sz w:val="18"/>
                <w:szCs w:val="18"/>
                <w:highlight w:val="none"/>
              </w:rPr>
              <w:t>次，施肥均匀，充足，适度，绿化植物生长旺盛，枝叶茂盛。（10分）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18"/>
                <w:szCs w:val="18"/>
                <w:highlight w:val="none"/>
              </w:rPr>
            </w:pPr>
            <w:r>
              <w:rPr>
                <w:rFonts w:hint="eastAsia" w:ascii="楷体" w:hAnsi="楷体" w:eastAsia="楷体"/>
                <w:sz w:val="18"/>
                <w:szCs w:val="18"/>
                <w:highlight w:val="none"/>
              </w:rPr>
              <w:t>4、防治病虫（5分）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4</w:t>
            </w:r>
            <w:r>
              <w:rPr>
                <w:rFonts w:ascii="楷体" w:hAnsi="楷体" w:eastAsia="楷体"/>
                <w:sz w:val="18"/>
                <w:szCs w:val="18"/>
                <w:highlight w:val="none"/>
              </w:rPr>
              <w:t>.1</w:t>
            </w:r>
            <w:r>
              <w:rPr>
                <w:rFonts w:hint="eastAsia" w:ascii="楷体" w:hAnsi="楷体" w:eastAsia="楷体"/>
                <w:sz w:val="18"/>
                <w:szCs w:val="18"/>
                <w:highlight w:val="none"/>
              </w:rPr>
              <w:t>做好病虫害防治，以防为主，及时控制病虫危害，不影响观赏效果。（5分）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vMerge w:val="restart"/>
            <w:tcBorders>
              <w:top w:val="single" w:color="auto" w:sz="4" w:space="0"/>
              <w:left w:val="single" w:color="auto" w:sz="4" w:space="0"/>
              <w:right w:val="single" w:color="auto" w:sz="4" w:space="0"/>
            </w:tcBorders>
            <w:noWrap w:val="0"/>
            <w:vAlign w:val="center"/>
          </w:tcPr>
          <w:p>
            <w:pPr>
              <w:rPr>
                <w:rFonts w:ascii="楷体" w:hAnsi="楷体" w:eastAsia="楷体"/>
                <w:sz w:val="18"/>
                <w:szCs w:val="18"/>
                <w:highlight w:val="none"/>
              </w:rPr>
            </w:pPr>
            <w:r>
              <w:rPr>
                <w:rFonts w:ascii="楷体" w:hAnsi="楷体" w:eastAsia="楷体"/>
                <w:sz w:val="18"/>
                <w:szCs w:val="18"/>
                <w:highlight w:val="none"/>
              </w:rPr>
              <w:t>5</w:t>
            </w:r>
            <w:r>
              <w:rPr>
                <w:rFonts w:hint="eastAsia" w:ascii="楷体" w:hAnsi="楷体" w:eastAsia="楷体"/>
                <w:sz w:val="18"/>
                <w:szCs w:val="18"/>
                <w:highlight w:val="none"/>
              </w:rPr>
              <w:t>、修剪（15分）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ascii="楷体" w:hAnsi="楷体" w:eastAsia="楷体"/>
                <w:sz w:val="18"/>
                <w:szCs w:val="18"/>
                <w:highlight w:val="none"/>
              </w:rPr>
              <w:t>5.1</w:t>
            </w:r>
            <w:r>
              <w:rPr>
                <w:rFonts w:hint="eastAsia" w:ascii="楷体" w:hAnsi="楷体" w:eastAsia="楷体"/>
                <w:sz w:val="18"/>
                <w:szCs w:val="18"/>
                <w:highlight w:val="none"/>
              </w:rPr>
              <w:t>树木树冠基本完整，主侧枝分布均称，通风透光，造型美观。（5分）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rPr>
          <w:trHeight w:val="461" w:hRule="atLeast"/>
        </w:trPr>
        <w:tc>
          <w:tcPr>
            <w:tcW w:w="898" w:type="pct"/>
            <w:vMerge w:val="continue"/>
            <w:tcBorders>
              <w:left w:val="single" w:color="auto" w:sz="4" w:space="0"/>
              <w:right w:val="single" w:color="auto" w:sz="4" w:space="0"/>
            </w:tcBorders>
            <w:noWrap w:val="0"/>
            <w:vAlign w:val="center"/>
          </w:tcPr>
          <w:p>
            <w:pPr>
              <w:jc w:val="center"/>
              <w:rPr>
                <w:rFonts w:ascii="楷体" w:hAnsi="楷体" w:eastAsia="楷体"/>
                <w:sz w:val="18"/>
                <w:szCs w:val="18"/>
                <w:highlight w:val="none"/>
              </w:rPr>
            </w:pP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6"/>
                <w:szCs w:val="16"/>
                <w:highlight w:val="none"/>
              </w:rPr>
            </w:pPr>
            <w:r>
              <w:rPr>
                <w:rFonts w:ascii="楷体" w:hAnsi="楷体" w:eastAsia="楷体"/>
                <w:sz w:val="16"/>
                <w:szCs w:val="16"/>
                <w:highlight w:val="none"/>
              </w:rPr>
              <w:t>5.2</w:t>
            </w:r>
            <w:r>
              <w:rPr>
                <w:rFonts w:hint="eastAsia" w:ascii="楷体" w:hAnsi="楷体" w:eastAsia="楷体"/>
                <w:sz w:val="16"/>
                <w:szCs w:val="16"/>
                <w:highlight w:val="none"/>
              </w:rPr>
              <w:t>绿篱要求离地高度一致，上、下线要求平行，方形块，圆形，弧形等图形要修整美观。（5分）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 w:type="pct"/>
            <w:vMerge w:val="continue"/>
            <w:tcBorders>
              <w:left w:val="single" w:color="auto" w:sz="4" w:space="0"/>
              <w:bottom w:val="single" w:color="auto" w:sz="4" w:space="0"/>
              <w:right w:val="single" w:color="auto" w:sz="4" w:space="0"/>
            </w:tcBorders>
            <w:noWrap w:val="0"/>
            <w:vAlign w:val="center"/>
          </w:tcPr>
          <w:p>
            <w:pPr>
              <w:jc w:val="center"/>
              <w:rPr>
                <w:rFonts w:ascii="楷体" w:hAnsi="楷体" w:eastAsia="楷体"/>
                <w:sz w:val="18"/>
                <w:szCs w:val="18"/>
                <w:highlight w:val="none"/>
              </w:rPr>
            </w:pP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ascii="楷体" w:hAnsi="楷体" w:eastAsia="楷体"/>
                <w:sz w:val="18"/>
                <w:szCs w:val="18"/>
                <w:highlight w:val="none"/>
              </w:rPr>
              <w:t>5.3</w:t>
            </w:r>
            <w:r>
              <w:rPr>
                <w:rFonts w:hint="eastAsia" w:ascii="楷体" w:hAnsi="楷体" w:eastAsia="楷体"/>
                <w:sz w:val="18"/>
                <w:szCs w:val="18"/>
                <w:highlight w:val="none"/>
              </w:rPr>
              <w:t>草地要求草的高度一致，整齐美观，无疯长，无连续空白0</w:t>
            </w:r>
            <w:r>
              <w:rPr>
                <w:rFonts w:ascii="楷体" w:hAnsi="楷体" w:eastAsia="楷体"/>
                <w:sz w:val="18"/>
                <w:szCs w:val="18"/>
                <w:highlight w:val="none"/>
              </w:rPr>
              <w:t>.5</w:t>
            </w:r>
            <w:r>
              <w:rPr>
                <w:rFonts w:hint="eastAsia" w:ascii="楷体" w:hAnsi="楷体" w:eastAsia="楷体"/>
                <w:sz w:val="18"/>
                <w:szCs w:val="18"/>
                <w:highlight w:val="none"/>
              </w:rPr>
              <w:t>㎡以上现象。（</w:t>
            </w:r>
            <w:r>
              <w:rPr>
                <w:rFonts w:ascii="楷体" w:hAnsi="楷体" w:eastAsia="楷体"/>
                <w:sz w:val="18"/>
                <w:szCs w:val="18"/>
                <w:highlight w:val="none"/>
              </w:rPr>
              <w:t>5</w:t>
            </w:r>
            <w:r>
              <w:rPr>
                <w:rFonts w:hint="eastAsia" w:ascii="楷体" w:hAnsi="楷体" w:eastAsia="楷体"/>
                <w:sz w:val="18"/>
                <w:szCs w:val="18"/>
                <w:highlight w:val="none"/>
              </w:rPr>
              <w:t>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6、除草（5分）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6</w:t>
            </w:r>
            <w:r>
              <w:rPr>
                <w:rFonts w:ascii="楷体" w:hAnsi="楷体" w:eastAsia="楷体"/>
                <w:sz w:val="18"/>
                <w:szCs w:val="18"/>
                <w:highlight w:val="none"/>
              </w:rPr>
              <w:t>.1</w:t>
            </w:r>
            <w:r>
              <w:rPr>
                <w:rFonts w:hint="eastAsia" w:ascii="楷体" w:hAnsi="楷体" w:eastAsia="楷体"/>
                <w:sz w:val="18"/>
                <w:szCs w:val="18"/>
                <w:highlight w:val="none"/>
              </w:rPr>
              <w:t>做好所有绿化地、草坪表面内外杂草清除干净和松土工作，平面上不露任何杂草，垃圾当天运送。（5分）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7、防灾（5分）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7</w:t>
            </w:r>
            <w:r>
              <w:rPr>
                <w:rFonts w:ascii="楷体" w:hAnsi="楷体" w:eastAsia="楷体"/>
                <w:sz w:val="18"/>
                <w:szCs w:val="18"/>
                <w:highlight w:val="none"/>
              </w:rPr>
              <w:t>.1</w:t>
            </w:r>
            <w:r>
              <w:rPr>
                <w:rFonts w:hint="eastAsia" w:ascii="楷体" w:hAnsi="楷体" w:eastAsia="楷体"/>
                <w:sz w:val="18"/>
                <w:szCs w:val="18"/>
                <w:highlight w:val="none"/>
              </w:rPr>
              <w:t>有防暴风雨，台风，冰冻雨措施，及时排涝，对危树及时修枝，加固或申报更换等措施遇灾及时组织进行抢扶。（5分）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18"/>
                <w:szCs w:val="18"/>
                <w:highlight w:val="none"/>
              </w:rPr>
            </w:pPr>
            <w:r>
              <w:rPr>
                <w:rFonts w:ascii="楷体" w:hAnsi="楷体" w:eastAsia="楷体"/>
                <w:sz w:val="18"/>
                <w:szCs w:val="18"/>
                <w:highlight w:val="none"/>
              </w:rPr>
              <w:t>8</w:t>
            </w:r>
            <w:r>
              <w:rPr>
                <w:rFonts w:hint="eastAsia" w:ascii="楷体" w:hAnsi="楷体" w:eastAsia="楷体"/>
                <w:sz w:val="18"/>
                <w:szCs w:val="18"/>
                <w:highlight w:val="none"/>
              </w:rPr>
              <w:t>、补植（5分）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8</w:t>
            </w:r>
            <w:r>
              <w:rPr>
                <w:rFonts w:ascii="楷体" w:hAnsi="楷体" w:eastAsia="楷体"/>
                <w:sz w:val="18"/>
                <w:szCs w:val="18"/>
                <w:highlight w:val="none"/>
              </w:rPr>
              <w:t>.1</w:t>
            </w:r>
            <w:r>
              <w:rPr>
                <w:rFonts w:hint="eastAsia" w:ascii="楷体" w:hAnsi="楷体" w:eastAsia="楷体"/>
                <w:sz w:val="18"/>
                <w:szCs w:val="18"/>
                <w:highlight w:val="none"/>
              </w:rPr>
              <w:t>对管理、营养不当造成的死亡植物，能够及时进行补植。（5分）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9、土质改良（5分）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楷体" w:hAnsi="楷体" w:eastAsia="楷体"/>
                <w:sz w:val="18"/>
                <w:szCs w:val="18"/>
                <w:highlight w:val="none"/>
              </w:rPr>
            </w:pPr>
            <w:r>
              <w:rPr>
                <w:rFonts w:hint="eastAsia" w:ascii="楷体" w:hAnsi="楷体" w:eastAsia="楷体"/>
                <w:sz w:val="18"/>
                <w:szCs w:val="18"/>
                <w:highlight w:val="none"/>
              </w:rPr>
              <w:t>9.1确保清除土壤上的杂草、清除土壤中的石块，人工撒铺有机肥料，保证土质的改良利于苗木成活率的提升。</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10.垃圾清运（5分）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楷体" w:hAnsi="楷体" w:eastAsia="楷体"/>
                <w:sz w:val="18"/>
                <w:szCs w:val="18"/>
                <w:highlight w:val="none"/>
              </w:rPr>
            </w:pPr>
            <w:r>
              <w:rPr>
                <w:rFonts w:hint="eastAsia" w:ascii="楷体" w:hAnsi="楷体" w:eastAsia="楷体"/>
                <w:sz w:val="18"/>
                <w:szCs w:val="18"/>
                <w:highlight w:val="none"/>
              </w:rPr>
              <w:t>10.1对绿化场区内垃圾进行收集、运输、转运和场区内清运后打扫，保证场区内整洁、干净、美观。（5分）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hint="eastAsia" w:ascii="楷体" w:hAnsi="楷体" w:eastAsia="楷体"/>
                <w:sz w:val="18"/>
                <w:szCs w:val="18"/>
                <w:highlight w:val="none"/>
              </w:rPr>
            </w:pPr>
            <w:r>
              <w:rPr>
                <w:rFonts w:hint="eastAsia" w:ascii="楷体" w:hAnsi="楷体" w:eastAsia="楷体"/>
                <w:sz w:val="18"/>
                <w:szCs w:val="18"/>
                <w:highlight w:val="none"/>
              </w:rPr>
              <w:t>11.人员考勤（10分）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楷体" w:hAnsi="楷体" w:eastAsia="楷体"/>
                <w:sz w:val="18"/>
                <w:szCs w:val="18"/>
                <w:highlight w:val="none"/>
              </w:rPr>
            </w:pPr>
            <w:r>
              <w:rPr>
                <w:rFonts w:hint="eastAsia" w:ascii="楷体" w:hAnsi="楷体" w:eastAsia="楷体"/>
                <w:sz w:val="18"/>
                <w:szCs w:val="18"/>
                <w:highlight w:val="none"/>
              </w:rPr>
              <w:t>11.1常驻至少3名绿化管养工人，并在管养期限对人员进行打卡考勤制度（每月人员现场绿化管养打卡天数不少于22天，且每日指纹考勤打卡4次）。（10分）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vMerge w:val="restart"/>
            <w:tcBorders>
              <w:top w:val="single" w:color="auto" w:sz="4" w:space="0"/>
              <w:left w:val="single" w:color="auto" w:sz="4" w:space="0"/>
              <w:right w:val="single" w:color="auto" w:sz="4" w:space="0"/>
            </w:tcBorders>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12、其他（5分）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12</w:t>
            </w:r>
            <w:r>
              <w:rPr>
                <w:rFonts w:ascii="楷体" w:hAnsi="楷体" w:eastAsia="楷体"/>
                <w:sz w:val="18"/>
                <w:szCs w:val="18"/>
                <w:highlight w:val="none"/>
              </w:rPr>
              <w:t>.1</w:t>
            </w:r>
            <w:r>
              <w:rPr>
                <w:rFonts w:hint="eastAsia" w:ascii="楷体" w:hAnsi="楷体" w:eastAsia="楷体"/>
                <w:sz w:val="18"/>
                <w:szCs w:val="18"/>
                <w:highlight w:val="none"/>
              </w:rPr>
              <w:t>管养人员必须按规范作业，并设置必要的安全防护措施，做到安全，文明作业。绿化辅助设施分布合理、放置整齐、安全、平整、完好、美观。（2.5分）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 w:type="pct"/>
            <w:vMerge w:val="continue"/>
            <w:tcBorders>
              <w:left w:val="single" w:color="auto" w:sz="4" w:space="0"/>
              <w:right w:val="single" w:color="auto" w:sz="4" w:space="0"/>
            </w:tcBorders>
            <w:noWrap w:val="0"/>
            <w:vAlign w:val="top"/>
          </w:tcPr>
          <w:p>
            <w:pPr>
              <w:jc w:val="center"/>
              <w:rPr>
                <w:rFonts w:ascii="楷体" w:hAnsi="楷体" w:eastAsia="楷体"/>
                <w:sz w:val="18"/>
                <w:szCs w:val="18"/>
                <w:highlight w:val="none"/>
              </w:rPr>
            </w:pP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12</w:t>
            </w:r>
            <w:r>
              <w:rPr>
                <w:rFonts w:ascii="楷体" w:hAnsi="楷体" w:eastAsia="楷体"/>
                <w:sz w:val="18"/>
                <w:szCs w:val="18"/>
                <w:highlight w:val="none"/>
              </w:rPr>
              <w:t>.2</w:t>
            </w:r>
            <w:r>
              <w:rPr>
                <w:rFonts w:hint="eastAsia" w:ascii="楷体" w:hAnsi="楷体" w:eastAsia="楷体"/>
                <w:sz w:val="18"/>
                <w:szCs w:val="18"/>
                <w:highlight w:val="none"/>
              </w:rPr>
              <w:t>做好对土质较差或土壤流失严重的植物进行必要的培土。（2.5分）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top"/>
          </w:tcPr>
          <w:p>
            <w:pPr>
              <w:jc w:val="center"/>
              <w:rPr>
                <w:rFonts w:ascii="楷体" w:hAnsi="楷体" w:eastAsia="楷体"/>
                <w:b/>
                <w:sz w:val="15"/>
                <w:szCs w:val="15"/>
                <w:highlight w:val="none"/>
              </w:rPr>
            </w:pPr>
            <w:r>
              <w:rPr>
                <w:rFonts w:hint="eastAsia" w:ascii="楷体" w:hAnsi="楷体" w:eastAsia="楷体"/>
                <w:b/>
                <w:sz w:val="15"/>
                <w:szCs w:val="15"/>
                <w:highlight w:val="none"/>
              </w:rPr>
              <w:t>总体评价及总得分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Cs w:val="21"/>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top"/>
          </w:tcPr>
          <w:p>
            <w:pPr>
              <w:rPr>
                <w:rFonts w:ascii="楷体" w:hAnsi="楷体" w:eastAsia="楷体"/>
                <w:b/>
                <w:sz w:val="15"/>
                <w:szCs w:val="15"/>
                <w:highlight w:val="none"/>
              </w:rPr>
            </w:pPr>
            <w:r>
              <w:rPr>
                <w:rFonts w:hint="eastAsia" w:ascii="楷体" w:hAnsi="楷体" w:eastAsia="楷体"/>
                <w:b/>
                <w:sz w:val="15"/>
                <w:szCs w:val="15"/>
                <w:highlight w:val="none"/>
              </w:rPr>
              <w:t>本次支付的管理费用</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Cs w:val="21"/>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898" w:type="pct"/>
            <w:tcBorders>
              <w:top w:val="single" w:color="auto" w:sz="4" w:space="0"/>
              <w:left w:val="single" w:color="auto" w:sz="4" w:space="0"/>
              <w:bottom w:val="single" w:color="auto" w:sz="4" w:space="0"/>
              <w:right w:val="single" w:color="auto" w:sz="4" w:space="0"/>
            </w:tcBorders>
            <w:noWrap w:val="0"/>
            <w:vAlign w:val="top"/>
          </w:tcPr>
          <w:p>
            <w:pPr>
              <w:jc w:val="center"/>
              <w:rPr>
                <w:rFonts w:ascii="楷体" w:hAnsi="楷体" w:eastAsia="楷体"/>
                <w:b/>
                <w:sz w:val="15"/>
                <w:szCs w:val="15"/>
                <w:highlight w:val="none"/>
              </w:rPr>
            </w:pPr>
            <w:r>
              <w:rPr>
                <w:rFonts w:hint="eastAsia" w:ascii="楷体" w:hAnsi="楷体" w:eastAsia="楷体"/>
                <w:b/>
                <w:sz w:val="15"/>
                <w:szCs w:val="15"/>
                <w:highlight w:val="none"/>
              </w:rPr>
              <w:t>参加检查人员签字</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Cs w:val="21"/>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898" w:type="pct"/>
            <w:tcBorders>
              <w:top w:val="single" w:color="auto" w:sz="4" w:space="0"/>
              <w:left w:val="single" w:color="auto" w:sz="4" w:space="0"/>
              <w:bottom w:val="single" w:color="auto" w:sz="4" w:space="0"/>
              <w:right w:val="single" w:color="auto" w:sz="4" w:space="0"/>
            </w:tcBorders>
            <w:noWrap w:val="0"/>
            <w:vAlign w:val="top"/>
          </w:tcPr>
          <w:p>
            <w:pPr>
              <w:jc w:val="center"/>
              <w:rPr>
                <w:rFonts w:ascii="楷体" w:hAnsi="楷体" w:eastAsia="楷体"/>
                <w:b/>
                <w:szCs w:val="21"/>
                <w:highlight w:val="none"/>
              </w:rPr>
            </w:pPr>
          </w:p>
        </w:tc>
        <w:tc>
          <w:tcPr>
            <w:tcW w:w="4102" w:type="pct"/>
            <w:gridSpan w:val="2"/>
            <w:tcBorders>
              <w:top w:val="single" w:color="auto" w:sz="4" w:space="0"/>
              <w:left w:val="single" w:color="auto" w:sz="4" w:space="0"/>
              <w:bottom w:val="single" w:color="auto" w:sz="4" w:space="0"/>
              <w:right w:val="single" w:color="auto" w:sz="4" w:space="0"/>
            </w:tcBorders>
            <w:noWrap w:val="0"/>
            <w:vAlign w:val="top"/>
          </w:tcPr>
          <w:p>
            <w:pPr>
              <w:jc w:val="right"/>
              <w:rPr>
                <w:rFonts w:ascii="楷体" w:hAnsi="楷体" w:eastAsia="楷体"/>
                <w:b/>
                <w:szCs w:val="21"/>
                <w:highlight w:val="none"/>
              </w:rPr>
            </w:pPr>
            <w:r>
              <w:rPr>
                <w:rFonts w:hint="eastAsia" w:ascii="楷体" w:hAnsi="楷体" w:eastAsia="楷体"/>
                <w:b/>
                <w:szCs w:val="21"/>
                <w:highlight w:val="none"/>
              </w:rPr>
              <w:t xml:space="preserve">检查日期：  </w:t>
            </w:r>
            <w:r>
              <w:rPr>
                <w:rFonts w:ascii="楷体" w:hAnsi="楷体" w:eastAsia="楷体"/>
                <w:b/>
                <w:szCs w:val="21"/>
                <w:highlight w:val="none"/>
              </w:rPr>
              <w:t xml:space="preserve"> </w:t>
            </w:r>
            <w:r>
              <w:rPr>
                <w:rFonts w:hint="eastAsia" w:ascii="楷体" w:hAnsi="楷体" w:eastAsia="楷体"/>
                <w:b/>
                <w:szCs w:val="21"/>
                <w:highlight w:val="none"/>
              </w:rPr>
              <w:t xml:space="preserve"> 年   月  </w:t>
            </w:r>
            <w:r>
              <w:rPr>
                <w:rFonts w:ascii="楷体" w:hAnsi="楷体" w:eastAsia="楷体"/>
                <w:b/>
                <w:szCs w:val="21"/>
                <w:highlight w:val="none"/>
              </w:rPr>
              <w:t xml:space="preserve"> </w:t>
            </w:r>
            <w:r>
              <w:rPr>
                <w:rFonts w:hint="eastAsia" w:ascii="楷体" w:hAnsi="楷体" w:eastAsia="楷体"/>
                <w:b/>
                <w:szCs w:val="21"/>
                <w:highlight w:val="none"/>
              </w:rPr>
              <w:t>日</w:t>
            </w:r>
            <w:r>
              <w:rPr>
                <w:rFonts w:ascii="楷体" w:hAnsi="楷体" w:eastAsia="楷体"/>
                <w:b/>
                <w:szCs w:val="21"/>
                <w:highlight w:val="none"/>
              </w:rPr>
              <w:t xml:space="preserve"> </w:t>
            </w:r>
          </w:p>
        </w:tc>
      </w:tr>
    </w:tbl>
    <w:p>
      <w:pPr>
        <w:jc w:val="left"/>
        <w:rPr>
          <w:rFonts w:ascii="楷体" w:hAnsi="楷体" w:eastAsia="楷体"/>
          <w:szCs w:val="21"/>
          <w:highlight w:val="none"/>
        </w:rPr>
      </w:pPr>
      <w:r>
        <w:rPr>
          <w:rFonts w:hint="eastAsia" w:ascii="楷体" w:hAnsi="楷体" w:eastAsia="楷体"/>
          <w:b/>
          <w:szCs w:val="21"/>
          <w:highlight w:val="none"/>
        </w:rPr>
        <w:t>备注</w:t>
      </w:r>
      <w:r>
        <w:rPr>
          <w:rFonts w:hint="eastAsia" w:ascii="楷体" w:hAnsi="楷体" w:eastAsia="楷体"/>
          <w:b/>
          <w:sz w:val="22"/>
          <w:highlight w:val="none"/>
        </w:rPr>
        <w:t>：</w:t>
      </w:r>
      <w:r>
        <w:rPr>
          <w:rFonts w:hint="eastAsia" w:ascii="楷体" w:hAnsi="楷体" w:eastAsia="楷体"/>
          <w:szCs w:val="21"/>
          <w:highlight w:val="none"/>
        </w:rPr>
        <w:t>1、本表适用于对赣州高速公路有限责任公司机关大院绿化日常管养项目绿化管养单位的考评，满分为1</w:t>
      </w:r>
      <w:r>
        <w:rPr>
          <w:rFonts w:ascii="楷体" w:hAnsi="楷体" w:eastAsia="楷体"/>
          <w:szCs w:val="21"/>
          <w:highlight w:val="none"/>
        </w:rPr>
        <w:t>00</w:t>
      </w:r>
      <w:r>
        <w:rPr>
          <w:rFonts w:hint="eastAsia" w:ascii="楷体" w:hAnsi="楷体" w:eastAsia="楷体"/>
          <w:szCs w:val="21"/>
          <w:highlight w:val="none"/>
        </w:rPr>
        <w:t>分。</w:t>
      </w:r>
    </w:p>
    <w:p>
      <w:pPr>
        <w:spacing w:line="420" w:lineRule="exact"/>
        <w:jc w:val="center"/>
        <w:rPr>
          <w:b/>
          <w:sz w:val="36"/>
          <w:szCs w:val="36"/>
          <w:highlight w:val="none"/>
        </w:rPr>
      </w:pPr>
      <w:r>
        <w:rPr>
          <w:rFonts w:hint="eastAsia"/>
          <w:b/>
          <w:sz w:val="36"/>
          <w:szCs w:val="36"/>
          <w:highlight w:val="none"/>
        </w:rPr>
        <w:t>第二章</w:t>
      </w:r>
    </w:p>
    <w:p>
      <w:pPr>
        <w:spacing w:line="600" w:lineRule="exact"/>
        <w:jc w:val="center"/>
        <w:outlineLvl w:val="0"/>
        <w:rPr>
          <w:b/>
          <w:sz w:val="36"/>
          <w:szCs w:val="36"/>
          <w:highlight w:val="none"/>
        </w:rPr>
      </w:pPr>
      <w:r>
        <w:rPr>
          <w:rFonts w:hint="eastAsia"/>
          <w:b/>
          <w:sz w:val="36"/>
          <w:szCs w:val="36"/>
          <w:highlight w:val="none"/>
        </w:rPr>
        <w:t>评审办法</w:t>
      </w:r>
    </w:p>
    <w:p>
      <w:pPr>
        <w:spacing w:line="420" w:lineRule="exact"/>
        <w:ind w:firstLine="482" w:firstLineChars="200"/>
        <w:rPr>
          <w:rFonts w:ascii="宋体" w:hAnsi="宋体"/>
          <w:b/>
          <w:sz w:val="24"/>
          <w:szCs w:val="24"/>
          <w:highlight w:val="none"/>
        </w:rPr>
      </w:pPr>
      <w:r>
        <w:rPr>
          <w:rFonts w:hint="eastAsia" w:ascii="宋体" w:hAnsi="宋体"/>
          <w:b/>
          <w:sz w:val="24"/>
          <w:highlight w:val="none"/>
        </w:rPr>
        <w:t>一、评审方法</w:t>
      </w:r>
    </w:p>
    <w:p>
      <w:pPr>
        <w:spacing w:line="420" w:lineRule="exact"/>
        <w:ind w:firstLine="480" w:firstLineChars="200"/>
        <w:rPr>
          <w:rFonts w:ascii="宋体" w:hAnsi="宋体"/>
          <w:sz w:val="24"/>
          <w:highlight w:val="none"/>
        </w:rPr>
      </w:pPr>
      <w:r>
        <w:rPr>
          <w:rFonts w:hint="eastAsia" w:ascii="宋体" w:hAnsi="宋体"/>
          <w:sz w:val="24"/>
          <w:highlight w:val="none"/>
        </w:rPr>
        <w:t>本次询价采用经评审的二次报价最低价法。</w:t>
      </w:r>
    </w:p>
    <w:p>
      <w:pPr>
        <w:spacing w:line="420" w:lineRule="exact"/>
        <w:ind w:firstLine="482" w:firstLineChars="200"/>
        <w:rPr>
          <w:rFonts w:ascii="宋体" w:hAnsi="宋体"/>
          <w:b/>
          <w:sz w:val="24"/>
          <w:highlight w:val="none"/>
        </w:rPr>
      </w:pPr>
      <w:r>
        <w:rPr>
          <w:rFonts w:hint="eastAsia" w:ascii="宋体" w:hAnsi="宋体"/>
          <w:b/>
          <w:sz w:val="24"/>
          <w:highlight w:val="none"/>
        </w:rPr>
        <w:t>二、形式、响应及资格评审标准</w:t>
      </w:r>
    </w:p>
    <w:p>
      <w:pPr>
        <w:spacing w:line="420" w:lineRule="exact"/>
        <w:ind w:firstLine="480" w:firstLineChars="200"/>
        <w:rPr>
          <w:rFonts w:ascii="宋体" w:hAnsi="宋体"/>
          <w:sz w:val="24"/>
          <w:highlight w:val="none"/>
        </w:rPr>
      </w:pPr>
      <w:r>
        <w:rPr>
          <w:rFonts w:hint="eastAsia" w:ascii="宋体" w:hAnsi="宋体"/>
          <w:sz w:val="24"/>
          <w:highlight w:val="none"/>
        </w:rPr>
        <w:t>1、报价文件按询价文件规定的格式、内容填写，字迹清晰可辨；</w:t>
      </w:r>
    </w:p>
    <w:p>
      <w:pPr>
        <w:spacing w:line="420" w:lineRule="exact"/>
        <w:ind w:firstLine="480" w:firstLineChars="200"/>
        <w:rPr>
          <w:rFonts w:ascii="宋体" w:hAnsi="宋体"/>
          <w:sz w:val="24"/>
          <w:highlight w:val="none"/>
        </w:rPr>
      </w:pPr>
      <w:r>
        <w:rPr>
          <w:rFonts w:hint="eastAsia" w:ascii="宋体" w:hAnsi="宋体"/>
          <w:sz w:val="24"/>
          <w:highlight w:val="none"/>
        </w:rPr>
        <w:t>2、报价文件上法定代表人、单位负责人或其委托代理人的签字、单位章盖章齐全，符合询价文件规定；</w:t>
      </w:r>
    </w:p>
    <w:p>
      <w:pPr>
        <w:spacing w:line="420" w:lineRule="exact"/>
        <w:ind w:firstLine="480" w:firstLineChars="200"/>
        <w:rPr>
          <w:rFonts w:ascii="宋体" w:hAnsi="宋体"/>
          <w:sz w:val="24"/>
          <w:highlight w:val="none"/>
        </w:rPr>
      </w:pPr>
      <w:r>
        <w:rPr>
          <w:rFonts w:hint="eastAsia" w:ascii="宋体" w:hAnsi="宋体"/>
          <w:sz w:val="24"/>
          <w:highlight w:val="none"/>
        </w:rPr>
        <w:t>3、报价文件对询价文件的实质性要求和条件作出响应；</w:t>
      </w:r>
    </w:p>
    <w:p>
      <w:pPr>
        <w:spacing w:line="420" w:lineRule="exact"/>
        <w:ind w:firstLine="480" w:firstLineChars="200"/>
        <w:rPr>
          <w:rFonts w:ascii="宋体" w:hAnsi="宋体"/>
          <w:sz w:val="24"/>
          <w:highlight w:val="none"/>
        </w:rPr>
      </w:pPr>
      <w:r>
        <w:rPr>
          <w:rFonts w:hint="eastAsia" w:ascii="宋体" w:hAnsi="宋体"/>
          <w:sz w:val="24"/>
          <w:highlight w:val="none"/>
        </w:rPr>
        <w:t>4、权利义务符合询价文件规定；</w:t>
      </w:r>
    </w:p>
    <w:p>
      <w:pPr>
        <w:spacing w:line="420" w:lineRule="exact"/>
        <w:ind w:firstLine="480" w:firstLineChars="200"/>
        <w:rPr>
          <w:sz w:val="24"/>
          <w:highlight w:val="none"/>
        </w:rPr>
      </w:pPr>
      <w:r>
        <w:rPr>
          <w:rFonts w:hint="eastAsia" w:ascii="宋体" w:hAnsi="宋体"/>
          <w:sz w:val="24"/>
          <w:highlight w:val="none"/>
        </w:rPr>
        <w:t>5、</w:t>
      </w:r>
      <w:r>
        <w:rPr>
          <w:sz w:val="24"/>
          <w:highlight w:val="none"/>
        </w:rPr>
        <w:t>营业执照、</w:t>
      </w:r>
      <w:r>
        <w:rPr>
          <w:rFonts w:hint="eastAsia"/>
          <w:sz w:val="24"/>
          <w:highlight w:val="none"/>
        </w:rPr>
        <w:t>业绩、拟委任项目负责人</w:t>
      </w:r>
      <w:r>
        <w:rPr>
          <w:sz w:val="24"/>
          <w:highlight w:val="none"/>
        </w:rPr>
        <w:t>等资格条件符合报价文件规定；</w:t>
      </w:r>
    </w:p>
    <w:p>
      <w:pPr>
        <w:spacing w:line="420" w:lineRule="exact"/>
        <w:ind w:firstLine="480" w:firstLineChars="200"/>
        <w:rPr>
          <w:rFonts w:hint="eastAsia"/>
          <w:sz w:val="24"/>
          <w:highlight w:val="none"/>
          <w:lang w:val="en-US" w:eastAsia="zh-CN"/>
        </w:rPr>
      </w:pPr>
      <w:r>
        <w:rPr>
          <w:rFonts w:hint="eastAsia" w:ascii="宋体" w:hAnsi="宋体"/>
          <w:sz w:val="24"/>
          <w:highlight w:val="none"/>
          <w:lang w:val="en-US" w:eastAsia="zh-CN"/>
        </w:rPr>
        <w:t>6、</w:t>
      </w:r>
      <w:r>
        <w:rPr>
          <w:rFonts w:hint="eastAsia"/>
          <w:sz w:val="24"/>
          <w:highlight w:val="none"/>
          <w:lang w:val="en-US" w:eastAsia="zh-CN"/>
        </w:rPr>
        <w:t>其他资料符合询价文件规定；</w:t>
      </w:r>
    </w:p>
    <w:p>
      <w:pPr>
        <w:spacing w:line="420" w:lineRule="exact"/>
        <w:ind w:firstLine="480" w:firstLineChars="200"/>
        <w:rPr>
          <w:rFonts w:hint="eastAsia"/>
          <w:sz w:val="24"/>
          <w:highlight w:val="none"/>
        </w:rPr>
      </w:pPr>
      <w:r>
        <w:rPr>
          <w:rFonts w:hint="eastAsia" w:ascii="宋体" w:hAnsi="宋体"/>
          <w:sz w:val="24"/>
          <w:highlight w:val="none"/>
          <w:lang w:val="en-US" w:eastAsia="zh-CN"/>
        </w:rPr>
        <w:t>7、</w:t>
      </w:r>
      <w:r>
        <w:rPr>
          <w:rFonts w:hint="eastAsia"/>
          <w:sz w:val="24"/>
          <w:highlight w:val="none"/>
        </w:rPr>
        <w:t>信誉符合报价文件规定。</w:t>
      </w:r>
    </w:p>
    <w:p>
      <w:pPr>
        <w:spacing w:line="420" w:lineRule="exact"/>
        <w:ind w:firstLine="482" w:firstLineChars="200"/>
        <w:rPr>
          <w:rFonts w:ascii="宋体" w:hAnsi="宋体"/>
          <w:b/>
          <w:sz w:val="24"/>
          <w:highlight w:val="none"/>
        </w:rPr>
      </w:pPr>
      <w:r>
        <w:rPr>
          <w:rFonts w:hint="eastAsia" w:ascii="宋体" w:hAnsi="宋体"/>
          <w:b/>
          <w:sz w:val="24"/>
          <w:highlight w:val="none"/>
        </w:rPr>
        <w:t>三、评审程序</w:t>
      </w:r>
    </w:p>
    <w:p>
      <w:pPr>
        <w:spacing w:line="420" w:lineRule="exact"/>
        <w:ind w:firstLine="480" w:firstLineChars="200"/>
        <w:rPr>
          <w:rFonts w:ascii="宋体" w:hAnsi="宋体"/>
          <w:sz w:val="24"/>
          <w:highlight w:val="none"/>
        </w:rPr>
      </w:pPr>
      <w:r>
        <w:rPr>
          <w:rFonts w:hint="eastAsia" w:ascii="宋体" w:hAnsi="宋体"/>
          <w:sz w:val="24"/>
          <w:highlight w:val="none"/>
        </w:rPr>
        <w:t>本次询价采取二轮报价。</w:t>
      </w:r>
    </w:p>
    <w:p>
      <w:pPr>
        <w:spacing w:line="420" w:lineRule="exact"/>
        <w:ind w:firstLine="480" w:firstLineChars="200"/>
        <w:rPr>
          <w:rFonts w:ascii="宋体" w:hAnsi="宋体"/>
          <w:sz w:val="24"/>
          <w:highlight w:val="none"/>
        </w:rPr>
      </w:pPr>
      <w:r>
        <w:rPr>
          <w:rFonts w:hint="eastAsia" w:ascii="宋体" w:hAnsi="宋体"/>
          <w:sz w:val="24"/>
          <w:highlight w:val="none"/>
        </w:rPr>
        <w:t>（一）第一轮报价：询价人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pacing w:line="420" w:lineRule="exact"/>
        <w:ind w:firstLine="480" w:firstLineChars="200"/>
        <w:rPr>
          <w:rFonts w:ascii="宋体" w:hAnsi="宋体"/>
          <w:sz w:val="24"/>
          <w:highlight w:val="none"/>
        </w:rPr>
      </w:pPr>
      <w:r>
        <w:rPr>
          <w:rFonts w:hint="eastAsia" w:ascii="宋体" w:hAnsi="宋体"/>
          <w:sz w:val="24"/>
          <w:highlight w:val="none"/>
        </w:rPr>
        <w:t>（二）第二轮报价：在第一轮报价的基础上进行二次报价。报价单位现场填写《最终报价函》当众报价，第二轮报价不得高于第一轮报价，经法人代表或授权代理人签字生效，第二轮报价为最终报价，按照最终报价由低到高的顺序推荐候选人。</w:t>
      </w:r>
    </w:p>
    <w:p>
      <w:pPr>
        <w:spacing w:line="420" w:lineRule="exact"/>
        <w:ind w:firstLine="480" w:firstLineChars="200"/>
        <w:rPr>
          <w:rFonts w:ascii="宋体" w:hAnsi="宋体"/>
          <w:sz w:val="24"/>
          <w:highlight w:val="none"/>
        </w:rPr>
      </w:pPr>
      <w:r>
        <w:rPr>
          <w:rFonts w:hint="eastAsia" w:ascii="宋体" w:hAnsi="宋体"/>
          <w:sz w:val="24"/>
          <w:highlight w:val="none"/>
        </w:rPr>
        <w:t>如有2个及以上单位的报价一致且均为最低价时，业主单位将采用逐个谈判的方式</w:t>
      </w:r>
      <w:r>
        <w:rPr>
          <w:rFonts w:ascii="宋体" w:hAnsi="宋体"/>
          <w:sz w:val="24"/>
          <w:highlight w:val="none"/>
        </w:rPr>
        <w:t>确定</w:t>
      </w:r>
      <w:r>
        <w:rPr>
          <w:rFonts w:hint="eastAsia" w:ascii="宋体" w:hAnsi="宋体"/>
          <w:sz w:val="24"/>
          <w:highlight w:val="none"/>
        </w:rPr>
        <w:t>第一候选人。逐个谈判后仍有2个及以上单位的报价一致且均为最低价时，将采用现场抽签的方式</w:t>
      </w:r>
      <w:r>
        <w:rPr>
          <w:rFonts w:ascii="宋体" w:hAnsi="宋体"/>
          <w:sz w:val="24"/>
          <w:highlight w:val="none"/>
        </w:rPr>
        <w:t>确定</w:t>
      </w:r>
      <w:r>
        <w:rPr>
          <w:rFonts w:hint="eastAsia" w:ascii="宋体" w:hAnsi="宋体"/>
          <w:sz w:val="24"/>
          <w:highlight w:val="none"/>
        </w:rPr>
        <w:t>第一候选人。</w:t>
      </w:r>
    </w:p>
    <w:p>
      <w:pPr>
        <w:spacing w:line="420" w:lineRule="exact"/>
        <w:ind w:firstLine="480" w:firstLineChars="200"/>
        <w:rPr>
          <w:rFonts w:ascii="宋体" w:hAnsi="宋体"/>
          <w:sz w:val="24"/>
          <w:highlight w:val="none"/>
        </w:rPr>
      </w:pPr>
      <w:r>
        <w:rPr>
          <w:rFonts w:hint="eastAsia" w:ascii="宋体" w:hAnsi="宋体"/>
          <w:sz w:val="24"/>
          <w:highlight w:val="none"/>
        </w:rPr>
        <w:t>（三）评审结果</w:t>
      </w:r>
    </w:p>
    <w:p>
      <w:pPr>
        <w:spacing w:line="420" w:lineRule="exact"/>
        <w:ind w:firstLine="480" w:firstLineChars="200"/>
        <w:rPr>
          <w:rFonts w:ascii="宋体" w:hAnsi="宋体"/>
          <w:sz w:val="24"/>
          <w:highlight w:val="none"/>
        </w:rPr>
      </w:pPr>
      <w:r>
        <w:rPr>
          <w:rFonts w:hint="eastAsia" w:ascii="宋体" w:hAnsi="宋体"/>
          <w:sz w:val="24"/>
          <w:highlight w:val="none"/>
        </w:rPr>
        <w:t>按照最终报价由低到高的顺序推荐候选人 3 名。</w:t>
      </w:r>
    </w:p>
    <w:p>
      <w:pPr>
        <w:autoSpaceDE w:val="0"/>
        <w:autoSpaceDN w:val="0"/>
        <w:adjustRightInd w:val="0"/>
        <w:spacing w:line="420" w:lineRule="exact"/>
        <w:jc w:val="center"/>
        <w:rPr>
          <w:rFonts w:ascii="宋体" w:hAnsi="宋体"/>
          <w:bCs/>
          <w:sz w:val="24"/>
          <w:highlight w:val="none"/>
        </w:rPr>
      </w:pPr>
    </w:p>
    <w:p>
      <w:pPr>
        <w:spacing w:line="420" w:lineRule="exact"/>
        <w:jc w:val="center"/>
        <w:rPr>
          <w:rFonts w:ascii="Times New Roman" w:hAnsi="Times New Roman"/>
          <w:b/>
          <w:sz w:val="36"/>
          <w:szCs w:val="36"/>
          <w:highlight w:val="none"/>
        </w:rPr>
      </w:pPr>
      <w:r>
        <w:rPr>
          <w:rFonts w:hint="eastAsia" w:ascii="宋体" w:hAnsi="宋体"/>
          <w:bCs/>
          <w:sz w:val="24"/>
          <w:highlight w:val="none"/>
        </w:rPr>
        <w:br w:type="page"/>
      </w:r>
      <w:r>
        <w:rPr>
          <w:rFonts w:hint="eastAsia"/>
          <w:b/>
          <w:sz w:val="36"/>
          <w:szCs w:val="36"/>
          <w:highlight w:val="none"/>
        </w:rPr>
        <w:t xml:space="preserve">第三章  </w:t>
      </w:r>
      <w:r>
        <w:rPr>
          <w:b/>
          <w:sz w:val="36"/>
          <w:szCs w:val="36"/>
          <w:highlight w:val="none"/>
        </w:rPr>
        <w:t>报价文件格式</w:t>
      </w:r>
    </w:p>
    <w:p>
      <w:pPr>
        <w:ind w:firstLine="480"/>
        <w:jc w:val="center"/>
        <w:rPr>
          <w:rFonts w:eastAsia="黑体"/>
          <w:sz w:val="30"/>
          <w:szCs w:val="30"/>
          <w:highlight w:val="none"/>
        </w:rPr>
      </w:pPr>
      <w:r>
        <w:rPr>
          <w:rFonts w:hint="eastAsia" w:eastAsia="黑体"/>
          <w:sz w:val="30"/>
          <w:szCs w:val="30"/>
          <w:highlight w:val="none"/>
        </w:rPr>
        <w:t>授权委托书、报价函、</w:t>
      </w:r>
      <w:r>
        <w:rPr>
          <w:rFonts w:hint="eastAsia" w:eastAsia="黑体"/>
          <w:bCs/>
          <w:sz w:val="30"/>
          <w:szCs w:val="30"/>
          <w:highlight w:val="none"/>
        </w:rPr>
        <w:t>信誉承诺表、其它资料</w:t>
      </w:r>
      <w:r>
        <w:rPr>
          <w:rFonts w:hint="eastAsia" w:eastAsia="黑体"/>
          <w:sz w:val="30"/>
          <w:szCs w:val="30"/>
          <w:highlight w:val="none"/>
        </w:rPr>
        <w:t>格式</w:t>
      </w:r>
    </w:p>
    <w:p>
      <w:pPr>
        <w:jc w:val="center"/>
        <w:rPr>
          <w:rFonts w:eastAsia="黑体"/>
          <w:sz w:val="30"/>
          <w:szCs w:val="30"/>
          <w:highlight w:val="none"/>
        </w:rPr>
      </w:pPr>
    </w:p>
    <w:p>
      <w:pPr>
        <w:jc w:val="center"/>
        <w:rPr>
          <w:rFonts w:eastAsia="黑体"/>
          <w:sz w:val="30"/>
          <w:szCs w:val="30"/>
          <w:highlight w:val="none"/>
        </w:rPr>
      </w:pPr>
      <w:r>
        <w:rPr>
          <w:rFonts w:hint="eastAsia" w:eastAsia="黑体"/>
          <w:sz w:val="30"/>
          <w:szCs w:val="30"/>
          <w:highlight w:val="none"/>
        </w:rPr>
        <w:t>授权委托书</w:t>
      </w:r>
    </w:p>
    <w:p>
      <w:pPr>
        <w:pStyle w:val="4"/>
        <w:ind w:firstLine="0" w:firstLineChars="0"/>
        <w:rPr>
          <w:rFonts w:ascii="宋体" w:hAnsi="宋体"/>
          <w:szCs w:val="24"/>
          <w:highlight w:val="none"/>
        </w:rPr>
      </w:pPr>
    </w:p>
    <w:p>
      <w:pPr>
        <w:spacing w:line="360" w:lineRule="auto"/>
        <w:ind w:firstLine="480"/>
        <w:rPr>
          <w:rFonts w:ascii="宋体" w:hAnsi="宋体"/>
          <w:sz w:val="24"/>
          <w:highlight w:val="none"/>
        </w:rPr>
      </w:pPr>
      <w:r>
        <w:rPr>
          <w:rFonts w:hint="eastAsia" w:ascii="宋体" w:hAnsi="宋体"/>
          <w:sz w:val="24"/>
          <w:highlight w:val="none"/>
        </w:rPr>
        <w:t>本人</w:t>
      </w:r>
      <w:r>
        <w:rPr>
          <w:rFonts w:hint="eastAsia" w:ascii="宋体" w:hAnsi="宋体"/>
          <w:sz w:val="24"/>
          <w:highlight w:val="none"/>
          <w:u w:val="single"/>
        </w:rPr>
        <w:t xml:space="preserve"> </w:t>
      </w:r>
      <w:r>
        <w:rPr>
          <w:rFonts w:hint="eastAsia" w:ascii="宋体" w:hAnsi="宋体" w:cs="华文楷体"/>
          <w:sz w:val="24"/>
          <w:highlight w:val="none"/>
          <w:u w:val="single"/>
        </w:rPr>
        <w:t xml:space="preserve"> </w:t>
      </w:r>
      <w:r>
        <w:rPr>
          <w:rFonts w:ascii="宋体" w:hAnsi="宋体" w:cs="华文楷体"/>
          <w:sz w:val="24"/>
          <w:highlight w:val="none"/>
          <w:u w:val="single"/>
        </w:rPr>
        <w:t xml:space="preserve">   </w:t>
      </w:r>
      <w:r>
        <w:rPr>
          <w:rFonts w:hint="eastAsia" w:ascii="宋体" w:hAnsi="宋体"/>
          <w:sz w:val="24"/>
          <w:highlight w:val="none"/>
          <w:u w:val="single"/>
        </w:rPr>
        <w:t xml:space="preserve"> </w:t>
      </w:r>
      <w:r>
        <w:rPr>
          <w:rFonts w:hint="eastAsia" w:ascii="宋体" w:hAnsi="宋体"/>
          <w:sz w:val="24"/>
          <w:highlight w:val="none"/>
        </w:rPr>
        <w:t>系</w:t>
      </w:r>
      <w:r>
        <w:rPr>
          <w:rFonts w:hint="eastAsia" w:ascii="宋体" w:hAnsi="宋体"/>
          <w:sz w:val="24"/>
          <w:highlight w:val="none"/>
          <w:u w:val="single"/>
        </w:rPr>
        <w:t xml:space="preserve"> </w:t>
      </w:r>
      <w:r>
        <w:rPr>
          <w:rFonts w:hint="eastAsia" w:ascii="宋体" w:hAnsi="宋体" w:cs="华文楷体"/>
          <w:sz w:val="24"/>
          <w:highlight w:val="none"/>
          <w:u w:val="single"/>
        </w:rPr>
        <w:t xml:space="preserve"> </w:t>
      </w:r>
      <w:r>
        <w:rPr>
          <w:rFonts w:ascii="宋体" w:hAnsi="宋体" w:cs="华文楷体"/>
          <w:sz w:val="24"/>
          <w:highlight w:val="none"/>
          <w:u w:val="single"/>
        </w:rPr>
        <w:t xml:space="preserve">     </w:t>
      </w:r>
      <w:r>
        <w:rPr>
          <w:rFonts w:hint="eastAsia" w:ascii="宋体" w:hAnsi="宋体"/>
          <w:sz w:val="24"/>
          <w:highlight w:val="none"/>
          <w:u w:val="single"/>
        </w:rPr>
        <w:t xml:space="preserve"> </w:t>
      </w:r>
      <w:r>
        <w:rPr>
          <w:rFonts w:hint="eastAsia" w:ascii="宋体" w:hAnsi="宋体"/>
          <w:sz w:val="24"/>
          <w:highlight w:val="none"/>
        </w:rPr>
        <w:t>的法定代表人/单位负责人，现委托</w:t>
      </w:r>
      <w:r>
        <w:rPr>
          <w:rFonts w:hint="eastAsia" w:ascii="宋体" w:hAnsi="宋体" w:cs="华文楷体"/>
          <w:sz w:val="24"/>
          <w:highlight w:val="none"/>
          <w:u w:val="single"/>
        </w:rPr>
        <w:t xml:space="preserve"> </w:t>
      </w:r>
      <w:r>
        <w:rPr>
          <w:rFonts w:ascii="宋体" w:hAnsi="宋体" w:cs="华文楷体"/>
          <w:sz w:val="24"/>
          <w:highlight w:val="none"/>
          <w:u w:val="single"/>
        </w:rPr>
        <w:t xml:space="preserve">    </w:t>
      </w:r>
      <w:r>
        <w:rPr>
          <w:rFonts w:hint="eastAsia" w:ascii="宋体" w:hAnsi="宋体"/>
          <w:sz w:val="24"/>
          <w:highlight w:val="none"/>
        </w:rPr>
        <w:t>为我方授权代理人。代理人根据授权，以我方名义签署、澄清、确认、递交、撤回、修改</w:t>
      </w:r>
    </w:p>
    <w:p>
      <w:pPr>
        <w:spacing w:line="360" w:lineRule="auto"/>
        <w:ind w:firstLine="480"/>
        <w:rPr>
          <w:rFonts w:ascii="宋体" w:hAnsi="宋体"/>
          <w:sz w:val="24"/>
          <w:szCs w:val="24"/>
          <w:highlight w:val="none"/>
        </w:rPr>
      </w:pPr>
      <w:r>
        <w:rPr>
          <w:rFonts w:ascii="宋体" w:hAnsi="宋体" w:cs="华文楷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rPr>
        <w:t>报价文件、签订合同和处理有关事宜，其法律后果由我方承担。</w:t>
      </w:r>
    </w:p>
    <w:p>
      <w:pPr>
        <w:spacing w:line="360" w:lineRule="auto"/>
        <w:ind w:firstLine="480"/>
        <w:rPr>
          <w:rFonts w:ascii="宋体" w:hAnsi="宋体"/>
          <w:sz w:val="24"/>
          <w:highlight w:val="none"/>
        </w:rPr>
      </w:pPr>
      <w:r>
        <w:rPr>
          <w:rFonts w:hint="eastAsia" w:ascii="宋体" w:hAnsi="宋体"/>
          <w:sz w:val="24"/>
          <w:highlight w:val="none"/>
        </w:rPr>
        <w:t xml:space="preserve">委托期限： </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日至</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ind w:firstLine="480"/>
        <w:rPr>
          <w:rFonts w:ascii="宋体" w:hAnsi="宋体"/>
          <w:sz w:val="24"/>
          <w:highlight w:val="none"/>
        </w:rPr>
      </w:pPr>
      <w:r>
        <w:rPr>
          <w:rFonts w:hint="eastAsia" w:ascii="宋体" w:hAnsi="宋体"/>
          <w:sz w:val="24"/>
          <w:highlight w:val="none"/>
        </w:rPr>
        <w:t>委托代理人无转委托权。</w:t>
      </w:r>
    </w:p>
    <w:p>
      <w:pPr>
        <w:spacing w:line="360" w:lineRule="auto"/>
        <w:ind w:firstLine="480"/>
        <w:rPr>
          <w:rFonts w:ascii="宋体" w:hAnsi="宋体"/>
          <w:sz w:val="24"/>
          <w:highlight w:val="none"/>
        </w:rPr>
      </w:pPr>
      <w:r>
        <w:rPr>
          <w:rFonts w:hint="eastAsia" w:ascii="宋体" w:hAnsi="宋体"/>
          <w:sz w:val="24"/>
          <w:highlight w:val="none"/>
        </w:rPr>
        <w:t>附：法定代表人/单位负责人身份证复印件及委托代理人身份证复印件</w:t>
      </w:r>
    </w:p>
    <w:p>
      <w:pPr>
        <w:spacing w:line="360" w:lineRule="auto"/>
        <w:ind w:firstLine="480"/>
        <w:rPr>
          <w:rFonts w:ascii="宋体" w:hAnsi="宋体"/>
          <w:sz w:val="24"/>
          <w:highlight w:val="none"/>
        </w:rPr>
      </w:pPr>
    </w:p>
    <w:p>
      <w:pPr>
        <w:spacing w:line="360" w:lineRule="auto"/>
        <w:ind w:firstLine="480"/>
        <w:rPr>
          <w:rFonts w:ascii="宋体" w:hAnsi="宋体"/>
          <w:sz w:val="24"/>
          <w:highlight w:val="none"/>
        </w:rPr>
      </w:pPr>
      <w:r>
        <w:rPr>
          <w:rFonts w:hint="eastAsia" w:ascii="宋体" w:hAnsi="宋体"/>
          <w:sz w:val="24"/>
          <w:highlight w:val="none"/>
        </w:rPr>
        <w:t>注：本授权委托书需由报价人加盖单位公章并由其法定代表人/单位负责人签字。</w:t>
      </w:r>
    </w:p>
    <w:p>
      <w:pPr>
        <w:spacing w:line="360" w:lineRule="auto"/>
        <w:ind w:firstLine="480"/>
        <w:rPr>
          <w:rFonts w:ascii="宋体" w:hAnsi="宋体"/>
          <w:sz w:val="24"/>
          <w:highlight w:val="none"/>
        </w:rPr>
      </w:pPr>
    </w:p>
    <w:p>
      <w:pPr>
        <w:spacing w:line="360" w:lineRule="auto"/>
        <w:ind w:firstLine="3076" w:firstLineChars="1282"/>
        <w:rPr>
          <w:rFonts w:ascii="宋体" w:hAnsi="宋体"/>
          <w:sz w:val="24"/>
          <w:highlight w:val="none"/>
          <w:u w:val="single"/>
        </w:rPr>
      </w:pPr>
      <w:r>
        <w:rPr>
          <w:rFonts w:hint="eastAsia" w:ascii="宋体" w:hAnsi="宋体"/>
          <w:sz w:val="24"/>
          <w:highlight w:val="none"/>
        </w:rPr>
        <w:t>报价人（单位公章）：</w:t>
      </w:r>
      <w:r>
        <w:rPr>
          <w:rFonts w:hint="eastAsia" w:ascii="宋体" w:hAnsi="宋体"/>
          <w:sz w:val="24"/>
          <w:highlight w:val="none"/>
          <w:u w:val="single"/>
        </w:rPr>
        <w:t xml:space="preserve">                            </w:t>
      </w:r>
    </w:p>
    <w:p>
      <w:pPr>
        <w:spacing w:line="360" w:lineRule="auto"/>
        <w:ind w:firstLine="3074" w:firstLineChars="1281"/>
        <w:rPr>
          <w:rFonts w:ascii="宋体" w:hAnsi="宋体"/>
          <w:sz w:val="24"/>
          <w:highlight w:val="none"/>
        </w:rPr>
      </w:pPr>
      <w:r>
        <w:rPr>
          <w:rFonts w:hint="eastAsia" w:ascii="宋体" w:hAnsi="宋体"/>
          <w:sz w:val="24"/>
          <w:highlight w:val="none"/>
        </w:rPr>
        <w:t>法定代表人（签字）：</w:t>
      </w:r>
      <w:r>
        <w:rPr>
          <w:rFonts w:hint="eastAsia" w:ascii="宋体" w:hAnsi="宋体"/>
          <w:sz w:val="24"/>
          <w:highlight w:val="none"/>
          <w:u w:val="single"/>
        </w:rPr>
        <w:t xml:space="preserve">               </w:t>
      </w:r>
    </w:p>
    <w:p>
      <w:pPr>
        <w:spacing w:line="360" w:lineRule="auto"/>
        <w:ind w:firstLine="3076" w:firstLineChars="1282"/>
        <w:rPr>
          <w:rFonts w:ascii="宋体" w:hAnsi="宋体"/>
          <w:sz w:val="24"/>
          <w:highlight w:val="none"/>
          <w:u w:val="single"/>
        </w:rPr>
      </w:pPr>
      <w:r>
        <w:rPr>
          <w:rFonts w:hint="eastAsia" w:ascii="宋体" w:hAnsi="宋体"/>
          <w:sz w:val="24"/>
          <w:highlight w:val="none"/>
        </w:rPr>
        <w:t>授权代理人（签字）：</w:t>
      </w:r>
      <w:r>
        <w:rPr>
          <w:rFonts w:hint="eastAsia" w:ascii="宋体" w:hAnsi="宋体"/>
          <w:sz w:val="24"/>
          <w:highlight w:val="none"/>
          <w:u w:val="single"/>
        </w:rPr>
        <w:t xml:space="preserve">                            </w:t>
      </w:r>
    </w:p>
    <w:p>
      <w:pPr>
        <w:spacing w:line="360" w:lineRule="auto"/>
        <w:ind w:firstLine="3600" w:firstLineChars="1500"/>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rPr>
          <w:rFonts w:ascii="宋体" w:hAnsi="宋体"/>
          <w:sz w:val="24"/>
          <w:highlight w:val="none"/>
        </w:rPr>
      </w:pPr>
    </w:p>
    <w:p>
      <w:pPr>
        <w:spacing w:line="360" w:lineRule="auto"/>
        <w:ind w:firstLine="480"/>
        <w:rPr>
          <w:rFonts w:ascii="宋体" w:hAnsi="宋体"/>
          <w:sz w:val="24"/>
          <w:highlight w:val="none"/>
        </w:rPr>
      </w:pPr>
      <w:r>
        <w:rPr>
          <w:rFonts w:hint="eastAsia" w:ascii="宋体" w:hAnsi="宋体"/>
          <w:sz w:val="24"/>
          <w:highlight w:val="none"/>
        </w:rPr>
        <w:t>注：如报价人法定代表人/单位负责人参加采购行为，只需附其身份证复印件、法人代表证书等复印件。</w:t>
      </w:r>
    </w:p>
    <w:p>
      <w:pPr>
        <w:autoSpaceDE w:val="0"/>
        <w:autoSpaceDN w:val="0"/>
        <w:adjustRightInd w:val="0"/>
        <w:spacing w:line="360" w:lineRule="auto"/>
        <w:jc w:val="center"/>
        <w:rPr>
          <w:rFonts w:ascii="宋体" w:hAnsi="宋体"/>
          <w:bCs/>
          <w:sz w:val="24"/>
          <w:highlight w:val="none"/>
        </w:rPr>
      </w:pPr>
    </w:p>
    <w:p>
      <w:pPr>
        <w:jc w:val="center"/>
        <w:rPr>
          <w:rFonts w:ascii="Times New Roman" w:hAnsi="Times New Roman"/>
          <w:b/>
          <w:sz w:val="36"/>
          <w:szCs w:val="36"/>
          <w:highlight w:val="none"/>
        </w:rPr>
      </w:pPr>
      <w:r>
        <w:rPr>
          <w:b/>
          <w:sz w:val="36"/>
          <w:szCs w:val="36"/>
          <w:highlight w:val="none"/>
        </w:rPr>
        <w:br w:type="page"/>
      </w:r>
      <w:r>
        <w:rPr>
          <w:rFonts w:hint="eastAsia"/>
          <w:b/>
          <w:sz w:val="36"/>
          <w:szCs w:val="36"/>
          <w:highlight w:val="none"/>
        </w:rPr>
        <w:t>报</w:t>
      </w:r>
      <w:r>
        <w:rPr>
          <w:b/>
          <w:sz w:val="36"/>
          <w:szCs w:val="36"/>
          <w:highlight w:val="none"/>
        </w:rPr>
        <w:t xml:space="preserve">  </w:t>
      </w:r>
      <w:r>
        <w:rPr>
          <w:rFonts w:hint="eastAsia"/>
          <w:b/>
          <w:sz w:val="36"/>
          <w:szCs w:val="36"/>
          <w:highlight w:val="none"/>
        </w:rPr>
        <w:t>价</w:t>
      </w:r>
      <w:r>
        <w:rPr>
          <w:b/>
          <w:sz w:val="36"/>
          <w:szCs w:val="36"/>
          <w:highlight w:val="none"/>
        </w:rPr>
        <w:t xml:space="preserve">  </w:t>
      </w:r>
      <w:r>
        <w:rPr>
          <w:rFonts w:hint="eastAsia"/>
          <w:b/>
          <w:sz w:val="36"/>
          <w:szCs w:val="36"/>
          <w:highlight w:val="none"/>
        </w:rPr>
        <w:t>函</w:t>
      </w:r>
    </w:p>
    <w:p>
      <w:pPr>
        <w:tabs>
          <w:tab w:val="left" w:pos="2500"/>
        </w:tabs>
        <w:autoSpaceDE w:val="0"/>
        <w:autoSpaceDN w:val="0"/>
        <w:adjustRightInd w:val="0"/>
        <w:rPr>
          <w:b/>
          <w:position w:val="-4"/>
          <w:sz w:val="28"/>
          <w:szCs w:val="28"/>
          <w:highlight w:val="none"/>
        </w:rPr>
      </w:pPr>
    </w:p>
    <w:p>
      <w:pPr>
        <w:tabs>
          <w:tab w:val="left" w:pos="2500"/>
        </w:tabs>
        <w:autoSpaceDE w:val="0"/>
        <w:autoSpaceDN w:val="0"/>
        <w:adjustRightInd w:val="0"/>
        <w:rPr>
          <w:szCs w:val="21"/>
          <w:highlight w:val="none"/>
        </w:rPr>
      </w:pPr>
      <w:r>
        <w:rPr>
          <w:rFonts w:hint="eastAsia"/>
          <w:b/>
          <w:position w:val="-4"/>
          <w:sz w:val="24"/>
          <w:szCs w:val="24"/>
          <w:highlight w:val="none"/>
        </w:rPr>
        <w:t>致：赣州</w:t>
      </w:r>
      <w:r>
        <w:rPr>
          <w:b/>
          <w:position w:val="-4"/>
          <w:sz w:val="24"/>
          <w:szCs w:val="24"/>
          <w:highlight w:val="none"/>
        </w:rPr>
        <w:t>高速公路有限责任公司</w:t>
      </w:r>
      <w:r>
        <w:rPr>
          <w:b/>
          <w:spacing w:val="-11"/>
          <w:position w:val="-4"/>
          <w:sz w:val="24"/>
          <w:szCs w:val="24"/>
          <w:highlight w:val="none"/>
        </w:rPr>
        <w:t xml:space="preserve"> </w:t>
      </w:r>
    </w:p>
    <w:p>
      <w:pPr>
        <w:tabs>
          <w:tab w:val="left" w:pos="4180"/>
          <w:tab w:val="left" w:pos="9180"/>
        </w:tabs>
        <w:autoSpaceDE w:val="0"/>
        <w:autoSpaceDN w:val="0"/>
        <w:adjustRightInd w:val="0"/>
        <w:spacing w:line="360" w:lineRule="auto"/>
        <w:ind w:firstLine="480" w:firstLineChars="200"/>
        <w:rPr>
          <w:sz w:val="24"/>
          <w:szCs w:val="24"/>
          <w:highlight w:val="none"/>
        </w:rPr>
      </w:pPr>
      <w:r>
        <w:rPr>
          <w:rFonts w:hint="eastAsia"/>
          <w:sz w:val="24"/>
          <w:highlight w:val="none"/>
        </w:rPr>
        <w:t>经研究，我方同意《赣州高速公路有限责任公司机关大院绿化日常管养项目</w:t>
      </w:r>
      <w:r>
        <w:rPr>
          <w:rFonts w:hint="eastAsia"/>
          <w:sz w:val="24"/>
          <w:highlight w:val="none"/>
          <w:lang w:val="en-US" w:eastAsia="zh-CN"/>
        </w:rPr>
        <w:t>询价文件</w:t>
      </w:r>
      <w:r>
        <w:rPr>
          <w:rFonts w:hint="eastAsia"/>
          <w:sz w:val="24"/>
          <w:highlight w:val="none"/>
        </w:rPr>
        <w:t>》</w:t>
      </w:r>
      <w:r>
        <w:rPr>
          <w:rFonts w:hint="eastAsia" w:ascii="宋体" w:hAnsi="宋体"/>
          <w:sz w:val="24"/>
          <w:highlight w:val="none"/>
        </w:rPr>
        <w:t>的所有内容及条款并就上述内容进行报价，完成贵公司规定的</w:t>
      </w:r>
      <w:r>
        <w:rPr>
          <w:rFonts w:hint="eastAsia"/>
          <w:sz w:val="24"/>
          <w:highlight w:val="none"/>
        </w:rPr>
        <w:t>所有工作内容。</w:t>
      </w:r>
    </w:p>
    <w:p>
      <w:pPr>
        <w:autoSpaceDE w:val="0"/>
        <w:autoSpaceDN w:val="0"/>
        <w:adjustRightInd w:val="0"/>
        <w:spacing w:line="360" w:lineRule="auto"/>
        <w:ind w:firstLine="480" w:firstLineChars="200"/>
        <w:rPr>
          <w:sz w:val="24"/>
          <w:highlight w:val="none"/>
        </w:rPr>
      </w:pPr>
      <w:r>
        <w:rPr>
          <w:rFonts w:hint="eastAsia"/>
          <w:sz w:val="24"/>
          <w:highlight w:val="none"/>
        </w:rPr>
        <w:t>根据分析计算，我方愿以总价人民币（大写）</w:t>
      </w:r>
      <w:r>
        <w:rPr>
          <w:sz w:val="24"/>
          <w:highlight w:val="none"/>
          <w:u w:val="single"/>
        </w:rPr>
        <w:t xml:space="preserve">    </w:t>
      </w:r>
      <w:r>
        <w:rPr>
          <w:rFonts w:hint="eastAsia"/>
          <w:sz w:val="24"/>
          <w:highlight w:val="none"/>
          <w:u w:val="single"/>
          <w:lang w:val="en-US" w:eastAsia="zh-CN"/>
        </w:rPr>
        <w:t xml:space="preserve">       </w:t>
      </w:r>
      <w:r>
        <w:rPr>
          <w:sz w:val="24"/>
          <w:highlight w:val="none"/>
          <w:u w:val="single"/>
        </w:rPr>
        <w:t xml:space="preserve"> </w:t>
      </w:r>
      <w:r>
        <w:rPr>
          <w:rFonts w:hint="eastAsia"/>
          <w:sz w:val="24"/>
          <w:highlight w:val="none"/>
        </w:rPr>
        <w:t>元（￥</w:t>
      </w:r>
      <w:r>
        <w:rPr>
          <w:sz w:val="24"/>
          <w:highlight w:val="none"/>
          <w:u w:val="single"/>
        </w:rPr>
        <w:t xml:space="preserve">   </w:t>
      </w:r>
      <w:r>
        <w:rPr>
          <w:rFonts w:hint="eastAsia"/>
          <w:sz w:val="24"/>
          <w:highlight w:val="none"/>
          <w:u w:val="single"/>
          <w:lang w:val="en-US" w:eastAsia="zh-CN"/>
        </w:rPr>
        <w:t xml:space="preserve">    </w:t>
      </w:r>
      <w:r>
        <w:rPr>
          <w:sz w:val="24"/>
          <w:highlight w:val="none"/>
          <w:u w:val="single"/>
        </w:rPr>
        <w:t xml:space="preserve">  </w:t>
      </w:r>
      <w:r>
        <w:rPr>
          <w:rFonts w:hint="eastAsia"/>
          <w:sz w:val="24"/>
          <w:highlight w:val="none"/>
        </w:rPr>
        <w:t>），完成贵公司规定的所有工作内容。</w:t>
      </w:r>
    </w:p>
    <w:p>
      <w:pPr>
        <w:spacing w:line="460" w:lineRule="exact"/>
        <w:ind w:firstLine="200"/>
        <w:jc w:val="center"/>
        <w:rPr>
          <w:b/>
          <w:sz w:val="30"/>
          <w:szCs w:val="30"/>
          <w:highlight w:val="none"/>
        </w:rPr>
      </w:pPr>
      <w:r>
        <w:rPr>
          <w:rFonts w:hint="eastAsia"/>
          <w:b/>
          <w:sz w:val="30"/>
          <w:szCs w:val="30"/>
          <w:highlight w:val="none"/>
        </w:rPr>
        <w:t>清单</w:t>
      </w:r>
    </w:p>
    <w:tbl>
      <w:tblPr>
        <w:tblStyle w:val="9"/>
        <w:tblW w:w="9226" w:type="dxa"/>
        <w:tblInd w:w="96" w:type="dxa"/>
        <w:tblLayout w:type="fixed"/>
        <w:tblCellMar>
          <w:top w:w="0" w:type="dxa"/>
          <w:left w:w="108" w:type="dxa"/>
          <w:bottom w:w="0" w:type="dxa"/>
          <w:right w:w="108" w:type="dxa"/>
        </w:tblCellMar>
      </w:tblPr>
      <w:tblGrid>
        <w:gridCol w:w="818"/>
        <w:gridCol w:w="1746"/>
        <w:gridCol w:w="2268"/>
        <w:gridCol w:w="4394"/>
      </w:tblGrid>
      <w:tr>
        <w:tblPrEx>
          <w:tblCellMar>
            <w:top w:w="0" w:type="dxa"/>
            <w:left w:w="108" w:type="dxa"/>
            <w:bottom w:w="0" w:type="dxa"/>
            <w:right w:w="108" w:type="dxa"/>
          </w:tblCellMar>
        </w:tblPrEx>
        <w:trPr>
          <w:trHeight w:val="857" w:hRule="atLeast"/>
        </w:trPr>
        <w:tc>
          <w:tcPr>
            <w:tcW w:w="818"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序号</w:t>
            </w:r>
          </w:p>
        </w:tc>
        <w:tc>
          <w:tcPr>
            <w:tcW w:w="1746"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管养地点</w:t>
            </w:r>
          </w:p>
        </w:tc>
        <w:tc>
          <w:tcPr>
            <w:tcW w:w="2268" w:type="dxa"/>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ascii="宋体" w:hAnsi="宋体" w:cs="宋体"/>
                <w:kern w:val="0"/>
                <w:sz w:val="24"/>
                <w:highlight w:val="none"/>
              </w:rPr>
            </w:pPr>
            <w:r>
              <w:rPr>
                <w:rFonts w:hint="eastAsia" w:ascii="宋体" w:hAnsi="宋体"/>
                <w:sz w:val="24"/>
                <w:highlight w:val="none"/>
              </w:rPr>
              <w:t>管养区域概况</w:t>
            </w:r>
          </w:p>
        </w:tc>
        <w:tc>
          <w:tcPr>
            <w:tcW w:w="4394"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管养工作要求及内容</w:t>
            </w:r>
          </w:p>
        </w:tc>
      </w:tr>
      <w:tr>
        <w:tblPrEx>
          <w:tblCellMar>
            <w:top w:w="0" w:type="dxa"/>
            <w:left w:w="108" w:type="dxa"/>
            <w:bottom w:w="0" w:type="dxa"/>
            <w:right w:w="108" w:type="dxa"/>
          </w:tblCellMar>
        </w:tblPrEx>
        <w:trPr>
          <w:trHeight w:val="749" w:hRule="atLeast"/>
        </w:trPr>
        <w:tc>
          <w:tcPr>
            <w:tcW w:w="818" w:type="dxa"/>
            <w:tcBorders>
              <w:top w:val="nil"/>
              <w:left w:val="single" w:color="auto" w:sz="8" w:space="0"/>
              <w:bottom w:val="single" w:color="auto" w:sz="8" w:space="0"/>
              <w:right w:val="single" w:color="auto" w:sz="8" w:space="0"/>
            </w:tcBorders>
            <w:noWrap/>
            <w:vAlign w:val="center"/>
          </w:tcPr>
          <w:p>
            <w:pPr>
              <w:widowControl/>
              <w:spacing w:line="240" w:lineRule="auto"/>
              <w:jc w:val="center"/>
              <w:rPr>
                <w:rFonts w:ascii="宋体" w:hAnsi="宋体" w:cs="宋体"/>
                <w:kern w:val="0"/>
                <w:sz w:val="24"/>
                <w:highlight w:val="none"/>
              </w:rPr>
            </w:pPr>
            <w:r>
              <w:rPr>
                <w:rFonts w:hint="eastAsia" w:ascii="宋体" w:hAnsi="宋体" w:cs="宋体"/>
                <w:kern w:val="0"/>
                <w:sz w:val="24"/>
                <w:highlight w:val="none"/>
              </w:rPr>
              <w:t>1</w:t>
            </w:r>
          </w:p>
        </w:tc>
        <w:tc>
          <w:tcPr>
            <w:tcW w:w="1746" w:type="dxa"/>
            <w:tcBorders>
              <w:top w:val="nil"/>
              <w:left w:val="nil"/>
              <w:bottom w:val="single" w:color="auto" w:sz="8" w:space="0"/>
              <w:right w:val="single" w:color="auto" w:sz="8" w:space="0"/>
            </w:tcBorders>
            <w:noWrap w:val="0"/>
            <w:vAlign w:val="center"/>
          </w:tcPr>
          <w:p>
            <w:pPr>
              <w:widowControl/>
              <w:spacing w:line="240" w:lineRule="auto"/>
              <w:jc w:val="center"/>
              <w:rPr>
                <w:rFonts w:ascii="宋体" w:hAnsi="宋体" w:cs="宋体"/>
                <w:kern w:val="0"/>
                <w:sz w:val="24"/>
                <w:highlight w:val="none"/>
              </w:rPr>
            </w:pPr>
            <w:r>
              <w:rPr>
                <w:rFonts w:hint="eastAsia" w:ascii="宋体" w:hAnsi="宋体"/>
                <w:sz w:val="24"/>
                <w:highlight w:val="none"/>
              </w:rPr>
              <w:t>赣州高速公路有限责任公司机关大院</w:t>
            </w:r>
          </w:p>
        </w:tc>
        <w:tc>
          <w:tcPr>
            <w:tcW w:w="2268" w:type="dxa"/>
            <w:tcBorders>
              <w:top w:val="nil"/>
              <w:left w:val="nil"/>
              <w:bottom w:val="single" w:color="auto" w:sz="8" w:space="0"/>
              <w:right w:val="single" w:color="auto" w:sz="8" w:space="0"/>
            </w:tcBorders>
            <w:noWrap/>
            <w:vAlign w:val="center"/>
          </w:tcPr>
          <w:p>
            <w:pPr>
              <w:adjustRightInd w:val="0"/>
              <w:snapToGrid w:val="0"/>
              <w:spacing w:line="240" w:lineRule="auto"/>
              <w:rPr>
                <w:rFonts w:ascii="宋体" w:hAnsi="宋体"/>
                <w:sz w:val="24"/>
                <w:highlight w:val="none"/>
              </w:rPr>
            </w:pPr>
            <w:r>
              <w:rPr>
                <w:rFonts w:hint="eastAsia" w:ascii="宋体" w:hAnsi="宋体"/>
                <w:sz w:val="24"/>
                <w:highlight w:val="none"/>
              </w:rPr>
              <w:t>公司机关大院绿化总面积17446m2</w:t>
            </w:r>
            <w:r>
              <w:rPr>
                <w:rFonts w:ascii="宋体" w:hAnsi="宋体"/>
                <w:sz w:val="24"/>
                <w:highlight w:val="none"/>
              </w:rPr>
              <w:t>,</w:t>
            </w:r>
            <w:r>
              <w:rPr>
                <w:rFonts w:hint="eastAsia" w:ascii="宋体" w:hAnsi="宋体"/>
                <w:sz w:val="24"/>
                <w:highlight w:val="none"/>
              </w:rPr>
              <w:t>其中草皮6673 m2、停车位草籽2272 m2，小灌木8176 m2，，餐厅屋顶绿化面积325 m2，其间种植有乔木、大灌木5561株。</w:t>
            </w:r>
          </w:p>
        </w:tc>
        <w:tc>
          <w:tcPr>
            <w:tcW w:w="4394" w:type="dxa"/>
            <w:tcBorders>
              <w:top w:val="nil"/>
              <w:left w:val="nil"/>
              <w:bottom w:val="single" w:color="auto" w:sz="8" w:space="0"/>
              <w:right w:val="single" w:color="auto" w:sz="8" w:space="0"/>
            </w:tcBorders>
            <w:noWrap/>
            <w:vAlign w:val="center"/>
          </w:tcPr>
          <w:p>
            <w:pPr>
              <w:spacing w:line="240" w:lineRule="auto"/>
              <w:rPr>
                <w:rFonts w:ascii="宋体" w:hAnsi="宋体"/>
                <w:sz w:val="24"/>
                <w:highlight w:val="none"/>
              </w:rPr>
            </w:pPr>
            <w:r>
              <w:rPr>
                <w:rFonts w:hint="eastAsia" w:ascii="宋体" w:hAnsi="宋体"/>
                <w:sz w:val="24"/>
                <w:highlight w:val="none"/>
              </w:rPr>
              <w:t>管养工</w:t>
            </w:r>
            <w:r>
              <w:rPr>
                <w:rFonts w:ascii="宋体" w:hAnsi="宋体"/>
                <w:sz w:val="24"/>
                <w:highlight w:val="none"/>
              </w:rPr>
              <w:t>作应按照园林绿化管养操作规程及质量标准</w:t>
            </w:r>
            <w:r>
              <w:rPr>
                <w:rFonts w:hint="eastAsia" w:ascii="宋体" w:hAnsi="宋体"/>
                <w:sz w:val="24"/>
                <w:highlight w:val="none"/>
              </w:rPr>
              <w:t>执行</w:t>
            </w:r>
            <w:r>
              <w:rPr>
                <w:rFonts w:ascii="宋体" w:hAnsi="宋体"/>
                <w:sz w:val="24"/>
                <w:highlight w:val="none"/>
              </w:rPr>
              <w:t>，</w:t>
            </w:r>
            <w:r>
              <w:rPr>
                <w:rFonts w:hint="eastAsia" w:ascii="宋体" w:hAnsi="宋体"/>
                <w:sz w:val="24"/>
                <w:highlight w:val="none"/>
              </w:rPr>
              <w:t>包括公司机关大院绿化场区内苗木的浇灌、修剪、施肥、防治病虫害、松土、除草、防灾、补植、土质改良及清理绿化场区内垃圾等工作</w:t>
            </w:r>
            <w:r>
              <w:rPr>
                <w:rFonts w:hint="eastAsia" w:ascii="宋体" w:hAnsi="宋体" w:cs="宋体"/>
                <w:sz w:val="24"/>
                <w:highlight w:val="none"/>
              </w:rPr>
              <w:t>。</w:t>
            </w:r>
            <w:r>
              <w:rPr>
                <w:rFonts w:hint="eastAsia" w:ascii="宋体" w:hAnsi="宋体"/>
                <w:sz w:val="24"/>
                <w:highlight w:val="none"/>
              </w:rPr>
              <w:t>确保所有绿化花木长势良好，绿化成活面积达95%以上，乔木、大灌木成活率达98%以上，小灌木成活面积达95%以上。（满足但不局限于上述要求及内容）</w:t>
            </w:r>
          </w:p>
        </w:tc>
      </w:tr>
      <w:tr>
        <w:tblPrEx>
          <w:tblCellMar>
            <w:top w:w="0" w:type="dxa"/>
            <w:left w:w="108" w:type="dxa"/>
            <w:bottom w:w="0" w:type="dxa"/>
            <w:right w:w="108" w:type="dxa"/>
          </w:tblCellMar>
        </w:tblPrEx>
        <w:trPr>
          <w:trHeight w:val="749" w:hRule="atLeast"/>
        </w:trPr>
        <w:tc>
          <w:tcPr>
            <w:tcW w:w="4832" w:type="dxa"/>
            <w:gridSpan w:val="3"/>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宋体" w:hAnsi="宋体" w:cs="宋体"/>
                <w:kern w:val="0"/>
                <w:sz w:val="24"/>
                <w:highlight w:val="none"/>
              </w:rPr>
            </w:pPr>
            <w:r>
              <w:rPr>
                <w:rFonts w:hint="eastAsia" w:ascii="宋体" w:hAnsi="宋体" w:cs="宋体"/>
                <w:kern w:val="0"/>
                <w:sz w:val="24"/>
                <w:highlight w:val="none"/>
              </w:rPr>
              <w:t>总价（元）</w:t>
            </w:r>
          </w:p>
        </w:tc>
        <w:tc>
          <w:tcPr>
            <w:tcW w:w="4394" w:type="dxa"/>
            <w:tcBorders>
              <w:top w:val="nil"/>
              <w:left w:val="nil"/>
              <w:bottom w:val="single" w:color="auto" w:sz="8" w:space="0"/>
              <w:right w:val="single" w:color="auto" w:sz="8" w:space="0"/>
            </w:tcBorders>
            <w:noWrap/>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bl>
    <w:p>
      <w:pPr>
        <w:autoSpaceDE w:val="0"/>
        <w:autoSpaceDN w:val="0"/>
        <w:adjustRightInd w:val="0"/>
        <w:spacing w:before="10" w:line="360" w:lineRule="auto"/>
        <w:rPr>
          <w:sz w:val="24"/>
          <w:szCs w:val="24"/>
          <w:highlight w:val="none"/>
        </w:rPr>
      </w:pPr>
    </w:p>
    <w:p>
      <w:pPr>
        <w:tabs>
          <w:tab w:val="left" w:pos="7460"/>
          <w:tab w:val="left" w:pos="8080"/>
          <w:tab w:val="left" w:pos="8800"/>
        </w:tabs>
        <w:autoSpaceDE w:val="0"/>
        <w:autoSpaceDN w:val="0"/>
        <w:adjustRightInd w:val="0"/>
        <w:spacing w:line="360" w:lineRule="auto"/>
        <w:ind w:right="61"/>
        <w:jc w:val="right"/>
        <w:rPr>
          <w:rFonts w:ascii="宋体" w:hAnsi="宋体"/>
          <w:sz w:val="24"/>
          <w:highlight w:val="none"/>
        </w:rPr>
      </w:pPr>
      <w:r>
        <w:rPr>
          <w:rFonts w:hint="eastAsia" w:ascii="宋体" w:hAnsi="宋体"/>
          <w:sz w:val="24"/>
          <w:highlight w:val="none"/>
        </w:rPr>
        <w:t>报价人：</w:t>
      </w:r>
      <w:r>
        <w:rPr>
          <w:rFonts w:hint="eastAsia" w:ascii="宋体" w:hAnsi="宋体"/>
          <w:sz w:val="24"/>
          <w:highlight w:val="none"/>
          <w:u w:val="single"/>
        </w:rPr>
        <w:t xml:space="preserve">                     </w:t>
      </w:r>
      <w:r>
        <w:rPr>
          <w:rFonts w:hint="eastAsia" w:ascii="宋体" w:hAnsi="宋体"/>
          <w:sz w:val="24"/>
          <w:highlight w:val="none"/>
        </w:rPr>
        <w:t>(盖</w:t>
      </w:r>
      <w:r>
        <w:rPr>
          <w:rFonts w:hint="eastAsia" w:ascii="宋体" w:hAnsi="宋体"/>
          <w:spacing w:val="-1"/>
          <w:sz w:val="24"/>
          <w:highlight w:val="none"/>
        </w:rPr>
        <w:t>单</w:t>
      </w:r>
      <w:r>
        <w:rPr>
          <w:rFonts w:hint="eastAsia" w:ascii="宋体" w:hAnsi="宋体"/>
          <w:sz w:val="24"/>
          <w:highlight w:val="none"/>
        </w:rPr>
        <w:t xml:space="preserve">位章) </w:t>
      </w:r>
    </w:p>
    <w:p>
      <w:pPr>
        <w:tabs>
          <w:tab w:val="left" w:pos="7455"/>
          <w:tab w:val="left" w:pos="8080"/>
          <w:tab w:val="left" w:pos="8800"/>
        </w:tabs>
        <w:autoSpaceDE w:val="0"/>
        <w:autoSpaceDN w:val="0"/>
        <w:adjustRightInd w:val="0"/>
        <w:spacing w:line="360" w:lineRule="auto"/>
        <w:ind w:left="3641" w:right="61"/>
        <w:rPr>
          <w:rFonts w:ascii="宋体" w:hAnsi="宋体"/>
          <w:sz w:val="24"/>
          <w:highlight w:val="none"/>
        </w:rPr>
      </w:pPr>
      <w:r>
        <w:rPr>
          <w:rFonts w:hint="eastAsia" w:ascii="宋体" w:hAnsi="宋体"/>
          <w:sz w:val="24"/>
          <w:highlight w:val="none"/>
        </w:rPr>
        <w:t>法定代表人或其委托代理人：</w:t>
      </w:r>
      <w:r>
        <w:rPr>
          <w:rFonts w:hint="eastAsia" w:ascii="宋体" w:hAnsi="宋体"/>
          <w:sz w:val="24"/>
          <w:highlight w:val="none"/>
          <w:u w:val="single"/>
        </w:rPr>
        <w:t xml:space="preserve">   </w:t>
      </w:r>
      <w:r>
        <w:rPr>
          <w:rFonts w:hint="eastAsia" w:ascii="宋体" w:hAnsi="宋体"/>
          <w:sz w:val="24"/>
          <w:highlight w:val="none"/>
          <w:u w:val="single"/>
        </w:rPr>
        <w:tab/>
      </w:r>
      <w:r>
        <w:rPr>
          <w:rFonts w:hint="eastAsia" w:ascii="宋体" w:hAnsi="宋体"/>
          <w:sz w:val="24"/>
          <w:highlight w:val="none"/>
        </w:rPr>
        <w:t>(</w:t>
      </w:r>
      <w:r>
        <w:rPr>
          <w:rFonts w:hint="eastAsia" w:ascii="宋体" w:hAnsi="宋体"/>
          <w:spacing w:val="-1"/>
          <w:sz w:val="24"/>
          <w:highlight w:val="none"/>
        </w:rPr>
        <w:t>签</w:t>
      </w:r>
      <w:r>
        <w:rPr>
          <w:rFonts w:hint="eastAsia" w:ascii="宋体" w:hAnsi="宋体"/>
          <w:sz w:val="24"/>
          <w:highlight w:val="none"/>
        </w:rPr>
        <w:t xml:space="preserve">字) </w:t>
      </w:r>
    </w:p>
    <w:p>
      <w:pPr>
        <w:ind w:firstLine="3600" w:firstLineChars="1500"/>
        <w:rPr>
          <w:rFonts w:ascii="宋体" w:hAnsi="宋体"/>
          <w:sz w:val="24"/>
          <w:highlight w:val="none"/>
        </w:rPr>
      </w:pPr>
      <w:r>
        <w:rPr>
          <w:rFonts w:hint="eastAsia" w:ascii="宋体" w:hAnsi="宋体"/>
          <w:sz w:val="24"/>
          <w:highlight w:val="none"/>
        </w:rPr>
        <w:t>报价时间：</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pStyle w:val="2"/>
        <w:rPr>
          <w:rFonts w:hint="eastAsia" w:ascii="宋体" w:hAnsi="宋体"/>
          <w:sz w:val="21"/>
          <w:szCs w:val="21"/>
          <w:highlight w:val="none"/>
        </w:rPr>
      </w:pPr>
    </w:p>
    <w:p>
      <w:pPr>
        <w:pStyle w:val="2"/>
        <w:rPr>
          <w:rFonts w:ascii="宋体" w:hAnsi="宋体"/>
          <w:sz w:val="21"/>
          <w:szCs w:val="21"/>
          <w:highlight w:val="none"/>
        </w:rPr>
      </w:pPr>
      <w:r>
        <w:rPr>
          <w:rFonts w:hint="eastAsia" w:ascii="宋体" w:hAnsi="宋体"/>
          <w:sz w:val="21"/>
          <w:szCs w:val="21"/>
          <w:highlight w:val="none"/>
        </w:rPr>
        <w:t>注：本报价包含实施和完成项目所需的包含人工费、苗木补植费、肥料及材料费、土质改良费、设备及燃油费、运费、税金、利润等所有内容，住宿、通行费自理，</w:t>
      </w:r>
      <w:r>
        <w:rPr>
          <w:rFonts w:hint="eastAsia" w:ascii="宋体" w:hAnsi="宋体"/>
          <w:sz w:val="21"/>
          <w:szCs w:val="21"/>
          <w:highlight w:val="none"/>
          <w:lang w:eastAsia="zh-CN"/>
        </w:rPr>
        <w:t>询价</w:t>
      </w:r>
      <w:r>
        <w:rPr>
          <w:rFonts w:hint="eastAsia" w:ascii="宋体" w:hAnsi="宋体"/>
          <w:sz w:val="21"/>
          <w:szCs w:val="21"/>
          <w:highlight w:val="none"/>
        </w:rPr>
        <w:t>人不再另行支付其他费用</w:t>
      </w:r>
      <w:r>
        <w:rPr>
          <w:rFonts w:hint="eastAsia" w:ascii="宋体" w:hAnsi="宋体"/>
          <w:sz w:val="21"/>
          <w:szCs w:val="21"/>
          <w:highlight w:val="none"/>
          <w:lang w:eastAsia="zh-CN"/>
        </w:rPr>
        <w:t>，</w:t>
      </w:r>
      <w:r>
        <w:rPr>
          <w:rFonts w:hint="eastAsia" w:ascii="宋体" w:hAnsi="宋体"/>
          <w:sz w:val="21"/>
          <w:szCs w:val="21"/>
          <w:highlight w:val="none"/>
        </w:rPr>
        <w:t>浇灌用水由</w:t>
      </w:r>
      <w:r>
        <w:rPr>
          <w:rFonts w:hint="eastAsia" w:ascii="宋体" w:hAnsi="宋体"/>
          <w:sz w:val="21"/>
          <w:szCs w:val="21"/>
          <w:highlight w:val="none"/>
          <w:lang w:eastAsia="zh-CN"/>
        </w:rPr>
        <w:t>询价</w:t>
      </w:r>
      <w:r>
        <w:rPr>
          <w:rFonts w:hint="eastAsia" w:ascii="宋体" w:hAnsi="宋体"/>
          <w:sz w:val="21"/>
          <w:szCs w:val="21"/>
          <w:highlight w:val="none"/>
        </w:rPr>
        <w:t>人提供，承包人要注意节约用水。</w:t>
      </w:r>
    </w:p>
    <w:p>
      <w:pPr>
        <w:spacing w:before="312" w:beforeLines="100" w:after="312" w:afterLines="100" w:line="360" w:lineRule="auto"/>
        <w:ind w:firstLine="600"/>
        <w:jc w:val="center"/>
        <w:outlineLvl w:val="2"/>
        <w:rPr>
          <w:rFonts w:ascii="Times New Roman" w:hAnsi="Times New Roman" w:eastAsia="黑体"/>
          <w:bCs/>
          <w:sz w:val="30"/>
          <w:szCs w:val="30"/>
          <w:highlight w:val="none"/>
        </w:rPr>
      </w:pPr>
      <w:r>
        <w:rPr>
          <w:rFonts w:hint="eastAsia" w:ascii="宋体" w:hAnsi="宋体"/>
          <w:sz w:val="22"/>
          <w:highlight w:val="none"/>
        </w:rPr>
        <w:br w:type="page"/>
      </w:r>
      <w:r>
        <w:rPr>
          <w:rFonts w:hint="eastAsia" w:eastAsia="黑体"/>
          <w:bCs/>
          <w:sz w:val="30"/>
          <w:szCs w:val="30"/>
          <w:highlight w:val="none"/>
        </w:rPr>
        <w:t>信誉承诺表</w:t>
      </w:r>
    </w:p>
    <w:p>
      <w:pPr>
        <w:ind w:firstLine="480"/>
        <w:rPr>
          <w:rFonts w:eastAsia="宋体"/>
          <w:szCs w:val="24"/>
          <w:highlight w:val="none"/>
        </w:rPr>
      </w:pPr>
    </w:p>
    <w:tbl>
      <w:tblPr>
        <w:tblStyle w:val="9"/>
        <w:tblW w:w="95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3" w:hRule="atLeast"/>
          <w:jc w:val="center"/>
        </w:trPr>
        <w:tc>
          <w:tcPr>
            <w:tcW w:w="1039" w:type="dxa"/>
            <w:tcBorders>
              <w:top w:val="single" w:color="auto" w:sz="12"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highlight w:val="none"/>
              </w:rPr>
            </w:pPr>
            <w:r>
              <w:rPr>
                <w:rFonts w:hint="eastAsia"/>
                <w:szCs w:val="21"/>
                <w:highlight w:val="none"/>
              </w:rPr>
              <w:t>序号</w:t>
            </w:r>
          </w:p>
        </w:tc>
        <w:tc>
          <w:tcPr>
            <w:tcW w:w="6219"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360" w:lineRule="auto"/>
              <w:jc w:val="center"/>
              <w:rPr>
                <w:szCs w:val="21"/>
                <w:highlight w:val="none"/>
              </w:rPr>
            </w:pPr>
            <w:r>
              <w:rPr>
                <w:rFonts w:hint="eastAsia"/>
                <w:szCs w:val="21"/>
                <w:highlight w:val="none"/>
              </w:rPr>
              <w:t>信誉内容</w:t>
            </w:r>
          </w:p>
        </w:tc>
        <w:tc>
          <w:tcPr>
            <w:tcW w:w="2257" w:type="dxa"/>
            <w:tcBorders>
              <w:top w:val="single" w:color="auto" w:sz="12" w:space="0"/>
              <w:left w:val="single" w:color="auto" w:sz="6" w:space="0"/>
              <w:bottom w:val="single" w:color="auto" w:sz="6" w:space="0"/>
              <w:right w:val="single" w:color="auto" w:sz="12" w:space="0"/>
            </w:tcBorders>
            <w:vAlign w:val="center"/>
          </w:tcPr>
          <w:p>
            <w:pPr>
              <w:adjustRightInd w:val="0"/>
              <w:snapToGrid w:val="0"/>
              <w:spacing w:line="360" w:lineRule="auto"/>
              <w:jc w:val="center"/>
              <w:rPr>
                <w:szCs w:val="21"/>
                <w:highlight w:val="none"/>
              </w:rPr>
            </w:pPr>
            <w:r>
              <w:rPr>
                <w:rFonts w:hint="eastAsia"/>
                <w:szCs w:val="21"/>
                <w:highlight w:val="none"/>
              </w:rPr>
              <w:t>报价人情况说明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360" w:lineRule="auto"/>
              <w:jc w:val="center"/>
              <w:rPr>
                <w:szCs w:val="21"/>
                <w:highlight w:val="none"/>
              </w:rPr>
            </w:pPr>
            <w:r>
              <w:rPr>
                <w:szCs w:val="21"/>
                <w:highlight w:val="none"/>
              </w:rPr>
              <w:t>1</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highlight w:val="none"/>
              </w:rPr>
            </w:pPr>
            <w:r>
              <w:rPr>
                <w:rFonts w:hint="eastAsia" w:ascii="华文细黑" w:hAnsi="华文细黑"/>
                <w:szCs w:val="26"/>
                <w:highlight w:val="none"/>
              </w:rPr>
              <w:t>是否</w:t>
            </w:r>
            <w:r>
              <w:rPr>
                <w:rFonts w:hint="eastAsia" w:ascii="华文细黑" w:hAnsi="华文细黑"/>
                <w:sz w:val="24"/>
                <w:szCs w:val="26"/>
                <w:highlight w:val="none"/>
              </w:rPr>
              <w:t>被责令停业，暂扣或吊销执照，或吊销资质证书</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highlight w:val="none"/>
              </w:rPr>
            </w:pPr>
            <w:r>
              <w:rPr>
                <w:szCs w:val="21"/>
                <w:highlight w:val="none"/>
              </w:rPr>
              <w:t>2</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highlight w:val="none"/>
              </w:rPr>
            </w:pPr>
            <w:r>
              <w:rPr>
                <w:rFonts w:hint="eastAsia" w:ascii="华文细黑" w:hAnsi="华文细黑"/>
                <w:szCs w:val="26"/>
                <w:highlight w:val="none"/>
              </w:rPr>
              <w:t>是否</w:t>
            </w:r>
            <w:r>
              <w:rPr>
                <w:rFonts w:hint="eastAsia" w:ascii="华文细黑" w:hAnsi="华文细黑"/>
                <w:sz w:val="24"/>
                <w:szCs w:val="26"/>
                <w:highlight w:val="none"/>
              </w:rPr>
              <w:t>进入清算程序，或被宣告破产，或其他丧失履约能力的情形</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highlight w:val="none"/>
              </w:rPr>
            </w:pPr>
            <w:r>
              <w:rPr>
                <w:szCs w:val="21"/>
                <w:highlight w:val="none"/>
              </w:rPr>
              <w:t>3</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highlight w:val="none"/>
              </w:rPr>
            </w:pPr>
            <w:r>
              <w:rPr>
                <w:rFonts w:hint="eastAsia" w:ascii="华文细黑" w:hAnsi="华文细黑"/>
                <w:szCs w:val="26"/>
                <w:highlight w:val="none"/>
              </w:rPr>
              <w:t>是否</w:t>
            </w:r>
            <w:r>
              <w:rPr>
                <w:rFonts w:hint="eastAsia" w:ascii="华文细黑" w:hAnsi="华文细黑"/>
                <w:sz w:val="24"/>
                <w:szCs w:val="26"/>
                <w:highlight w:val="none"/>
              </w:rPr>
              <w:t>在国家企业信用信息公示系统</w:t>
            </w:r>
            <w:r>
              <w:rPr>
                <w:highlight w:val="none"/>
              </w:rPr>
              <w:fldChar w:fldCharType="begin"/>
            </w:r>
            <w:r>
              <w:rPr>
                <w:highlight w:val="none"/>
              </w:rPr>
              <w:instrText xml:space="preserve"> HYPERLINK "http://www.gsxt.gov.cn/" </w:instrText>
            </w:r>
            <w:r>
              <w:rPr>
                <w:highlight w:val="none"/>
              </w:rPr>
              <w:fldChar w:fldCharType="separate"/>
            </w:r>
            <w:r>
              <w:rPr>
                <w:rStyle w:val="12"/>
                <w:rFonts w:hint="eastAsia" w:ascii="华文细黑" w:hAnsi="华文细黑"/>
                <w:color w:val="auto"/>
                <w:sz w:val="24"/>
                <w:szCs w:val="26"/>
                <w:highlight w:val="none"/>
              </w:rPr>
              <w:t>（http://www.gsxt.gov.cn</w:t>
            </w:r>
            <w:r>
              <w:rPr>
                <w:rStyle w:val="12"/>
                <w:rFonts w:hint="eastAsia" w:ascii="华文细黑" w:hAnsi="华文细黑"/>
                <w:color w:val="auto"/>
                <w:sz w:val="24"/>
                <w:szCs w:val="26"/>
                <w:highlight w:val="none"/>
              </w:rPr>
              <w:fldChar w:fldCharType="end"/>
            </w:r>
            <w:r>
              <w:rPr>
                <w:rFonts w:hint="eastAsia" w:ascii="华文细黑" w:hAnsi="华文细黑"/>
                <w:sz w:val="24"/>
                <w:szCs w:val="26"/>
                <w:highlight w:val="none"/>
              </w:rPr>
              <w:t>）中被列入严重违法失信企业名单</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highlight w:val="none"/>
              </w:rPr>
            </w:pPr>
            <w:r>
              <w:rPr>
                <w:szCs w:val="21"/>
                <w:highlight w:val="none"/>
              </w:rPr>
              <w:t>4</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highlight w:val="none"/>
              </w:rPr>
            </w:pPr>
            <w:r>
              <w:rPr>
                <w:rFonts w:hint="eastAsia" w:ascii="华文细黑" w:hAnsi="华文细黑"/>
                <w:szCs w:val="26"/>
                <w:highlight w:val="none"/>
              </w:rPr>
              <w:t>是否</w:t>
            </w:r>
            <w:r>
              <w:rPr>
                <w:rFonts w:hint="eastAsia" w:ascii="华文细黑" w:hAnsi="华文细黑"/>
                <w:sz w:val="24"/>
                <w:szCs w:val="26"/>
                <w:highlight w:val="none"/>
              </w:rPr>
              <w:t>在“信用中国”网站（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12"/>
                <w:rFonts w:hint="eastAsia" w:ascii="华文细黑" w:hAnsi="华文细黑"/>
                <w:color w:val="auto"/>
                <w:sz w:val="24"/>
                <w:szCs w:val="26"/>
                <w:highlight w:val="none"/>
              </w:rPr>
              <w:t>http://www.creditchina.gov.cn</w:t>
            </w:r>
            <w:r>
              <w:rPr>
                <w:rStyle w:val="12"/>
                <w:rFonts w:hint="eastAsia" w:ascii="华文细黑" w:hAnsi="华文细黑"/>
                <w:color w:val="auto"/>
                <w:sz w:val="24"/>
                <w:szCs w:val="26"/>
                <w:highlight w:val="none"/>
              </w:rPr>
              <w:fldChar w:fldCharType="end"/>
            </w:r>
            <w:r>
              <w:rPr>
                <w:rFonts w:hint="eastAsia" w:ascii="华文细黑" w:hAnsi="华文细黑"/>
                <w:sz w:val="24"/>
                <w:szCs w:val="26"/>
                <w:highlight w:val="none"/>
              </w:rPr>
              <w:t>）中被列入失信被执行人名单</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12" w:space="0"/>
              <w:right w:val="single" w:color="auto" w:sz="6" w:space="0"/>
            </w:tcBorders>
            <w:vAlign w:val="center"/>
          </w:tcPr>
          <w:p>
            <w:pPr>
              <w:adjustRightInd w:val="0"/>
              <w:snapToGrid w:val="0"/>
              <w:spacing w:line="360" w:lineRule="auto"/>
              <w:jc w:val="center"/>
              <w:rPr>
                <w:szCs w:val="21"/>
                <w:highlight w:val="none"/>
              </w:rPr>
            </w:pPr>
            <w:r>
              <w:rPr>
                <w:rFonts w:hint="eastAsia"/>
                <w:szCs w:val="21"/>
                <w:highlight w:val="none"/>
              </w:rPr>
              <w:t>5</w:t>
            </w:r>
          </w:p>
        </w:tc>
        <w:tc>
          <w:tcPr>
            <w:tcW w:w="621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rPr>
                <w:rFonts w:ascii="华文细黑" w:hAnsi="华文细黑"/>
                <w:szCs w:val="26"/>
                <w:highlight w:val="none"/>
              </w:rPr>
            </w:pPr>
            <w:r>
              <w:rPr>
                <w:rFonts w:hint="eastAsia" w:ascii="华文细黑" w:hAnsi="华文细黑"/>
                <w:sz w:val="24"/>
                <w:szCs w:val="26"/>
                <w:highlight w:val="none"/>
              </w:rPr>
              <w:t>报价人是否存在弄虚作假的行为</w:t>
            </w:r>
          </w:p>
        </w:tc>
        <w:tc>
          <w:tcPr>
            <w:tcW w:w="2257" w:type="dxa"/>
            <w:tcBorders>
              <w:top w:val="single" w:color="auto" w:sz="6" w:space="0"/>
              <w:left w:val="single" w:color="auto" w:sz="6" w:space="0"/>
              <w:bottom w:val="single" w:color="auto" w:sz="12" w:space="0"/>
              <w:right w:val="single" w:color="auto" w:sz="12" w:space="0"/>
            </w:tcBorders>
            <w:vAlign w:val="center"/>
          </w:tcPr>
          <w:p>
            <w:pPr>
              <w:adjustRightInd w:val="0"/>
              <w:snapToGrid w:val="0"/>
              <w:spacing w:line="360" w:lineRule="auto"/>
              <w:rPr>
                <w:szCs w:val="21"/>
                <w:highlight w:val="none"/>
              </w:rPr>
            </w:pPr>
          </w:p>
        </w:tc>
      </w:tr>
    </w:tbl>
    <w:p>
      <w:pPr>
        <w:jc w:val="left"/>
        <w:rPr>
          <w:sz w:val="24"/>
          <w:highlight w:val="none"/>
        </w:rPr>
      </w:pPr>
      <w:r>
        <w:rPr>
          <w:sz w:val="24"/>
          <w:highlight w:val="none"/>
        </w:rPr>
        <w:t>注：1.</w:t>
      </w:r>
      <w:r>
        <w:rPr>
          <w:rFonts w:hint="eastAsia"/>
          <w:sz w:val="24"/>
          <w:highlight w:val="none"/>
        </w:rPr>
        <w:t>报价人情况说明请填写“是”或“否”。</w:t>
      </w:r>
    </w:p>
    <w:p>
      <w:pPr>
        <w:ind w:left="479" w:leftChars="228"/>
        <w:rPr>
          <w:sz w:val="24"/>
          <w:highlight w:val="none"/>
        </w:rPr>
      </w:pPr>
      <w:r>
        <w:rPr>
          <w:sz w:val="24"/>
          <w:highlight w:val="none"/>
        </w:rPr>
        <w:t>2.</w:t>
      </w:r>
      <w:r>
        <w:rPr>
          <w:rFonts w:hint="eastAsia"/>
          <w:sz w:val="24"/>
          <w:highlight w:val="none"/>
        </w:rPr>
        <w:t>报价</w:t>
      </w:r>
      <w:r>
        <w:rPr>
          <w:sz w:val="24"/>
          <w:highlight w:val="none"/>
        </w:rPr>
        <w:t>人应如实填写本表，如隐瞒真实情况，一旦发现</w:t>
      </w:r>
      <w:r>
        <w:rPr>
          <w:rFonts w:hint="eastAsia"/>
          <w:sz w:val="24"/>
          <w:highlight w:val="none"/>
        </w:rPr>
        <w:t>询价人有权</w:t>
      </w:r>
      <w:r>
        <w:rPr>
          <w:sz w:val="24"/>
          <w:highlight w:val="none"/>
        </w:rPr>
        <w:t>取消其</w:t>
      </w:r>
      <w:r>
        <w:rPr>
          <w:rFonts w:hint="eastAsia"/>
          <w:sz w:val="24"/>
          <w:highlight w:val="none"/>
        </w:rPr>
        <w:t>中选</w:t>
      </w:r>
      <w:r>
        <w:rPr>
          <w:sz w:val="24"/>
          <w:highlight w:val="none"/>
        </w:rPr>
        <w:t>资格</w:t>
      </w:r>
      <w:r>
        <w:rPr>
          <w:rFonts w:hint="eastAsia"/>
          <w:sz w:val="24"/>
          <w:highlight w:val="none"/>
        </w:rPr>
        <w:t>，并没收其询价保证金。</w:t>
      </w:r>
    </w:p>
    <w:p>
      <w:pPr>
        <w:pStyle w:val="2"/>
        <w:spacing w:before="0" w:after="0" w:line="240" w:lineRule="auto"/>
        <w:ind w:left="479" w:leftChars="228"/>
        <w:rPr>
          <w:rFonts w:ascii="Times New Roman" w:hAnsi="Times New Roman" w:eastAsia="宋体" w:cs="Times New Roman"/>
          <w:b w:val="0"/>
          <w:sz w:val="24"/>
          <w:szCs w:val="24"/>
          <w:highlight w:val="none"/>
        </w:rPr>
      </w:pPr>
      <w:r>
        <w:rPr>
          <w:rFonts w:hint="eastAsia" w:ascii="Times New Roman" w:hAnsi="Times New Roman" w:eastAsia="宋体" w:cs="Times New Roman"/>
          <w:b w:val="0"/>
          <w:sz w:val="24"/>
          <w:szCs w:val="24"/>
          <w:highlight w:val="none"/>
        </w:rPr>
        <w:t>3.</w:t>
      </w:r>
      <w:r>
        <w:rPr>
          <w:rFonts w:hint="eastAsia" w:cs="Times New Roman"/>
          <w:b w:val="0"/>
          <w:sz w:val="24"/>
          <w:szCs w:val="24"/>
          <w:highlight w:val="none"/>
        </w:rPr>
        <w:t>询价</w:t>
      </w:r>
      <w:r>
        <w:rPr>
          <w:rFonts w:hint="eastAsia" w:ascii="Times New Roman" w:hAnsi="Times New Roman" w:eastAsia="宋体" w:cs="Times New Roman"/>
          <w:b w:val="0"/>
          <w:sz w:val="24"/>
          <w:szCs w:val="24"/>
          <w:highlight w:val="none"/>
        </w:rPr>
        <w:t>人有权核查</w:t>
      </w:r>
      <w:r>
        <w:rPr>
          <w:rFonts w:hint="eastAsia" w:cs="Times New Roman"/>
          <w:b w:val="0"/>
          <w:sz w:val="24"/>
          <w:szCs w:val="24"/>
          <w:highlight w:val="none"/>
        </w:rPr>
        <w:t>报价</w:t>
      </w:r>
      <w:r>
        <w:rPr>
          <w:rFonts w:hint="eastAsia" w:ascii="Times New Roman" w:hAnsi="Times New Roman" w:eastAsia="宋体" w:cs="Times New Roman"/>
          <w:b w:val="0"/>
          <w:sz w:val="24"/>
          <w:szCs w:val="24"/>
          <w:highlight w:val="none"/>
        </w:rPr>
        <w:t>人在</w:t>
      </w:r>
      <w:r>
        <w:rPr>
          <w:rFonts w:hint="eastAsia" w:cs="Times New Roman"/>
          <w:b w:val="0"/>
          <w:sz w:val="24"/>
          <w:szCs w:val="24"/>
          <w:highlight w:val="none"/>
        </w:rPr>
        <w:t>报价</w:t>
      </w:r>
      <w:r>
        <w:rPr>
          <w:rFonts w:hint="eastAsia" w:ascii="Times New Roman" w:hAnsi="Times New Roman" w:eastAsia="宋体" w:cs="Times New Roman"/>
          <w:b w:val="0"/>
          <w:sz w:val="24"/>
          <w:szCs w:val="24"/>
          <w:highlight w:val="none"/>
        </w:rPr>
        <w:t>文件中提供的资料</w:t>
      </w:r>
      <w:r>
        <w:rPr>
          <w:rFonts w:hint="eastAsia" w:cs="Times New Roman"/>
          <w:b w:val="0"/>
          <w:sz w:val="24"/>
          <w:szCs w:val="24"/>
          <w:highlight w:val="none"/>
        </w:rPr>
        <w:t>，</w:t>
      </w:r>
      <w:r>
        <w:rPr>
          <w:rFonts w:hint="eastAsia" w:ascii="Times New Roman" w:hAnsi="Times New Roman" w:eastAsia="宋体" w:cs="Times New Roman"/>
          <w:b w:val="0"/>
          <w:sz w:val="24"/>
          <w:szCs w:val="24"/>
          <w:highlight w:val="none"/>
        </w:rPr>
        <w:t>若在</w:t>
      </w:r>
      <w:r>
        <w:rPr>
          <w:rFonts w:hint="eastAsia" w:cs="Times New Roman"/>
          <w:b w:val="0"/>
          <w:sz w:val="24"/>
          <w:szCs w:val="24"/>
          <w:highlight w:val="none"/>
        </w:rPr>
        <w:t>评审</w:t>
      </w:r>
      <w:r>
        <w:rPr>
          <w:rFonts w:hint="eastAsia" w:ascii="Times New Roman" w:hAnsi="Times New Roman" w:eastAsia="宋体" w:cs="Times New Roman"/>
          <w:b w:val="0"/>
          <w:sz w:val="24"/>
          <w:szCs w:val="24"/>
          <w:highlight w:val="none"/>
        </w:rPr>
        <w:t>期间发现</w:t>
      </w:r>
      <w:r>
        <w:rPr>
          <w:rFonts w:hint="eastAsia" w:cs="Times New Roman"/>
          <w:b w:val="0"/>
          <w:sz w:val="24"/>
          <w:szCs w:val="24"/>
          <w:highlight w:val="none"/>
        </w:rPr>
        <w:t>报价</w:t>
      </w:r>
      <w:r>
        <w:rPr>
          <w:rFonts w:hint="eastAsia" w:ascii="Times New Roman" w:hAnsi="Times New Roman" w:eastAsia="宋体" w:cs="Times New Roman"/>
          <w:b w:val="0"/>
          <w:sz w:val="24"/>
          <w:szCs w:val="24"/>
          <w:highlight w:val="none"/>
        </w:rPr>
        <w:t>人提供了虚假资料</w:t>
      </w:r>
      <w:r>
        <w:rPr>
          <w:rFonts w:hint="eastAsia" w:cs="Times New Roman"/>
          <w:b w:val="0"/>
          <w:sz w:val="24"/>
          <w:szCs w:val="24"/>
          <w:highlight w:val="none"/>
        </w:rPr>
        <w:t>，</w:t>
      </w:r>
      <w:r>
        <w:rPr>
          <w:rFonts w:hint="eastAsia" w:ascii="Times New Roman" w:hAnsi="Times New Roman" w:eastAsia="宋体" w:cs="Times New Roman"/>
          <w:b w:val="0"/>
          <w:sz w:val="24"/>
          <w:szCs w:val="24"/>
          <w:highlight w:val="none"/>
        </w:rPr>
        <w:t>其</w:t>
      </w:r>
      <w:r>
        <w:rPr>
          <w:rFonts w:hint="eastAsia" w:cs="Times New Roman"/>
          <w:b w:val="0"/>
          <w:sz w:val="24"/>
          <w:szCs w:val="24"/>
          <w:highlight w:val="none"/>
        </w:rPr>
        <w:t>报价</w:t>
      </w:r>
      <w:r>
        <w:rPr>
          <w:rFonts w:hint="eastAsia" w:ascii="Times New Roman" w:hAnsi="Times New Roman" w:eastAsia="宋体" w:cs="Times New Roman"/>
          <w:b w:val="0"/>
          <w:sz w:val="24"/>
          <w:szCs w:val="24"/>
          <w:highlight w:val="none"/>
        </w:rPr>
        <w:t>将被否决</w:t>
      </w:r>
      <w:r>
        <w:rPr>
          <w:rFonts w:hint="eastAsia" w:cs="Times New Roman"/>
          <w:b w:val="0"/>
          <w:sz w:val="24"/>
          <w:szCs w:val="24"/>
          <w:highlight w:val="none"/>
        </w:rPr>
        <w:t>并没收其询价保证金；</w:t>
      </w:r>
      <w:r>
        <w:rPr>
          <w:rFonts w:hint="eastAsia" w:ascii="Times New Roman" w:hAnsi="Times New Roman" w:eastAsia="宋体" w:cs="Times New Roman"/>
          <w:b w:val="0"/>
          <w:sz w:val="24"/>
          <w:szCs w:val="24"/>
          <w:highlight w:val="none"/>
        </w:rPr>
        <w:t>若在签订合同前发现</w:t>
      </w:r>
      <w:r>
        <w:rPr>
          <w:rFonts w:hint="eastAsia" w:cs="Times New Roman"/>
          <w:b w:val="0"/>
          <w:sz w:val="24"/>
          <w:szCs w:val="24"/>
          <w:highlight w:val="none"/>
        </w:rPr>
        <w:t>第一成交候选人</w:t>
      </w:r>
      <w:r>
        <w:rPr>
          <w:rFonts w:hint="eastAsia" w:ascii="Times New Roman" w:hAnsi="Times New Roman" w:eastAsia="宋体" w:cs="Times New Roman"/>
          <w:b w:val="0"/>
          <w:sz w:val="24"/>
          <w:szCs w:val="24"/>
          <w:highlight w:val="none"/>
        </w:rPr>
        <w:t>提供了虚假资料</w:t>
      </w:r>
      <w:r>
        <w:rPr>
          <w:rFonts w:hint="eastAsia" w:cs="Times New Roman"/>
          <w:b w:val="0"/>
          <w:sz w:val="24"/>
          <w:szCs w:val="24"/>
          <w:highlight w:val="none"/>
        </w:rPr>
        <w:t>，询价</w:t>
      </w:r>
      <w:r>
        <w:rPr>
          <w:rFonts w:hint="eastAsia" w:ascii="Times New Roman" w:hAnsi="Times New Roman" w:eastAsia="宋体" w:cs="Times New Roman"/>
          <w:b w:val="0"/>
          <w:sz w:val="24"/>
          <w:szCs w:val="24"/>
          <w:highlight w:val="none"/>
        </w:rPr>
        <w:t>人有权取消其中</w:t>
      </w:r>
      <w:r>
        <w:rPr>
          <w:rFonts w:hint="eastAsia" w:cs="Times New Roman"/>
          <w:b w:val="0"/>
          <w:sz w:val="24"/>
          <w:szCs w:val="24"/>
          <w:highlight w:val="none"/>
        </w:rPr>
        <w:t>选</w:t>
      </w:r>
      <w:r>
        <w:rPr>
          <w:rFonts w:hint="eastAsia" w:ascii="Times New Roman" w:hAnsi="Times New Roman" w:eastAsia="宋体" w:cs="Times New Roman"/>
          <w:b w:val="0"/>
          <w:sz w:val="24"/>
          <w:szCs w:val="24"/>
          <w:highlight w:val="none"/>
        </w:rPr>
        <w:t>资格</w:t>
      </w:r>
      <w:r>
        <w:rPr>
          <w:rFonts w:hint="eastAsia" w:cs="Times New Roman"/>
          <w:b w:val="0"/>
          <w:sz w:val="24"/>
          <w:szCs w:val="24"/>
          <w:highlight w:val="none"/>
        </w:rPr>
        <w:t>并没收其询价保证金；</w:t>
      </w:r>
      <w:r>
        <w:rPr>
          <w:rFonts w:hint="eastAsia" w:ascii="Times New Roman" w:hAnsi="Times New Roman" w:eastAsia="宋体" w:cs="Times New Roman"/>
          <w:b w:val="0"/>
          <w:sz w:val="24"/>
          <w:szCs w:val="24"/>
          <w:highlight w:val="none"/>
        </w:rPr>
        <w:t>若在合同实施期间发现中</w:t>
      </w:r>
      <w:r>
        <w:rPr>
          <w:rFonts w:hint="eastAsia" w:cs="Times New Roman"/>
          <w:b w:val="0"/>
          <w:sz w:val="24"/>
          <w:szCs w:val="24"/>
          <w:highlight w:val="none"/>
        </w:rPr>
        <w:t>选</w:t>
      </w:r>
      <w:r>
        <w:rPr>
          <w:rFonts w:hint="eastAsia" w:ascii="Times New Roman" w:hAnsi="Times New Roman" w:eastAsia="宋体" w:cs="Times New Roman"/>
          <w:b w:val="0"/>
          <w:sz w:val="24"/>
          <w:szCs w:val="24"/>
          <w:highlight w:val="none"/>
        </w:rPr>
        <w:t>人提供了虚假资料</w:t>
      </w:r>
      <w:r>
        <w:rPr>
          <w:rFonts w:hint="eastAsia" w:cs="Times New Roman"/>
          <w:b w:val="0"/>
          <w:sz w:val="24"/>
          <w:szCs w:val="24"/>
          <w:highlight w:val="none"/>
        </w:rPr>
        <w:t>，询价</w:t>
      </w:r>
      <w:r>
        <w:rPr>
          <w:rFonts w:hint="eastAsia" w:ascii="Times New Roman" w:hAnsi="Times New Roman" w:eastAsia="宋体" w:cs="Times New Roman"/>
          <w:b w:val="0"/>
          <w:sz w:val="24"/>
          <w:szCs w:val="24"/>
          <w:highlight w:val="none"/>
        </w:rPr>
        <w:t>人有权从工程支付款或履约保证金中扣除10%签约合同价的金额作为违约金。同时</w:t>
      </w:r>
      <w:r>
        <w:rPr>
          <w:rFonts w:hint="eastAsia" w:cs="Times New Roman"/>
          <w:b w:val="0"/>
          <w:sz w:val="24"/>
          <w:szCs w:val="24"/>
          <w:highlight w:val="none"/>
        </w:rPr>
        <w:t>询价</w:t>
      </w:r>
      <w:r>
        <w:rPr>
          <w:rFonts w:hint="eastAsia" w:ascii="Times New Roman" w:hAnsi="Times New Roman" w:eastAsia="宋体" w:cs="Times New Roman"/>
          <w:b w:val="0"/>
          <w:sz w:val="24"/>
          <w:szCs w:val="24"/>
          <w:highlight w:val="none"/>
        </w:rPr>
        <w:t>人</w:t>
      </w:r>
      <w:r>
        <w:rPr>
          <w:rFonts w:hint="eastAsia" w:cs="Times New Roman"/>
          <w:b w:val="0"/>
          <w:sz w:val="24"/>
          <w:szCs w:val="24"/>
          <w:highlight w:val="none"/>
        </w:rPr>
        <w:t>有权</w:t>
      </w:r>
      <w:r>
        <w:rPr>
          <w:rFonts w:hint="eastAsia" w:ascii="Times New Roman" w:hAnsi="Times New Roman" w:eastAsia="宋体" w:cs="Times New Roman"/>
          <w:b w:val="0"/>
          <w:sz w:val="24"/>
          <w:szCs w:val="24"/>
          <w:highlight w:val="none"/>
        </w:rPr>
        <w:t>将</w:t>
      </w:r>
      <w:r>
        <w:rPr>
          <w:rFonts w:hint="eastAsia" w:cs="Times New Roman"/>
          <w:b w:val="0"/>
          <w:sz w:val="24"/>
          <w:szCs w:val="24"/>
          <w:highlight w:val="none"/>
        </w:rPr>
        <w:t>报价</w:t>
      </w:r>
      <w:r>
        <w:rPr>
          <w:rFonts w:hint="eastAsia" w:ascii="Times New Roman" w:hAnsi="Times New Roman" w:eastAsia="宋体" w:cs="Times New Roman"/>
          <w:b w:val="0"/>
          <w:sz w:val="24"/>
          <w:szCs w:val="24"/>
          <w:highlight w:val="none"/>
        </w:rPr>
        <w:t>人上述弄虚作假行为上报</w:t>
      </w:r>
      <w:r>
        <w:rPr>
          <w:rFonts w:hint="eastAsia" w:cs="Times New Roman"/>
          <w:b w:val="0"/>
          <w:sz w:val="24"/>
          <w:szCs w:val="24"/>
          <w:highlight w:val="none"/>
        </w:rPr>
        <w:t>相关</w:t>
      </w:r>
      <w:r>
        <w:rPr>
          <w:rFonts w:hint="eastAsia" w:ascii="Times New Roman" w:hAnsi="Times New Roman" w:eastAsia="宋体" w:cs="Times New Roman"/>
          <w:b w:val="0"/>
          <w:sz w:val="24"/>
          <w:szCs w:val="24"/>
          <w:highlight w:val="none"/>
        </w:rPr>
        <w:t>主管部门,作为不良记录纳入</w:t>
      </w:r>
      <w:r>
        <w:rPr>
          <w:rFonts w:hint="eastAsia" w:cs="Times New Roman"/>
          <w:b w:val="0"/>
          <w:sz w:val="24"/>
          <w:szCs w:val="24"/>
          <w:highlight w:val="none"/>
        </w:rPr>
        <w:t>相应</w:t>
      </w:r>
      <w:r>
        <w:rPr>
          <w:rFonts w:hint="eastAsia" w:ascii="Times New Roman" w:hAnsi="Times New Roman" w:eastAsia="宋体" w:cs="Times New Roman"/>
          <w:b w:val="0"/>
          <w:sz w:val="24"/>
          <w:szCs w:val="24"/>
          <w:highlight w:val="none"/>
        </w:rPr>
        <w:t>市场信用信息管理系统。</w:t>
      </w:r>
    </w:p>
    <w:p>
      <w:pPr>
        <w:rPr>
          <w:szCs w:val="21"/>
          <w:highlight w:val="none"/>
        </w:rPr>
      </w:pPr>
    </w:p>
    <w:p>
      <w:pPr>
        <w:tabs>
          <w:tab w:val="left" w:pos="7460"/>
          <w:tab w:val="left" w:pos="8080"/>
          <w:tab w:val="left" w:pos="8800"/>
        </w:tabs>
        <w:autoSpaceDE w:val="0"/>
        <w:autoSpaceDN w:val="0"/>
        <w:adjustRightInd w:val="0"/>
        <w:spacing w:line="360" w:lineRule="auto"/>
        <w:ind w:left="3641" w:right="61"/>
        <w:rPr>
          <w:rFonts w:ascii="宋体" w:hAnsi="宋体"/>
          <w:sz w:val="24"/>
          <w:szCs w:val="24"/>
          <w:highlight w:val="none"/>
        </w:rPr>
      </w:pPr>
      <w:r>
        <w:rPr>
          <w:rFonts w:hint="eastAsia" w:ascii="宋体" w:hAnsi="宋体"/>
          <w:sz w:val="24"/>
          <w:highlight w:val="none"/>
        </w:rPr>
        <w:t>承诺人：</w:t>
      </w:r>
      <w:r>
        <w:rPr>
          <w:rFonts w:hint="eastAsia" w:ascii="宋体" w:hAnsi="宋体"/>
          <w:sz w:val="24"/>
          <w:highlight w:val="none"/>
          <w:u w:val="single"/>
        </w:rPr>
        <w:t xml:space="preserve">                         </w:t>
      </w:r>
      <w:r>
        <w:rPr>
          <w:rFonts w:hint="eastAsia" w:ascii="宋体" w:hAnsi="宋体"/>
          <w:sz w:val="24"/>
          <w:highlight w:val="none"/>
        </w:rPr>
        <w:t>(盖</w:t>
      </w:r>
      <w:r>
        <w:rPr>
          <w:rFonts w:hint="eastAsia" w:ascii="宋体" w:hAnsi="宋体"/>
          <w:spacing w:val="-1"/>
          <w:sz w:val="24"/>
          <w:highlight w:val="none"/>
        </w:rPr>
        <w:t>单</w:t>
      </w:r>
      <w:r>
        <w:rPr>
          <w:rFonts w:hint="eastAsia" w:ascii="宋体" w:hAnsi="宋体"/>
          <w:sz w:val="24"/>
          <w:highlight w:val="none"/>
        </w:rPr>
        <w:t xml:space="preserve">位章) </w:t>
      </w:r>
    </w:p>
    <w:p>
      <w:pPr>
        <w:tabs>
          <w:tab w:val="left" w:pos="7460"/>
          <w:tab w:val="left" w:pos="8080"/>
          <w:tab w:val="left" w:pos="8800"/>
        </w:tabs>
        <w:autoSpaceDE w:val="0"/>
        <w:autoSpaceDN w:val="0"/>
        <w:adjustRightInd w:val="0"/>
        <w:spacing w:line="360" w:lineRule="auto"/>
        <w:ind w:left="3641" w:right="61"/>
        <w:rPr>
          <w:rFonts w:ascii="宋体" w:hAnsi="宋体"/>
          <w:sz w:val="24"/>
          <w:highlight w:val="none"/>
        </w:rPr>
      </w:pPr>
      <w:r>
        <w:rPr>
          <w:rFonts w:hint="eastAsia" w:ascii="宋体" w:hAnsi="宋体"/>
          <w:sz w:val="24"/>
          <w:highlight w:val="none"/>
        </w:rPr>
        <w:t>法定代表人或其委托代理人：</w:t>
      </w:r>
      <w:r>
        <w:rPr>
          <w:rFonts w:hint="eastAsia" w:ascii="宋体" w:hAnsi="宋体"/>
          <w:sz w:val="24"/>
          <w:highlight w:val="none"/>
          <w:u w:val="single"/>
        </w:rPr>
        <w:t xml:space="preserve"> </w:t>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rPr>
        <w:t>(</w:t>
      </w:r>
      <w:r>
        <w:rPr>
          <w:rFonts w:hint="eastAsia" w:ascii="宋体" w:hAnsi="宋体"/>
          <w:spacing w:val="-1"/>
          <w:sz w:val="24"/>
          <w:highlight w:val="none"/>
        </w:rPr>
        <w:t>签</w:t>
      </w:r>
      <w:r>
        <w:rPr>
          <w:rFonts w:hint="eastAsia" w:ascii="宋体" w:hAnsi="宋体"/>
          <w:sz w:val="24"/>
          <w:highlight w:val="none"/>
        </w:rPr>
        <w:t xml:space="preserve">字) </w:t>
      </w:r>
    </w:p>
    <w:p>
      <w:pPr>
        <w:ind w:firstLine="3720" w:firstLineChars="1550"/>
        <w:rPr>
          <w:rFonts w:ascii="宋体" w:hAnsi="宋体"/>
          <w:sz w:val="24"/>
          <w:highlight w:val="none"/>
        </w:rPr>
      </w:pPr>
      <w:r>
        <w:rPr>
          <w:rFonts w:hint="eastAsia" w:ascii="宋体" w:hAnsi="宋体"/>
          <w:sz w:val="24"/>
          <w:highlight w:val="none"/>
        </w:rPr>
        <w:t>承诺时间：</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jc w:val="center"/>
        <w:rPr>
          <w:rFonts w:ascii="宋体" w:hAnsi="宋体"/>
          <w:b/>
          <w:bCs/>
          <w:sz w:val="24"/>
          <w:highlight w:val="none"/>
        </w:rPr>
      </w:pPr>
    </w:p>
    <w:p>
      <w:pPr>
        <w:jc w:val="center"/>
        <w:rPr>
          <w:rFonts w:ascii="宋体" w:hAnsi="宋体"/>
          <w:b/>
          <w:bCs/>
          <w:sz w:val="24"/>
          <w:highlight w:val="none"/>
        </w:rPr>
      </w:pPr>
    </w:p>
    <w:p>
      <w:pPr>
        <w:jc w:val="center"/>
        <w:rPr>
          <w:rFonts w:ascii="宋体" w:hAnsi="宋体"/>
          <w:b/>
          <w:bCs/>
          <w:sz w:val="24"/>
          <w:highlight w:val="none"/>
        </w:rPr>
      </w:pPr>
    </w:p>
    <w:p>
      <w:pPr>
        <w:jc w:val="center"/>
        <w:rPr>
          <w:rFonts w:ascii="宋体" w:hAnsi="宋体"/>
          <w:b/>
          <w:bCs/>
          <w:sz w:val="24"/>
          <w:highlight w:val="none"/>
        </w:rPr>
      </w:pPr>
    </w:p>
    <w:p>
      <w:pPr>
        <w:jc w:val="center"/>
        <w:rPr>
          <w:rFonts w:hint="eastAsia" w:ascii="宋体" w:hAnsi="宋体"/>
          <w:b/>
          <w:bCs/>
          <w:sz w:val="24"/>
          <w:highlight w:val="none"/>
        </w:rPr>
      </w:pPr>
    </w:p>
    <w:p>
      <w:pPr>
        <w:jc w:val="center"/>
        <w:rPr>
          <w:rFonts w:hint="eastAsia" w:ascii="宋体" w:hAnsi="宋体"/>
          <w:b/>
          <w:bCs/>
          <w:sz w:val="24"/>
          <w:highlight w:val="none"/>
        </w:rPr>
      </w:pPr>
    </w:p>
    <w:p>
      <w:pPr>
        <w:jc w:val="center"/>
        <w:rPr>
          <w:rFonts w:hint="eastAsia" w:ascii="宋体" w:hAnsi="宋体"/>
          <w:b/>
          <w:bCs/>
          <w:sz w:val="24"/>
          <w:highlight w:val="none"/>
        </w:rPr>
      </w:pPr>
    </w:p>
    <w:p>
      <w:pPr>
        <w:jc w:val="center"/>
        <w:rPr>
          <w:rFonts w:hint="eastAsia" w:ascii="宋体" w:hAnsi="宋体"/>
          <w:b/>
          <w:bCs/>
          <w:sz w:val="24"/>
          <w:highlight w:val="none"/>
        </w:rPr>
      </w:pPr>
    </w:p>
    <w:p>
      <w:pPr>
        <w:jc w:val="center"/>
        <w:rPr>
          <w:b/>
          <w:bCs/>
          <w:sz w:val="24"/>
          <w:highlight w:val="none"/>
        </w:rPr>
      </w:pPr>
      <w:r>
        <w:rPr>
          <w:rFonts w:hint="eastAsia" w:ascii="宋体" w:hAnsi="宋体"/>
          <w:b/>
          <w:bCs/>
          <w:sz w:val="24"/>
          <w:highlight w:val="none"/>
        </w:rPr>
        <w:t>拟委任的项目负责人资历表</w:t>
      </w:r>
    </w:p>
    <w:p>
      <w:pPr>
        <w:spacing w:line="200" w:lineRule="exact"/>
        <w:jc w:val="left"/>
        <w:rPr>
          <w:sz w:val="24"/>
          <w:highlight w:val="none"/>
        </w:rPr>
      </w:pPr>
    </w:p>
    <w:p>
      <w:pPr>
        <w:spacing w:line="218" w:lineRule="exact"/>
        <w:jc w:val="left"/>
        <w:rPr>
          <w:sz w:val="24"/>
          <w:highlight w:val="none"/>
        </w:rPr>
      </w:pPr>
    </w:p>
    <w:tbl>
      <w:tblPr>
        <w:tblStyle w:val="9"/>
        <w:tblW w:w="8760" w:type="dxa"/>
        <w:jc w:val="center"/>
        <w:tblLayout w:type="fixed"/>
        <w:tblCellMar>
          <w:top w:w="0" w:type="dxa"/>
          <w:left w:w="0" w:type="dxa"/>
          <w:bottom w:w="0" w:type="dxa"/>
          <w:right w:w="0" w:type="dxa"/>
        </w:tblCellMar>
      </w:tblPr>
      <w:tblGrid>
        <w:gridCol w:w="600"/>
        <w:gridCol w:w="640"/>
        <w:gridCol w:w="60"/>
        <w:gridCol w:w="740"/>
        <w:gridCol w:w="600"/>
        <w:gridCol w:w="120"/>
        <w:gridCol w:w="500"/>
        <w:gridCol w:w="560"/>
        <w:gridCol w:w="660"/>
        <w:gridCol w:w="260"/>
        <w:gridCol w:w="460"/>
        <w:gridCol w:w="340"/>
        <w:gridCol w:w="440"/>
        <w:gridCol w:w="280"/>
        <w:gridCol w:w="680"/>
        <w:gridCol w:w="140"/>
        <w:gridCol w:w="280"/>
        <w:gridCol w:w="100"/>
        <w:gridCol w:w="960"/>
        <w:gridCol w:w="100"/>
        <w:gridCol w:w="240"/>
      </w:tblGrid>
      <w:tr>
        <w:tblPrEx>
          <w:tblCellMar>
            <w:top w:w="0" w:type="dxa"/>
            <w:left w:w="0" w:type="dxa"/>
            <w:bottom w:w="0" w:type="dxa"/>
            <w:right w:w="0" w:type="dxa"/>
          </w:tblCellMar>
        </w:tblPrEx>
        <w:trPr>
          <w:trHeight w:val="434" w:hRule="atLeast"/>
          <w:jc w:val="center"/>
        </w:trPr>
        <w:tc>
          <w:tcPr>
            <w:tcW w:w="600" w:type="dxa"/>
            <w:tcBorders>
              <w:top w:val="single" w:color="auto" w:sz="8" w:space="0"/>
              <w:left w:val="single" w:color="auto" w:sz="8" w:space="0"/>
              <w:bottom w:val="nil"/>
              <w:right w:val="nil"/>
            </w:tcBorders>
            <w:vAlign w:val="bottom"/>
          </w:tcPr>
          <w:p>
            <w:pPr>
              <w:spacing w:line="239" w:lineRule="exact"/>
              <w:ind w:left="200"/>
              <w:jc w:val="left"/>
              <w:rPr>
                <w:sz w:val="24"/>
                <w:highlight w:val="none"/>
              </w:rPr>
            </w:pPr>
            <w:r>
              <w:rPr>
                <w:rFonts w:hint="eastAsia" w:ascii="宋体" w:hAnsi="宋体"/>
                <w:highlight w:val="none"/>
              </w:rPr>
              <w:t>姓</w:t>
            </w:r>
          </w:p>
        </w:tc>
        <w:tc>
          <w:tcPr>
            <w:tcW w:w="640" w:type="dxa"/>
            <w:tcBorders>
              <w:top w:val="single" w:color="auto" w:sz="8" w:space="0"/>
              <w:left w:val="nil"/>
              <w:bottom w:val="nil"/>
              <w:right w:val="single" w:color="auto" w:sz="8" w:space="0"/>
            </w:tcBorders>
            <w:vAlign w:val="bottom"/>
          </w:tcPr>
          <w:p>
            <w:pPr>
              <w:spacing w:line="239" w:lineRule="exact"/>
              <w:ind w:right="94"/>
              <w:jc w:val="right"/>
              <w:rPr>
                <w:sz w:val="24"/>
                <w:highlight w:val="none"/>
              </w:rPr>
            </w:pPr>
            <w:r>
              <w:rPr>
                <w:rFonts w:hint="eastAsia" w:ascii="宋体" w:hAnsi="宋体"/>
                <w:highlight w:val="none"/>
              </w:rPr>
              <w:t>名</w:t>
            </w:r>
          </w:p>
        </w:tc>
        <w:tc>
          <w:tcPr>
            <w:tcW w:w="60" w:type="dxa"/>
            <w:tcBorders>
              <w:top w:val="single" w:color="auto" w:sz="8" w:space="0"/>
              <w:left w:val="nil"/>
              <w:bottom w:val="nil"/>
              <w:right w:val="nil"/>
            </w:tcBorders>
            <w:vAlign w:val="bottom"/>
          </w:tcPr>
          <w:p>
            <w:pPr>
              <w:jc w:val="left"/>
              <w:rPr>
                <w:sz w:val="24"/>
                <w:highlight w:val="none"/>
              </w:rPr>
            </w:pPr>
          </w:p>
        </w:tc>
        <w:tc>
          <w:tcPr>
            <w:tcW w:w="740" w:type="dxa"/>
            <w:tcBorders>
              <w:top w:val="single" w:color="auto" w:sz="8" w:space="0"/>
              <w:left w:val="nil"/>
              <w:bottom w:val="nil"/>
              <w:right w:val="nil"/>
            </w:tcBorders>
            <w:vAlign w:val="bottom"/>
          </w:tcPr>
          <w:p>
            <w:pPr>
              <w:jc w:val="left"/>
              <w:rPr>
                <w:sz w:val="24"/>
                <w:highlight w:val="none"/>
              </w:rPr>
            </w:pPr>
          </w:p>
        </w:tc>
        <w:tc>
          <w:tcPr>
            <w:tcW w:w="600" w:type="dxa"/>
            <w:tcBorders>
              <w:top w:val="single" w:color="auto" w:sz="8" w:space="0"/>
              <w:left w:val="nil"/>
              <w:bottom w:val="nil"/>
              <w:right w:val="nil"/>
            </w:tcBorders>
            <w:vAlign w:val="bottom"/>
          </w:tcPr>
          <w:p>
            <w:pPr>
              <w:jc w:val="left"/>
              <w:rPr>
                <w:sz w:val="24"/>
                <w:highlight w:val="none"/>
              </w:rPr>
            </w:pPr>
          </w:p>
        </w:tc>
        <w:tc>
          <w:tcPr>
            <w:tcW w:w="120" w:type="dxa"/>
            <w:tcBorders>
              <w:top w:val="single" w:color="auto" w:sz="8" w:space="0"/>
              <w:left w:val="nil"/>
              <w:bottom w:val="nil"/>
              <w:right w:val="single" w:color="auto" w:sz="8" w:space="0"/>
            </w:tcBorders>
            <w:vAlign w:val="bottom"/>
          </w:tcPr>
          <w:p>
            <w:pPr>
              <w:jc w:val="left"/>
              <w:rPr>
                <w:sz w:val="24"/>
                <w:highlight w:val="none"/>
              </w:rPr>
            </w:pPr>
          </w:p>
        </w:tc>
        <w:tc>
          <w:tcPr>
            <w:tcW w:w="500" w:type="dxa"/>
            <w:tcBorders>
              <w:top w:val="single" w:color="auto" w:sz="8" w:space="0"/>
              <w:left w:val="nil"/>
              <w:bottom w:val="nil"/>
              <w:right w:val="nil"/>
            </w:tcBorders>
            <w:vAlign w:val="bottom"/>
          </w:tcPr>
          <w:p>
            <w:pPr>
              <w:spacing w:line="239" w:lineRule="exact"/>
              <w:ind w:left="80"/>
              <w:jc w:val="left"/>
              <w:rPr>
                <w:sz w:val="24"/>
                <w:highlight w:val="none"/>
              </w:rPr>
            </w:pPr>
            <w:r>
              <w:rPr>
                <w:rFonts w:hint="eastAsia" w:ascii="宋体" w:hAnsi="宋体"/>
                <w:highlight w:val="none"/>
              </w:rPr>
              <w:t>年</w:t>
            </w:r>
          </w:p>
        </w:tc>
        <w:tc>
          <w:tcPr>
            <w:tcW w:w="560" w:type="dxa"/>
            <w:tcBorders>
              <w:top w:val="single" w:color="auto" w:sz="8" w:space="0"/>
              <w:left w:val="nil"/>
              <w:bottom w:val="nil"/>
              <w:right w:val="single" w:color="auto" w:sz="8" w:space="0"/>
            </w:tcBorders>
            <w:vAlign w:val="bottom"/>
          </w:tcPr>
          <w:p>
            <w:pPr>
              <w:spacing w:line="239" w:lineRule="exact"/>
              <w:ind w:left="220"/>
              <w:jc w:val="left"/>
              <w:rPr>
                <w:sz w:val="24"/>
                <w:highlight w:val="none"/>
              </w:rPr>
            </w:pPr>
            <w:r>
              <w:rPr>
                <w:rFonts w:hint="eastAsia" w:ascii="宋体" w:hAnsi="宋体"/>
                <w:highlight w:val="none"/>
              </w:rPr>
              <w:t>龄</w:t>
            </w:r>
          </w:p>
        </w:tc>
        <w:tc>
          <w:tcPr>
            <w:tcW w:w="660" w:type="dxa"/>
            <w:tcBorders>
              <w:top w:val="single" w:color="auto" w:sz="8" w:space="0"/>
              <w:left w:val="nil"/>
              <w:bottom w:val="nil"/>
              <w:right w:val="nil"/>
            </w:tcBorders>
            <w:vAlign w:val="bottom"/>
          </w:tcPr>
          <w:p>
            <w:pPr>
              <w:jc w:val="left"/>
              <w:rPr>
                <w:sz w:val="24"/>
                <w:highlight w:val="none"/>
              </w:rPr>
            </w:pPr>
          </w:p>
        </w:tc>
        <w:tc>
          <w:tcPr>
            <w:tcW w:w="260" w:type="dxa"/>
            <w:tcBorders>
              <w:top w:val="single" w:color="auto" w:sz="8" w:space="0"/>
              <w:left w:val="nil"/>
              <w:bottom w:val="nil"/>
              <w:right w:val="nil"/>
            </w:tcBorders>
            <w:vAlign w:val="bottom"/>
          </w:tcPr>
          <w:p>
            <w:pPr>
              <w:jc w:val="left"/>
              <w:rPr>
                <w:sz w:val="24"/>
                <w:highlight w:val="none"/>
              </w:rPr>
            </w:pPr>
          </w:p>
        </w:tc>
        <w:tc>
          <w:tcPr>
            <w:tcW w:w="460" w:type="dxa"/>
            <w:tcBorders>
              <w:top w:val="single" w:color="auto" w:sz="8" w:space="0"/>
              <w:left w:val="nil"/>
              <w:bottom w:val="nil"/>
              <w:right w:val="single" w:color="auto" w:sz="8" w:space="0"/>
            </w:tcBorders>
            <w:vAlign w:val="bottom"/>
          </w:tcPr>
          <w:p>
            <w:pPr>
              <w:jc w:val="left"/>
              <w:rPr>
                <w:sz w:val="24"/>
                <w:highlight w:val="none"/>
              </w:rPr>
            </w:pPr>
          </w:p>
        </w:tc>
        <w:tc>
          <w:tcPr>
            <w:tcW w:w="340" w:type="dxa"/>
            <w:tcBorders>
              <w:top w:val="single" w:color="auto" w:sz="8" w:space="0"/>
              <w:left w:val="nil"/>
              <w:bottom w:val="nil"/>
              <w:right w:val="nil"/>
            </w:tcBorders>
            <w:vAlign w:val="bottom"/>
          </w:tcPr>
          <w:p>
            <w:pPr>
              <w:jc w:val="left"/>
              <w:rPr>
                <w:sz w:val="24"/>
                <w:highlight w:val="none"/>
              </w:rPr>
            </w:pPr>
          </w:p>
        </w:tc>
        <w:tc>
          <w:tcPr>
            <w:tcW w:w="440" w:type="dxa"/>
            <w:tcBorders>
              <w:top w:val="single" w:color="auto" w:sz="8" w:space="0"/>
              <w:left w:val="nil"/>
              <w:bottom w:val="nil"/>
              <w:right w:val="nil"/>
            </w:tcBorders>
            <w:vAlign w:val="bottom"/>
          </w:tcPr>
          <w:p>
            <w:pPr>
              <w:spacing w:line="239" w:lineRule="exact"/>
              <w:ind w:left="160"/>
              <w:jc w:val="left"/>
              <w:rPr>
                <w:sz w:val="24"/>
                <w:highlight w:val="none"/>
              </w:rPr>
            </w:pPr>
            <w:r>
              <w:rPr>
                <w:rFonts w:hint="eastAsia" w:ascii="宋体" w:hAnsi="宋体"/>
                <w:highlight w:val="none"/>
              </w:rPr>
              <w:t>专</w:t>
            </w:r>
          </w:p>
        </w:tc>
        <w:tc>
          <w:tcPr>
            <w:tcW w:w="280" w:type="dxa"/>
            <w:tcBorders>
              <w:top w:val="single" w:color="auto" w:sz="8" w:space="0"/>
              <w:left w:val="nil"/>
              <w:bottom w:val="nil"/>
              <w:right w:val="nil"/>
            </w:tcBorders>
            <w:vAlign w:val="bottom"/>
          </w:tcPr>
          <w:p>
            <w:pPr>
              <w:jc w:val="left"/>
              <w:rPr>
                <w:sz w:val="24"/>
                <w:highlight w:val="none"/>
              </w:rPr>
            </w:pPr>
          </w:p>
        </w:tc>
        <w:tc>
          <w:tcPr>
            <w:tcW w:w="820" w:type="dxa"/>
            <w:gridSpan w:val="2"/>
            <w:tcBorders>
              <w:top w:val="single" w:color="auto" w:sz="8" w:space="0"/>
              <w:left w:val="nil"/>
              <w:bottom w:val="nil"/>
              <w:right w:val="single" w:color="auto" w:sz="8" w:space="0"/>
            </w:tcBorders>
            <w:vAlign w:val="bottom"/>
          </w:tcPr>
          <w:p>
            <w:pPr>
              <w:spacing w:line="239" w:lineRule="exact"/>
              <w:ind w:right="460"/>
              <w:jc w:val="center"/>
              <w:rPr>
                <w:sz w:val="24"/>
                <w:highlight w:val="none"/>
              </w:rPr>
            </w:pPr>
            <w:r>
              <w:rPr>
                <w:rFonts w:hint="eastAsia" w:ascii="宋体" w:hAnsi="宋体"/>
                <w:w w:val="95"/>
                <w:highlight w:val="none"/>
              </w:rPr>
              <w:t>业</w:t>
            </w:r>
          </w:p>
        </w:tc>
        <w:tc>
          <w:tcPr>
            <w:tcW w:w="280" w:type="dxa"/>
            <w:tcBorders>
              <w:top w:val="single" w:color="auto" w:sz="8" w:space="0"/>
              <w:left w:val="nil"/>
              <w:bottom w:val="nil"/>
              <w:right w:val="nil"/>
            </w:tcBorders>
            <w:vAlign w:val="bottom"/>
          </w:tcPr>
          <w:p>
            <w:pPr>
              <w:jc w:val="left"/>
              <w:rPr>
                <w:sz w:val="24"/>
                <w:highlight w:val="none"/>
              </w:rPr>
            </w:pPr>
          </w:p>
        </w:tc>
        <w:tc>
          <w:tcPr>
            <w:tcW w:w="100" w:type="dxa"/>
            <w:tcBorders>
              <w:top w:val="single" w:color="auto" w:sz="8" w:space="0"/>
              <w:left w:val="nil"/>
              <w:bottom w:val="nil"/>
              <w:right w:val="nil"/>
            </w:tcBorders>
            <w:vAlign w:val="bottom"/>
          </w:tcPr>
          <w:p>
            <w:pPr>
              <w:jc w:val="left"/>
              <w:rPr>
                <w:sz w:val="24"/>
                <w:highlight w:val="none"/>
              </w:rPr>
            </w:pPr>
          </w:p>
        </w:tc>
        <w:tc>
          <w:tcPr>
            <w:tcW w:w="960" w:type="dxa"/>
            <w:tcBorders>
              <w:top w:val="single" w:color="auto" w:sz="8" w:space="0"/>
              <w:left w:val="nil"/>
              <w:bottom w:val="nil"/>
              <w:right w:val="nil"/>
            </w:tcBorders>
            <w:vAlign w:val="bottom"/>
          </w:tcPr>
          <w:p>
            <w:pPr>
              <w:jc w:val="left"/>
              <w:rPr>
                <w:sz w:val="24"/>
                <w:highlight w:val="none"/>
              </w:rPr>
            </w:pPr>
          </w:p>
        </w:tc>
        <w:tc>
          <w:tcPr>
            <w:tcW w:w="100" w:type="dxa"/>
            <w:tcBorders>
              <w:top w:val="single" w:color="auto" w:sz="8" w:space="0"/>
              <w:left w:val="nil"/>
              <w:bottom w:val="nil"/>
              <w:right w:val="nil"/>
            </w:tcBorders>
            <w:vAlign w:val="bottom"/>
          </w:tcPr>
          <w:p>
            <w:pPr>
              <w:jc w:val="left"/>
              <w:rPr>
                <w:sz w:val="24"/>
                <w:highlight w:val="none"/>
              </w:rPr>
            </w:pPr>
          </w:p>
        </w:tc>
        <w:tc>
          <w:tcPr>
            <w:tcW w:w="240" w:type="dxa"/>
            <w:tcBorders>
              <w:top w:val="single" w:color="auto" w:sz="8" w:space="0"/>
              <w:left w:val="nil"/>
              <w:bottom w:val="nil"/>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94" w:hRule="atLeast"/>
          <w:jc w:val="center"/>
        </w:trPr>
        <w:tc>
          <w:tcPr>
            <w:tcW w:w="600" w:type="dxa"/>
            <w:tcBorders>
              <w:top w:val="nil"/>
              <w:left w:val="single" w:color="auto" w:sz="8" w:space="0"/>
              <w:bottom w:val="single" w:color="auto" w:sz="8" w:space="0"/>
              <w:right w:val="nil"/>
            </w:tcBorders>
            <w:vAlign w:val="bottom"/>
          </w:tcPr>
          <w:p>
            <w:pPr>
              <w:jc w:val="left"/>
              <w:rPr>
                <w:sz w:val="8"/>
                <w:highlight w:val="none"/>
              </w:rPr>
            </w:pPr>
          </w:p>
        </w:tc>
        <w:tc>
          <w:tcPr>
            <w:tcW w:w="640" w:type="dxa"/>
            <w:tcBorders>
              <w:top w:val="nil"/>
              <w:left w:val="nil"/>
              <w:bottom w:val="single" w:color="auto" w:sz="8" w:space="0"/>
              <w:right w:val="single" w:color="auto" w:sz="8" w:space="0"/>
            </w:tcBorders>
            <w:vAlign w:val="bottom"/>
          </w:tcPr>
          <w:p>
            <w:pPr>
              <w:jc w:val="left"/>
              <w:rPr>
                <w:sz w:val="8"/>
                <w:highlight w:val="none"/>
              </w:rPr>
            </w:pPr>
          </w:p>
        </w:tc>
        <w:tc>
          <w:tcPr>
            <w:tcW w:w="60" w:type="dxa"/>
            <w:tcBorders>
              <w:top w:val="nil"/>
              <w:left w:val="nil"/>
              <w:bottom w:val="single" w:color="auto" w:sz="8" w:space="0"/>
              <w:right w:val="nil"/>
            </w:tcBorders>
            <w:vAlign w:val="bottom"/>
          </w:tcPr>
          <w:p>
            <w:pPr>
              <w:jc w:val="left"/>
              <w:rPr>
                <w:sz w:val="8"/>
                <w:highlight w:val="none"/>
              </w:rPr>
            </w:pPr>
          </w:p>
        </w:tc>
        <w:tc>
          <w:tcPr>
            <w:tcW w:w="740" w:type="dxa"/>
            <w:tcBorders>
              <w:top w:val="nil"/>
              <w:left w:val="nil"/>
              <w:bottom w:val="single" w:color="auto" w:sz="8" w:space="0"/>
              <w:right w:val="nil"/>
            </w:tcBorders>
            <w:vAlign w:val="bottom"/>
          </w:tcPr>
          <w:p>
            <w:pPr>
              <w:jc w:val="left"/>
              <w:rPr>
                <w:sz w:val="8"/>
                <w:highlight w:val="none"/>
              </w:rPr>
            </w:pPr>
          </w:p>
        </w:tc>
        <w:tc>
          <w:tcPr>
            <w:tcW w:w="600" w:type="dxa"/>
            <w:tcBorders>
              <w:top w:val="nil"/>
              <w:left w:val="nil"/>
              <w:bottom w:val="single" w:color="auto" w:sz="8" w:space="0"/>
              <w:right w:val="nil"/>
            </w:tcBorders>
            <w:vAlign w:val="bottom"/>
          </w:tcPr>
          <w:p>
            <w:pPr>
              <w:jc w:val="left"/>
              <w:rPr>
                <w:sz w:val="8"/>
                <w:highlight w:val="none"/>
              </w:rPr>
            </w:pPr>
          </w:p>
        </w:tc>
        <w:tc>
          <w:tcPr>
            <w:tcW w:w="120" w:type="dxa"/>
            <w:tcBorders>
              <w:top w:val="nil"/>
              <w:left w:val="nil"/>
              <w:bottom w:val="single" w:color="auto" w:sz="8" w:space="0"/>
              <w:right w:val="single" w:color="auto" w:sz="8" w:space="0"/>
            </w:tcBorders>
            <w:vAlign w:val="bottom"/>
          </w:tcPr>
          <w:p>
            <w:pPr>
              <w:jc w:val="left"/>
              <w:rPr>
                <w:sz w:val="8"/>
                <w:highlight w:val="none"/>
              </w:rPr>
            </w:pPr>
          </w:p>
        </w:tc>
        <w:tc>
          <w:tcPr>
            <w:tcW w:w="500" w:type="dxa"/>
            <w:tcBorders>
              <w:top w:val="nil"/>
              <w:left w:val="nil"/>
              <w:bottom w:val="single" w:color="auto" w:sz="8" w:space="0"/>
              <w:right w:val="nil"/>
            </w:tcBorders>
            <w:vAlign w:val="bottom"/>
          </w:tcPr>
          <w:p>
            <w:pPr>
              <w:jc w:val="left"/>
              <w:rPr>
                <w:sz w:val="8"/>
                <w:highlight w:val="none"/>
              </w:rPr>
            </w:pPr>
          </w:p>
        </w:tc>
        <w:tc>
          <w:tcPr>
            <w:tcW w:w="560" w:type="dxa"/>
            <w:tcBorders>
              <w:top w:val="nil"/>
              <w:left w:val="nil"/>
              <w:bottom w:val="single" w:color="auto" w:sz="8" w:space="0"/>
              <w:right w:val="single" w:color="auto" w:sz="8" w:space="0"/>
            </w:tcBorders>
            <w:vAlign w:val="bottom"/>
          </w:tcPr>
          <w:p>
            <w:pPr>
              <w:jc w:val="left"/>
              <w:rPr>
                <w:sz w:val="8"/>
                <w:highlight w:val="none"/>
              </w:rPr>
            </w:pPr>
          </w:p>
        </w:tc>
        <w:tc>
          <w:tcPr>
            <w:tcW w:w="660" w:type="dxa"/>
            <w:tcBorders>
              <w:top w:val="nil"/>
              <w:left w:val="nil"/>
              <w:bottom w:val="single" w:color="auto" w:sz="8" w:space="0"/>
              <w:right w:val="nil"/>
            </w:tcBorders>
            <w:vAlign w:val="bottom"/>
          </w:tcPr>
          <w:p>
            <w:pPr>
              <w:jc w:val="left"/>
              <w:rPr>
                <w:sz w:val="8"/>
                <w:highlight w:val="none"/>
              </w:rPr>
            </w:pPr>
          </w:p>
        </w:tc>
        <w:tc>
          <w:tcPr>
            <w:tcW w:w="260" w:type="dxa"/>
            <w:tcBorders>
              <w:top w:val="nil"/>
              <w:left w:val="nil"/>
              <w:bottom w:val="single" w:color="auto" w:sz="8" w:space="0"/>
              <w:right w:val="nil"/>
            </w:tcBorders>
            <w:vAlign w:val="bottom"/>
          </w:tcPr>
          <w:p>
            <w:pPr>
              <w:jc w:val="left"/>
              <w:rPr>
                <w:sz w:val="8"/>
                <w:highlight w:val="none"/>
              </w:rPr>
            </w:pPr>
          </w:p>
        </w:tc>
        <w:tc>
          <w:tcPr>
            <w:tcW w:w="460" w:type="dxa"/>
            <w:tcBorders>
              <w:top w:val="nil"/>
              <w:left w:val="nil"/>
              <w:bottom w:val="single" w:color="auto" w:sz="8" w:space="0"/>
              <w:right w:val="single" w:color="auto" w:sz="8" w:space="0"/>
            </w:tcBorders>
            <w:vAlign w:val="bottom"/>
          </w:tcPr>
          <w:p>
            <w:pPr>
              <w:jc w:val="left"/>
              <w:rPr>
                <w:sz w:val="8"/>
                <w:highlight w:val="none"/>
              </w:rPr>
            </w:pPr>
          </w:p>
        </w:tc>
        <w:tc>
          <w:tcPr>
            <w:tcW w:w="340" w:type="dxa"/>
            <w:tcBorders>
              <w:top w:val="nil"/>
              <w:left w:val="nil"/>
              <w:bottom w:val="single" w:color="auto" w:sz="8" w:space="0"/>
              <w:right w:val="nil"/>
            </w:tcBorders>
            <w:vAlign w:val="bottom"/>
          </w:tcPr>
          <w:p>
            <w:pPr>
              <w:jc w:val="left"/>
              <w:rPr>
                <w:sz w:val="8"/>
                <w:highlight w:val="none"/>
              </w:rPr>
            </w:pPr>
          </w:p>
        </w:tc>
        <w:tc>
          <w:tcPr>
            <w:tcW w:w="720" w:type="dxa"/>
            <w:gridSpan w:val="2"/>
            <w:tcBorders>
              <w:top w:val="nil"/>
              <w:left w:val="nil"/>
              <w:bottom w:val="single" w:color="auto" w:sz="8" w:space="0"/>
              <w:right w:val="nil"/>
            </w:tcBorders>
            <w:vAlign w:val="bottom"/>
          </w:tcPr>
          <w:p>
            <w:pPr>
              <w:jc w:val="left"/>
              <w:rPr>
                <w:sz w:val="8"/>
                <w:highlight w:val="none"/>
              </w:rPr>
            </w:pPr>
          </w:p>
        </w:tc>
        <w:tc>
          <w:tcPr>
            <w:tcW w:w="680" w:type="dxa"/>
            <w:tcBorders>
              <w:top w:val="nil"/>
              <w:left w:val="nil"/>
              <w:bottom w:val="single" w:color="auto" w:sz="8" w:space="0"/>
              <w:right w:val="nil"/>
            </w:tcBorders>
            <w:vAlign w:val="bottom"/>
          </w:tcPr>
          <w:p>
            <w:pPr>
              <w:jc w:val="left"/>
              <w:rPr>
                <w:sz w:val="8"/>
                <w:highlight w:val="none"/>
              </w:rPr>
            </w:pPr>
          </w:p>
        </w:tc>
        <w:tc>
          <w:tcPr>
            <w:tcW w:w="140" w:type="dxa"/>
            <w:tcBorders>
              <w:top w:val="nil"/>
              <w:left w:val="nil"/>
              <w:bottom w:val="single" w:color="auto" w:sz="8" w:space="0"/>
              <w:right w:val="single" w:color="auto" w:sz="8" w:space="0"/>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96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240" w:type="dxa"/>
            <w:tcBorders>
              <w:top w:val="nil"/>
              <w:left w:val="nil"/>
              <w:bottom w:val="single" w:color="auto" w:sz="8" w:space="0"/>
              <w:right w:val="single" w:color="auto" w:sz="8" w:space="0"/>
            </w:tcBorders>
            <w:vAlign w:val="bottom"/>
          </w:tcPr>
          <w:p>
            <w:pPr>
              <w:jc w:val="left"/>
              <w:rPr>
                <w:sz w:val="8"/>
                <w:highlight w:val="none"/>
              </w:rPr>
            </w:pPr>
          </w:p>
        </w:tc>
      </w:tr>
      <w:tr>
        <w:tblPrEx>
          <w:tblCellMar>
            <w:top w:w="0" w:type="dxa"/>
            <w:left w:w="0" w:type="dxa"/>
            <w:bottom w:w="0" w:type="dxa"/>
            <w:right w:w="0" w:type="dxa"/>
          </w:tblCellMar>
        </w:tblPrEx>
        <w:trPr>
          <w:trHeight w:val="416" w:hRule="atLeast"/>
          <w:jc w:val="center"/>
        </w:trPr>
        <w:tc>
          <w:tcPr>
            <w:tcW w:w="600" w:type="dxa"/>
            <w:tcBorders>
              <w:top w:val="nil"/>
              <w:left w:val="single" w:color="auto" w:sz="8" w:space="0"/>
              <w:bottom w:val="nil"/>
              <w:right w:val="nil"/>
            </w:tcBorders>
            <w:vAlign w:val="bottom"/>
          </w:tcPr>
          <w:p>
            <w:pPr>
              <w:jc w:val="left"/>
              <w:rPr>
                <w:sz w:val="24"/>
                <w:highlight w:val="none"/>
              </w:rPr>
            </w:pPr>
          </w:p>
        </w:tc>
        <w:tc>
          <w:tcPr>
            <w:tcW w:w="640" w:type="dxa"/>
            <w:tcBorders>
              <w:top w:val="nil"/>
              <w:left w:val="nil"/>
              <w:bottom w:val="nil"/>
              <w:right w:val="single" w:color="auto" w:sz="8" w:space="0"/>
            </w:tcBorders>
            <w:vAlign w:val="bottom"/>
          </w:tcPr>
          <w:p>
            <w:pPr>
              <w:jc w:val="left"/>
              <w:rPr>
                <w:sz w:val="24"/>
                <w:highlight w:val="none"/>
              </w:rPr>
            </w:pPr>
          </w:p>
        </w:tc>
        <w:tc>
          <w:tcPr>
            <w:tcW w:w="60" w:type="dxa"/>
            <w:tcBorders>
              <w:top w:val="nil"/>
              <w:left w:val="nil"/>
              <w:bottom w:val="nil"/>
              <w:right w:val="nil"/>
            </w:tcBorders>
            <w:vAlign w:val="bottom"/>
          </w:tcPr>
          <w:p>
            <w:pPr>
              <w:jc w:val="left"/>
              <w:rPr>
                <w:sz w:val="24"/>
                <w:highlight w:val="none"/>
              </w:rPr>
            </w:pPr>
          </w:p>
        </w:tc>
        <w:tc>
          <w:tcPr>
            <w:tcW w:w="3900" w:type="dxa"/>
            <w:gridSpan w:val="8"/>
            <w:vMerge w:val="restart"/>
            <w:tcBorders>
              <w:top w:val="nil"/>
              <w:left w:val="nil"/>
              <w:right w:val="single" w:color="auto" w:sz="8" w:space="0"/>
            </w:tcBorders>
            <w:vAlign w:val="bottom"/>
          </w:tcPr>
          <w:p>
            <w:pPr>
              <w:jc w:val="left"/>
              <w:rPr>
                <w:sz w:val="24"/>
                <w:highlight w:val="none"/>
              </w:rPr>
            </w:pPr>
          </w:p>
        </w:tc>
        <w:tc>
          <w:tcPr>
            <w:tcW w:w="340" w:type="dxa"/>
            <w:tcBorders>
              <w:top w:val="nil"/>
              <w:left w:val="nil"/>
              <w:bottom w:val="nil"/>
              <w:right w:val="nil"/>
            </w:tcBorders>
            <w:vAlign w:val="bottom"/>
          </w:tcPr>
          <w:p>
            <w:pPr>
              <w:jc w:val="left"/>
              <w:rPr>
                <w:sz w:val="24"/>
                <w:highlight w:val="none"/>
              </w:rPr>
            </w:pPr>
          </w:p>
        </w:tc>
        <w:tc>
          <w:tcPr>
            <w:tcW w:w="1540" w:type="dxa"/>
            <w:gridSpan w:val="4"/>
            <w:tcBorders>
              <w:top w:val="nil"/>
              <w:left w:val="nil"/>
              <w:bottom w:val="nil"/>
              <w:right w:val="single" w:color="auto" w:sz="8" w:space="0"/>
            </w:tcBorders>
            <w:vAlign w:val="bottom"/>
          </w:tcPr>
          <w:p>
            <w:pPr>
              <w:spacing w:line="239" w:lineRule="exact"/>
              <w:ind w:right="380"/>
              <w:jc w:val="center"/>
              <w:rPr>
                <w:sz w:val="24"/>
                <w:highlight w:val="none"/>
              </w:rPr>
            </w:pPr>
          </w:p>
        </w:tc>
        <w:tc>
          <w:tcPr>
            <w:tcW w:w="28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96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240" w:type="dxa"/>
            <w:tcBorders>
              <w:top w:val="nil"/>
              <w:left w:val="nil"/>
              <w:bottom w:val="nil"/>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228" w:hRule="atLeast"/>
          <w:jc w:val="center"/>
        </w:trPr>
        <w:tc>
          <w:tcPr>
            <w:tcW w:w="1240" w:type="dxa"/>
            <w:gridSpan w:val="2"/>
            <w:tcBorders>
              <w:top w:val="nil"/>
              <w:left w:val="single" w:color="auto" w:sz="8" w:space="0"/>
              <w:bottom w:val="nil"/>
              <w:right w:val="single" w:color="auto" w:sz="8" w:space="0"/>
            </w:tcBorders>
            <w:vAlign w:val="bottom"/>
          </w:tcPr>
          <w:p>
            <w:pPr>
              <w:spacing w:line="228" w:lineRule="exact"/>
              <w:ind w:right="94"/>
              <w:jc w:val="right"/>
              <w:rPr>
                <w:sz w:val="24"/>
                <w:highlight w:val="none"/>
              </w:rPr>
            </w:pPr>
            <w:r>
              <w:rPr>
                <w:rFonts w:hint="eastAsia" w:ascii="宋体" w:hAnsi="宋体"/>
                <w:highlight w:val="none"/>
              </w:rPr>
              <w:t>技术职称</w:t>
            </w:r>
          </w:p>
        </w:tc>
        <w:tc>
          <w:tcPr>
            <w:tcW w:w="60" w:type="dxa"/>
            <w:tcBorders>
              <w:top w:val="nil"/>
              <w:left w:val="nil"/>
              <w:bottom w:val="nil"/>
              <w:right w:val="nil"/>
            </w:tcBorders>
            <w:vAlign w:val="bottom"/>
          </w:tcPr>
          <w:p>
            <w:pPr>
              <w:jc w:val="left"/>
              <w:rPr>
                <w:sz w:val="19"/>
                <w:highlight w:val="none"/>
              </w:rPr>
            </w:pPr>
          </w:p>
        </w:tc>
        <w:tc>
          <w:tcPr>
            <w:tcW w:w="3900" w:type="dxa"/>
            <w:gridSpan w:val="8"/>
            <w:vMerge w:val="continue"/>
            <w:tcBorders>
              <w:left w:val="nil"/>
              <w:right w:val="single" w:color="auto" w:sz="8" w:space="0"/>
            </w:tcBorders>
            <w:vAlign w:val="bottom"/>
          </w:tcPr>
          <w:p>
            <w:pPr>
              <w:jc w:val="left"/>
              <w:rPr>
                <w:sz w:val="19"/>
                <w:highlight w:val="none"/>
              </w:rPr>
            </w:pPr>
          </w:p>
        </w:tc>
        <w:tc>
          <w:tcPr>
            <w:tcW w:w="340" w:type="dxa"/>
            <w:tcBorders>
              <w:top w:val="nil"/>
              <w:left w:val="nil"/>
              <w:bottom w:val="nil"/>
              <w:right w:val="nil"/>
            </w:tcBorders>
            <w:vAlign w:val="bottom"/>
          </w:tcPr>
          <w:p>
            <w:pPr>
              <w:jc w:val="left"/>
              <w:rPr>
                <w:sz w:val="19"/>
                <w:highlight w:val="none"/>
              </w:rPr>
            </w:pPr>
          </w:p>
        </w:tc>
        <w:tc>
          <w:tcPr>
            <w:tcW w:w="440" w:type="dxa"/>
            <w:tcBorders>
              <w:top w:val="nil"/>
              <w:left w:val="nil"/>
              <w:bottom w:val="nil"/>
              <w:right w:val="nil"/>
            </w:tcBorders>
            <w:vAlign w:val="bottom"/>
          </w:tcPr>
          <w:p>
            <w:pPr>
              <w:ind w:firstLine="190" w:firstLineChars="100"/>
              <w:jc w:val="left"/>
              <w:rPr>
                <w:sz w:val="19"/>
                <w:highlight w:val="none"/>
              </w:rPr>
            </w:pPr>
            <w:r>
              <w:rPr>
                <w:rFonts w:hint="eastAsia"/>
                <w:sz w:val="19"/>
                <w:highlight w:val="none"/>
              </w:rPr>
              <w:t>学</w:t>
            </w:r>
          </w:p>
        </w:tc>
        <w:tc>
          <w:tcPr>
            <w:tcW w:w="280" w:type="dxa"/>
            <w:tcBorders>
              <w:top w:val="nil"/>
              <w:left w:val="nil"/>
              <w:bottom w:val="nil"/>
              <w:right w:val="nil"/>
            </w:tcBorders>
            <w:vAlign w:val="bottom"/>
          </w:tcPr>
          <w:p>
            <w:pPr>
              <w:jc w:val="left"/>
              <w:rPr>
                <w:sz w:val="19"/>
                <w:highlight w:val="none"/>
              </w:rPr>
            </w:pPr>
          </w:p>
        </w:tc>
        <w:tc>
          <w:tcPr>
            <w:tcW w:w="680" w:type="dxa"/>
            <w:tcBorders>
              <w:top w:val="nil"/>
              <w:left w:val="nil"/>
              <w:bottom w:val="nil"/>
              <w:right w:val="nil"/>
            </w:tcBorders>
            <w:vAlign w:val="bottom"/>
          </w:tcPr>
          <w:p>
            <w:pPr>
              <w:ind w:firstLine="190" w:firstLineChars="100"/>
              <w:jc w:val="left"/>
              <w:rPr>
                <w:sz w:val="19"/>
                <w:highlight w:val="none"/>
              </w:rPr>
            </w:pPr>
            <w:r>
              <w:rPr>
                <w:rFonts w:hint="eastAsia"/>
                <w:sz w:val="19"/>
                <w:highlight w:val="none"/>
              </w:rPr>
              <w:t>历</w:t>
            </w:r>
          </w:p>
        </w:tc>
        <w:tc>
          <w:tcPr>
            <w:tcW w:w="140" w:type="dxa"/>
            <w:tcBorders>
              <w:top w:val="nil"/>
              <w:left w:val="nil"/>
              <w:bottom w:val="nil"/>
              <w:right w:val="single" w:color="auto" w:sz="8" w:space="0"/>
            </w:tcBorders>
            <w:vAlign w:val="bottom"/>
          </w:tcPr>
          <w:p>
            <w:pPr>
              <w:jc w:val="left"/>
              <w:rPr>
                <w:sz w:val="19"/>
                <w:highlight w:val="none"/>
              </w:rPr>
            </w:pPr>
          </w:p>
        </w:tc>
        <w:tc>
          <w:tcPr>
            <w:tcW w:w="280" w:type="dxa"/>
            <w:tcBorders>
              <w:top w:val="nil"/>
              <w:left w:val="nil"/>
              <w:bottom w:val="nil"/>
              <w:right w:val="nil"/>
            </w:tcBorders>
            <w:vAlign w:val="bottom"/>
          </w:tcPr>
          <w:p>
            <w:pPr>
              <w:jc w:val="left"/>
              <w:rPr>
                <w:sz w:val="19"/>
                <w:highlight w:val="none"/>
              </w:rPr>
            </w:pPr>
          </w:p>
        </w:tc>
        <w:tc>
          <w:tcPr>
            <w:tcW w:w="100" w:type="dxa"/>
            <w:tcBorders>
              <w:top w:val="nil"/>
              <w:left w:val="nil"/>
              <w:bottom w:val="nil"/>
              <w:right w:val="nil"/>
            </w:tcBorders>
            <w:vAlign w:val="bottom"/>
          </w:tcPr>
          <w:p>
            <w:pPr>
              <w:jc w:val="left"/>
              <w:rPr>
                <w:sz w:val="19"/>
                <w:highlight w:val="none"/>
              </w:rPr>
            </w:pPr>
          </w:p>
        </w:tc>
        <w:tc>
          <w:tcPr>
            <w:tcW w:w="960" w:type="dxa"/>
            <w:tcBorders>
              <w:top w:val="nil"/>
              <w:left w:val="nil"/>
              <w:bottom w:val="nil"/>
              <w:right w:val="nil"/>
            </w:tcBorders>
            <w:vAlign w:val="bottom"/>
          </w:tcPr>
          <w:p>
            <w:pPr>
              <w:jc w:val="left"/>
              <w:rPr>
                <w:sz w:val="19"/>
                <w:highlight w:val="none"/>
              </w:rPr>
            </w:pPr>
          </w:p>
        </w:tc>
        <w:tc>
          <w:tcPr>
            <w:tcW w:w="100" w:type="dxa"/>
            <w:tcBorders>
              <w:top w:val="nil"/>
              <w:left w:val="nil"/>
              <w:bottom w:val="nil"/>
              <w:right w:val="nil"/>
            </w:tcBorders>
            <w:vAlign w:val="bottom"/>
          </w:tcPr>
          <w:p>
            <w:pPr>
              <w:jc w:val="left"/>
              <w:rPr>
                <w:sz w:val="19"/>
                <w:highlight w:val="none"/>
              </w:rPr>
            </w:pPr>
          </w:p>
        </w:tc>
        <w:tc>
          <w:tcPr>
            <w:tcW w:w="240" w:type="dxa"/>
            <w:tcBorders>
              <w:top w:val="nil"/>
              <w:left w:val="nil"/>
              <w:bottom w:val="nil"/>
              <w:right w:val="single" w:color="auto" w:sz="8" w:space="0"/>
            </w:tcBorders>
            <w:vAlign w:val="bottom"/>
          </w:tcPr>
          <w:p>
            <w:pPr>
              <w:jc w:val="left"/>
              <w:rPr>
                <w:sz w:val="19"/>
                <w:highlight w:val="none"/>
              </w:rPr>
            </w:pPr>
          </w:p>
        </w:tc>
      </w:tr>
      <w:tr>
        <w:tblPrEx>
          <w:tblCellMar>
            <w:top w:w="0" w:type="dxa"/>
            <w:left w:w="0" w:type="dxa"/>
            <w:bottom w:w="0" w:type="dxa"/>
            <w:right w:w="0" w:type="dxa"/>
          </w:tblCellMar>
        </w:tblPrEx>
        <w:trPr>
          <w:trHeight w:val="230" w:hRule="atLeast"/>
          <w:jc w:val="center"/>
        </w:trPr>
        <w:tc>
          <w:tcPr>
            <w:tcW w:w="600" w:type="dxa"/>
            <w:tcBorders>
              <w:top w:val="nil"/>
              <w:left w:val="single" w:color="auto" w:sz="8" w:space="0"/>
              <w:bottom w:val="nil"/>
              <w:right w:val="nil"/>
            </w:tcBorders>
            <w:vAlign w:val="bottom"/>
          </w:tcPr>
          <w:p>
            <w:pPr>
              <w:jc w:val="left"/>
              <w:rPr>
                <w:sz w:val="20"/>
                <w:highlight w:val="none"/>
              </w:rPr>
            </w:pPr>
          </w:p>
        </w:tc>
        <w:tc>
          <w:tcPr>
            <w:tcW w:w="640" w:type="dxa"/>
            <w:tcBorders>
              <w:top w:val="nil"/>
              <w:left w:val="nil"/>
              <w:bottom w:val="nil"/>
              <w:right w:val="single" w:color="auto" w:sz="8" w:space="0"/>
            </w:tcBorders>
            <w:vAlign w:val="bottom"/>
          </w:tcPr>
          <w:p>
            <w:pPr>
              <w:jc w:val="left"/>
              <w:rPr>
                <w:sz w:val="20"/>
                <w:highlight w:val="none"/>
              </w:rPr>
            </w:pPr>
          </w:p>
        </w:tc>
        <w:tc>
          <w:tcPr>
            <w:tcW w:w="60" w:type="dxa"/>
            <w:tcBorders>
              <w:top w:val="nil"/>
              <w:left w:val="nil"/>
              <w:bottom w:val="nil"/>
              <w:right w:val="nil"/>
            </w:tcBorders>
            <w:vAlign w:val="bottom"/>
          </w:tcPr>
          <w:p>
            <w:pPr>
              <w:jc w:val="left"/>
              <w:rPr>
                <w:sz w:val="20"/>
                <w:highlight w:val="none"/>
              </w:rPr>
            </w:pPr>
          </w:p>
        </w:tc>
        <w:tc>
          <w:tcPr>
            <w:tcW w:w="3900" w:type="dxa"/>
            <w:gridSpan w:val="8"/>
            <w:vMerge w:val="continue"/>
            <w:tcBorders>
              <w:left w:val="nil"/>
              <w:right w:val="single" w:color="auto" w:sz="8" w:space="0"/>
            </w:tcBorders>
            <w:vAlign w:val="bottom"/>
          </w:tcPr>
          <w:p>
            <w:pPr>
              <w:jc w:val="left"/>
              <w:rPr>
                <w:sz w:val="20"/>
                <w:highlight w:val="none"/>
              </w:rPr>
            </w:pPr>
          </w:p>
        </w:tc>
        <w:tc>
          <w:tcPr>
            <w:tcW w:w="340" w:type="dxa"/>
            <w:tcBorders>
              <w:top w:val="nil"/>
              <w:left w:val="nil"/>
              <w:bottom w:val="nil"/>
              <w:right w:val="nil"/>
            </w:tcBorders>
            <w:vAlign w:val="bottom"/>
          </w:tcPr>
          <w:p>
            <w:pPr>
              <w:jc w:val="left"/>
              <w:rPr>
                <w:sz w:val="20"/>
                <w:highlight w:val="none"/>
              </w:rPr>
            </w:pPr>
          </w:p>
        </w:tc>
        <w:tc>
          <w:tcPr>
            <w:tcW w:w="1540" w:type="dxa"/>
            <w:gridSpan w:val="4"/>
            <w:tcBorders>
              <w:top w:val="nil"/>
              <w:left w:val="nil"/>
              <w:bottom w:val="nil"/>
              <w:right w:val="single" w:color="auto" w:sz="8" w:space="0"/>
            </w:tcBorders>
            <w:vAlign w:val="bottom"/>
          </w:tcPr>
          <w:p>
            <w:pPr>
              <w:spacing w:line="230" w:lineRule="exact"/>
              <w:ind w:right="380"/>
              <w:jc w:val="center"/>
              <w:rPr>
                <w:sz w:val="24"/>
                <w:highlight w:val="none"/>
              </w:rPr>
            </w:pPr>
          </w:p>
        </w:tc>
        <w:tc>
          <w:tcPr>
            <w:tcW w:w="280" w:type="dxa"/>
            <w:tcBorders>
              <w:top w:val="nil"/>
              <w:left w:val="nil"/>
              <w:bottom w:val="nil"/>
              <w:right w:val="nil"/>
            </w:tcBorders>
            <w:vAlign w:val="bottom"/>
          </w:tcPr>
          <w:p>
            <w:pPr>
              <w:jc w:val="left"/>
              <w:rPr>
                <w:sz w:val="20"/>
                <w:highlight w:val="none"/>
              </w:rPr>
            </w:pPr>
          </w:p>
        </w:tc>
        <w:tc>
          <w:tcPr>
            <w:tcW w:w="100" w:type="dxa"/>
            <w:tcBorders>
              <w:top w:val="nil"/>
              <w:left w:val="nil"/>
              <w:bottom w:val="nil"/>
              <w:right w:val="nil"/>
            </w:tcBorders>
            <w:vAlign w:val="bottom"/>
          </w:tcPr>
          <w:p>
            <w:pPr>
              <w:jc w:val="left"/>
              <w:rPr>
                <w:sz w:val="20"/>
                <w:highlight w:val="none"/>
              </w:rPr>
            </w:pPr>
          </w:p>
        </w:tc>
        <w:tc>
          <w:tcPr>
            <w:tcW w:w="960" w:type="dxa"/>
            <w:tcBorders>
              <w:top w:val="nil"/>
              <w:left w:val="nil"/>
              <w:bottom w:val="nil"/>
              <w:right w:val="nil"/>
            </w:tcBorders>
            <w:vAlign w:val="bottom"/>
          </w:tcPr>
          <w:p>
            <w:pPr>
              <w:jc w:val="left"/>
              <w:rPr>
                <w:sz w:val="20"/>
                <w:highlight w:val="none"/>
              </w:rPr>
            </w:pPr>
          </w:p>
        </w:tc>
        <w:tc>
          <w:tcPr>
            <w:tcW w:w="100" w:type="dxa"/>
            <w:tcBorders>
              <w:top w:val="nil"/>
              <w:left w:val="nil"/>
              <w:bottom w:val="nil"/>
              <w:right w:val="nil"/>
            </w:tcBorders>
            <w:vAlign w:val="bottom"/>
          </w:tcPr>
          <w:p>
            <w:pPr>
              <w:jc w:val="left"/>
              <w:rPr>
                <w:sz w:val="20"/>
                <w:highlight w:val="none"/>
              </w:rPr>
            </w:pPr>
          </w:p>
        </w:tc>
        <w:tc>
          <w:tcPr>
            <w:tcW w:w="240" w:type="dxa"/>
            <w:tcBorders>
              <w:top w:val="nil"/>
              <w:left w:val="nil"/>
              <w:bottom w:val="nil"/>
              <w:right w:val="single" w:color="auto" w:sz="8" w:space="0"/>
            </w:tcBorders>
            <w:vAlign w:val="bottom"/>
          </w:tcPr>
          <w:p>
            <w:pPr>
              <w:jc w:val="left"/>
              <w:rPr>
                <w:sz w:val="20"/>
                <w:highlight w:val="none"/>
              </w:rPr>
            </w:pPr>
          </w:p>
        </w:tc>
      </w:tr>
      <w:tr>
        <w:tblPrEx>
          <w:tblCellMar>
            <w:top w:w="0" w:type="dxa"/>
            <w:left w:w="0" w:type="dxa"/>
            <w:bottom w:w="0" w:type="dxa"/>
            <w:right w:w="0" w:type="dxa"/>
          </w:tblCellMar>
        </w:tblPrEx>
        <w:trPr>
          <w:trHeight w:val="97" w:hRule="atLeast"/>
          <w:jc w:val="center"/>
        </w:trPr>
        <w:tc>
          <w:tcPr>
            <w:tcW w:w="1240" w:type="dxa"/>
            <w:gridSpan w:val="2"/>
            <w:tcBorders>
              <w:top w:val="nil"/>
              <w:left w:val="single" w:color="auto" w:sz="8" w:space="0"/>
              <w:bottom w:val="single" w:color="auto" w:sz="8" w:space="0"/>
              <w:right w:val="single" w:color="auto" w:sz="8" w:space="0"/>
            </w:tcBorders>
            <w:vAlign w:val="bottom"/>
          </w:tcPr>
          <w:p>
            <w:pPr>
              <w:jc w:val="left"/>
              <w:rPr>
                <w:sz w:val="8"/>
                <w:highlight w:val="none"/>
              </w:rPr>
            </w:pPr>
          </w:p>
        </w:tc>
        <w:tc>
          <w:tcPr>
            <w:tcW w:w="60" w:type="dxa"/>
            <w:tcBorders>
              <w:top w:val="nil"/>
              <w:left w:val="nil"/>
              <w:bottom w:val="single" w:color="auto" w:sz="8" w:space="0"/>
              <w:right w:val="nil"/>
            </w:tcBorders>
            <w:vAlign w:val="bottom"/>
          </w:tcPr>
          <w:p>
            <w:pPr>
              <w:jc w:val="left"/>
              <w:rPr>
                <w:sz w:val="8"/>
                <w:highlight w:val="none"/>
              </w:rPr>
            </w:pPr>
          </w:p>
        </w:tc>
        <w:tc>
          <w:tcPr>
            <w:tcW w:w="3900" w:type="dxa"/>
            <w:gridSpan w:val="8"/>
            <w:vMerge w:val="continue"/>
            <w:tcBorders>
              <w:left w:val="nil"/>
              <w:bottom w:val="single" w:color="auto" w:sz="8" w:space="0"/>
              <w:right w:val="single" w:color="auto" w:sz="8" w:space="0"/>
            </w:tcBorders>
            <w:vAlign w:val="bottom"/>
          </w:tcPr>
          <w:p>
            <w:pPr>
              <w:jc w:val="left"/>
              <w:rPr>
                <w:sz w:val="8"/>
                <w:highlight w:val="none"/>
              </w:rPr>
            </w:pPr>
          </w:p>
        </w:tc>
        <w:tc>
          <w:tcPr>
            <w:tcW w:w="340" w:type="dxa"/>
            <w:tcBorders>
              <w:top w:val="nil"/>
              <w:left w:val="nil"/>
              <w:bottom w:val="single" w:color="auto" w:sz="8" w:space="0"/>
              <w:right w:val="nil"/>
            </w:tcBorders>
            <w:vAlign w:val="bottom"/>
          </w:tcPr>
          <w:p>
            <w:pPr>
              <w:jc w:val="left"/>
              <w:rPr>
                <w:sz w:val="8"/>
                <w:highlight w:val="none"/>
              </w:rPr>
            </w:pPr>
          </w:p>
        </w:tc>
        <w:tc>
          <w:tcPr>
            <w:tcW w:w="720" w:type="dxa"/>
            <w:gridSpan w:val="2"/>
            <w:tcBorders>
              <w:top w:val="nil"/>
              <w:left w:val="nil"/>
              <w:bottom w:val="single" w:color="auto" w:sz="8" w:space="0"/>
              <w:right w:val="nil"/>
            </w:tcBorders>
            <w:vAlign w:val="bottom"/>
          </w:tcPr>
          <w:p>
            <w:pPr>
              <w:jc w:val="left"/>
              <w:rPr>
                <w:sz w:val="8"/>
                <w:highlight w:val="none"/>
              </w:rPr>
            </w:pPr>
          </w:p>
        </w:tc>
        <w:tc>
          <w:tcPr>
            <w:tcW w:w="680" w:type="dxa"/>
            <w:tcBorders>
              <w:top w:val="nil"/>
              <w:left w:val="nil"/>
              <w:bottom w:val="single" w:color="auto" w:sz="8" w:space="0"/>
              <w:right w:val="nil"/>
            </w:tcBorders>
            <w:vAlign w:val="bottom"/>
          </w:tcPr>
          <w:p>
            <w:pPr>
              <w:jc w:val="left"/>
              <w:rPr>
                <w:sz w:val="8"/>
                <w:highlight w:val="none"/>
              </w:rPr>
            </w:pPr>
          </w:p>
        </w:tc>
        <w:tc>
          <w:tcPr>
            <w:tcW w:w="140" w:type="dxa"/>
            <w:tcBorders>
              <w:top w:val="nil"/>
              <w:left w:val="nil"/>
              <w:bottom w:val="single" w:color="auto" w:sz="8" w:space="0"/>
              <w:right w:val="single" w:color="auto" w:sz="8" w:space="0"/>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96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240" w:type="dxa"/>
            <w:tcBorders>
              <w:top w:val="nil"/>
              <w:left w:val="nil"/>
              <w:bottom w:val="single" w:color="auto" w:sz="8" w:space="0"/>
              <w:right w:val="single" w:color="auto" w:sz="8" w:space="0"/>
            </w:tcBorders>
            <w:vAlign w:val="bottom"/>
          </w:tcPr>
          <w:p>
            <w:pPr>
              <w:jc w:val="left"/>
              <w:rPr>
                <w:sz w:val="8"/>
                <w:highlight w:val="none"/>
              </w:rPr>
            </w:pPr>
          </w:p>
        </w:tc>
      </w:tr>
      <w:tr>
        <w:tblPrEx>
          <w:tblCellMar>
            <w:top w:w="0" w:type="dxa"/>
            <w:left w:w="0" w:type="dxa"/>
            <w:bottom w:w="0" w:type="dxa"/>
            <w:right w:w="0" w:type="dxa"/>
          </w:tblCellMar>
        </w:tblPrEx>
        <w:trPr>
          <w:trHeight w:val="414" w:hRule="atLeast"/>
          <w:jc w:val="center"/>
        </w:trPr>
        <w:tc>
          <w:tcPr>
            <w:tcW w:w="1240" w:type="dxa"/>
            <w:gridSpan w:val="2"/>
            <w:tcBorders>
              <w:top w:val="nil"/>
              <w:left w:val="single" w:color="auto" w:sz="8" w:space="0"/>
              <w:bottom w:val="nil"/>
              <w:right w:val="single" w:color="auto" w:sz="8" w:space="0"/>
            </w:tcBorders>
            <w:vAlign w:val="bottom"/>
          </w:tcPr>
          <w:p>
            <w:pPr>
              <w:spacing w:line="239" w:lineRule="exact"/>
              <w:ind w:right="94"/>
              <w:jc w:val="right"/>
              <w:rPr>
                <w:sz w:val="24"/>
                <w:highlight w:val="none"/>
              </w:rPr>
            </w:pPr>
            <w:r>
              <w:rPr>
                <w:rFonts w:hint="eastAsia" w:ascii="宋体" w:hAnsi="宋体"/>
                <w:highlight w:val="none"/>
              </w:rPr>
              <w:t>工作年限</w:t>
            </w:r>
          </w:p>
        </w:tc>
        <w:tc>
          <w:tcPr>
            <w:tcW w:w="60" w:type="dxa"/>
            <w:tcBorders>
              <w:top w:val="nil"/>
              <w:left w:val="nil"/>
              <w:bottom w:val="nil"/>
              <w:right w:val="nil"/>
            </w:tcBorders>
            <w:vAlign w:val="bottom"/>
          </w:tcPr>
          <w:p>
            <w:pPr>
              <w:jc w:val="left"/>
              <w:rPr>
                <w:sz w:val="24"/>
                <w:highlight w:val="none"/>
              </w:rPr>
            </w:pPr>
          </w:p>
        </w:tc>
        <w:tc>
          <w:tcPr>
            <w:tcW w:w="740" w:type="dxa"/>
            <w:tcBorders>
              <w:top w:val="nil"/>
              <w:left w:val="nil"/>
              <w:bottom w:val="nil"/>
              <w:right w:val="nil"/>
            </w:tcBorders>
            <w:vAlign w:val="bottom"/>
          </w:tcPr>
          <w:p>
            <w:pPr>
              <w:jc w:val="left"/>
              <w:rPr>
                <w:sz w:val="24"/>
                <w:highlight w:val="none"/>
              </w:rPr>
            </w:pPr>
          </w:p>
        </w:tc>
        <w:tc>
          <w:tcPr>
            <w:tcW w:w="600" w:type="dxa"/>
            <w:tcBorders>
              <w:top w:val="nil"/>
              <w:left w:val="nil"/>
              <w:bottom w:val="nil"/>
              <w:right w:val="nil"/>
            </w:tcBorders>
            <w:vAlign w:val="bottom"/>
          </w:tcPr>
          <w:p>
            <w:pPr>
              <w:jc w:val="left"/>
              <w:rPr>
                <w:sz w:val="24"/>
                <w:highlight w:val="none"/>
              </w:rPr>
            </w:pPr>
          </w:p>
        </w:tc>
        <w:tc>
          <w:tcPr>
            <w:tcW w:w="120" w:type="dxa"/>
            <w:tcBorders>
              <w:top w:val="nil"/>
              <w:left w:val="nil"/>
              <w:bottom w:val="nil"/>
              <w:right w:val="nil"/>
            </w:tcBorders>
            <w:vAlign w:val="bottom"/>
          </w:tcPr>
          <w:p>
            <w:pPr>
              <w:jc w:val="left"/>
              <w:rPr>
                <w:sz w:val="24"/>
                <w:highlight w:val="none"/>
              </w:rPr>
            </w:pPr>
          </w:p>
        </w:tc>
        <w:tc>
          <w:tcPr>
            <w:tcW w:w="500" w:type="dxa"/>
            <w:tcBorders>
              <w:top w:val="nil"/>
              <w:left w:val="nil"/>
              <w:bottom w:val="nil"/>
              <w:right w:val="nil"/>
            </w:tcBorders>
            <w:vAlign w:val="bottom"/>
          </w:tcPr>
          <w:p>
            <w:pPr>
              <w:jc w:val="left"/>
              <w:rPr>
                <w:sz w:val="24"/>
                <w:highlight w:val="none"/>
              </w:rPr>
            </w:pPr>
          </w:p>
        </w:tc>
        <w:tc>
          <w:tcPr>
            <w:tcW w:w="560" w:type="dxa"/>
            <w:tcBorders>
              <w:top w:val="nil"/>
              <w:left w:val="nil"/>
              <w:bottom w:val="nil"/>
              <w:right w:val="nil"/>
            </w:tcBorders>
            <w:vAlign w:val="bottom"/>
          </w:tcPr>
          <w:p>
            <w:pPr>
              <w:jc w:val="left"/>
              <w:rPr>
                <w:sz w:val="24"/>
                <w:highlight w:val="none"/>
              </w:rPr>
            </w:pPr>
          </w:p>
        </w:tc>
        <w:tc>
          <w:tcPr>
            <w:tcW w:w="660" w:type="dxa"/>
            <w:tcBorders>
              <w:top w:val="nil"/>
              <w:left w:val="nil"/>
              <w:bottom w:val="nil"/>
              <w:right w:val="nil"/>
            </w:tcBorders>
            <w:vAlign w:val="bottom"/>
          </w:tcPr>
          <w:p>
            <w:pPr>
              <w:jc w:val="left"/>
              <w:rPr>
                <w:sz w:val="24"/>
                <w:highlight w:val="none"/>
              </w:rPr>
            </w:pPr>
          </w:p>
        </w:tc>
        <w:tc>
          <w:tcPr>
            <w:tcW w:w="260" w:type="dxa"/>
            <w:tcBorders>
              <w:top w:val="nil"/>
              <w:left w:val="nil"/>
              <w:bottom w:val="nil"/>
              <w:right w:val="nil"/>
            </w:tcBorders>
            <w:vAlign w:val="bottom"/>
          </w:tcPr>
          <w:p>
            <w:pPr>
              <w:jc w:val="left"/>
              <w:rPr>
                <w:sz w:val="24"/>
                <w:highlight w:val="none"/>
              </w:rPr>
            </w:pPr>
          </w:p>
        </w:tc>
        <w:tc>
          <w:tcPr>
            <w:tcW w:w="460" w:type="dxa"/>
            <w:tcBorders>
              <w:top w:val="nil"/>
              <w:left w:val="nil"/>
              <w:bottom w:val="nil"/>
              <w:right w:val="single" w:color="auto" w:sz="8" w:space="0"/>
            </w:tcBorders>
            <w:vAlign w:val="bottom"/>
          </w:tcPr>
          <w:p>
            <w:pPr>
              <w:jc w:val="left"/>
              <w:rPr>
                <w:sz w:val="24"/>
                <w:highlight w:val="none"/>
              </w:rPr>
            </w:pPr>
          </w:p>
        </w:tc>
        <w:tc>
          <w:tcPr>
            <w:tcW w:w="1880" w:type="dxa"/>
            <w:gridSpan w:val="5"/>
            <w:tcBorders>
              <w:top w:val="nil"/>
              <w:left w:val="nil"/>
              <w:bottom w:val="nil"/>
              <w:right w:val="single" w:color="auto" w:sz="8" w:space="0"/>
            </w:tcBorders>
            <w:vAlign w:val="bottom"/>
          </w:tcPr>
          <w:p>
            <w:pPr>
              <w:spacing w:line="239" w:lineRule="exact"/>
              <w:ind w:right="40"/>
              <w:jc w:val="center"/>
              <w:rPr>
                <w:sz w:val="24"/>
                <w:highlight w:val="none"/>
              </w:rPr>
            </w:pPr>
            <w:r>
              <w:rPr>
                <w:rFonts w:hint="eastAsia" w:ascii="宋体" w:hAnsi="宋体"/>
                <w:w w:val="99"/>
                <w:highlight w:val="none"/>
              </w:rPr>
              <w:t>类似工作经验年限</w:t>
            </w:r>
          </w:p>
        </w:tc>
        <w:tc>
          <w:tcPr>
            <w:tcW w:w="28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96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240" w:type="dxa"/>
            <w:tcBorders>
              <w:top w:val="nil"/>
              <w:left w:val="nil"/>
              <w:bottom w:val="nil"/>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97" w:hRule="atLeast"/>
          <w:jc w:val="center"/>
        </w:trPr>
        <w:tc>
          <w:tcPr>
            <w:tcW w:w="1240" w:type="dxa"/>
            <w:gridSpan w:val="2"/>
            <w:tcBorders>
              <w:top w:val="nil"/>
              <w:left w:val="single" w:color="auto" w:sz="8" w:space="0"/>
              <w:bottom w:val="single" w:color="auto" w:sz="8" w:space="0"/>
              <w:right w:val="single" w:color="auto" w:sz="8" w:space="0"/>
            </w:tcBorders>
            <w:vAlign w:val="bottom"/>
          </w:tcPr>
          <w:p>
            <w:pPr>
              <w:jc w:val="left"/>
              <w:rPr>
                <w:sz w:val="8"/>
                <w:highlight w:val="none"/>
              </w:rPr>
            </w:pPr>
          </w:p>
        </w:tc>
        <w:tc>
          <w:tcPr>
            <w:tcW w:w="60" w:type="dxa"/>
            <w:tcBorders>
              <w:top w:val="nil"/>
              <w:left w:val="nil"/>
              <w:bottom w:val="single" w:color="auto" w:sz="8" w:space="0"/>
              <w:right w:val="nil"/>
            </w:tcBorders>
            <w:vAlign w:val="bottom"/>
          </w:tcPr>
          <w:p>
            <w:pPr>
              <w:jc w:val="left"/>
              <w:rPr>
                <w:sz w:val="8"/>
                <w:highlight w:val="none"/>
              </w:rPr>
            </w:pPr>
          </w:p>
        </w:tc>
        <w:tc>
          <w:tcPr>
            <w:tcW w:w="1340" w:type="dxa"/>
            <w:gridSpan w:val="2"/>
            <w:tcBorders>
              <w:top w:val="nil"/>
              <w:left w:val="nil"/>
              <w:bottom w:val="single" w:color="auto" w:sz="8" w:space="0"/>
              <w:right w:val="nil"/>
            </w:tcBorders>
            <w:vAlign w:val="bottom"/>
          </w:tcPr>
          <w:p>
            <w:pPr>
              <w:jc w:val="left"/>
              <w:rPr>
                <w:sz w:val="8"/>
                <w:highlight w:val="none"/>
              </w:rPr>
            </w:pPr>
          </w:p>
        </w:tc>
        <w:tc>
          <w:tcPr>
            <w:tcW w:w="120" w:type="dxa"/>
            <w:tcBorders>
              <w:top w:val="nil"/>
              <w:left w:val="nil"/>
              <w:bottom w:val="single" w:color="auto" w:sz="8" w:space="0"/>
              <w:right w:val="nil"/>
            </w:tcBorders>
            <w:vAlign w:val="bottom"/>
          </w:tcPr>
          <w:p>
            <w:pPr>
              <w:jc w:val="left"/>
              <w:rPr>
                <w:sz w:val="8"/>
                <w:highlight w:val="none"/>
              </w:rPr>
            </w:pPr>
          </w:p>
        </w:tc>
        <w:tc>
          <w:tcPr>
            <w:tcW w:w="1060" w:type="dxa"/>
            <w:gridSpan w:val="2"/>
            <w:tcBorders>
              <w:top w:val="nil"/>
              <w:left w:val="nil"/>
              <w:bottom w:val="single" w:color="auto" w:sz="8" w:space="0"/>
              <w:right w:val="nil"/>
            </w:tcBorders>
            <w:vAlign w:val="bottom"/>
          </w:tcPr>
          <w:p>
            <w:pPr>
              <w:jc w:val="left"/>
              <w:rPr>
                <w:sz w:val="8"/>
                <w:highlight w:val="none"/>
              </w:rPr>
            </w:pPr>
          </w:p>
        </w:tc>
        <w:tc>
          <w:tcPr>
            <w:tcW w:w="660" w:type="dxa"/>
            <w:tcBorders>
              <w:top w:val="nil"/>
              <w:left w:val="nil"/>
              <w:bottom w:val="single" w:color="auto" w:sz="8" w:space="0"/>
              <w:right w:val="nil"/>
            </w:tcBorders>
            <w:vAlign w:val="bottom"/>
          </w:tcPr>
          <w:p>
            <w:pPr>
              <w:jc w:val="left"/>
              <w:rPr>
                <w:sz w:val="8"/>
                <w:highlight w:val="none"/>
              </w:rPr>
            </w:pPr>
          </w:p>
        </w:tc>
        <w:tc>
          <w:tcPr>
            <w:tcW w:w="720" w:type="dxa"/>
            <w:gridSpan w:val="2"/>
            <w:tcBorders>
              <w:top w:val="nil"/>
              <w:left w:val="nil"/>
              <w:bottom w:val="single" w:color="auto" w:sz="8" w:space="0"/>
              <w:right w:val="single" w:color="auto" w:sz="8" w:space="0"/>
            </w:tcBorders>
            <w:vAlign w:val="bottom"/>
          </w:tcPr>
          <w:p>
            <w:pPr>
              <w:jc w:val="left"/>
              <w:rPr>
                <w:sz w:val="8"/>
                <w:highlight w:val="none"/>
              </w:rPr>
            </w:pPr>
          </w:p>
        </w:tc>
        <w:tc>
          <w:tcPr>
            <w:tcW w:w="340" w:type="dxa"/>
            <w:tcBorders>
              <w:top w:val="nil"/>
              <w:left w:val="nil"/>
              <w:bottom w:val="single" w:color="auto" w:sz="8" w:space="0"/>
              <w:right w:val="nil"/>
            </w:tcBorders>
            <w:vAlign w:val="bottom"/>
          </w:tcPr>
          <w:p>
            <w:pPr>
              <w:jc w:val="left"/>
              <w:rPr>
                <w:sz w:val="8"/>
                <w:highlight w:val="none"/>
              </w:rPr>
            </w:pPr>
          </w:p>
        </w:tc>
        <w:tc>
          <w:tcPr>
            <w:tcW w:w="720" w:type="dxa"/>
            <w:gridSpan w:val="2"/>
            <w:tcBorders>
              <w:top w:val="nil"/>
              <w:left w:val="nil"/>
              <w:bottom w:val="single" w:color="auto" w:sz="8" w:space="0"/>
              <w:right w:val="nil"/>
            </w:tcBorders>
            <w:vAlign w:val="bottom"/>
          </w:tcPr>
          <w:p>
            <w:pPr>
              <w:jc w:val="left"/>
              <w:rPr>
                <w:sz w:val="8"/>
                <w:highlight w:val="none"/>
              </w:rPr>
            </w:pPr>
          </w:p>
        </w:tc>
        <w:tc>
          <w:tcPr>
            <w:tcW w:w="680" w:type="dxa"/>
            <w:tcBorders>
              <w:top w:val="nil"/>
              <w:left w:val="nil"/>
              <w:bottom w:val="single" w:color="auto" w:sz="8" w:space="0"/>
              <w:right w:val="nil"/>
            </w:tcBorders>
            <w:vAlign w:val="bottom"/>
          </w:tcPr>
          <w:p>
            <w:pPr>
              <w:jc w:val="left"/>
              <w:rPr>
                <w:sz w:val="8"/>
                <w:highlight w:val="none"/>
              </w:rPr>
            </w:pPr>
          </w:p>
        </w:tc>
        <w:tc>
          <w:tcPr>
            <w:tcW w:w="140" w:type="dxa"/>
            <w:tcBorders>
              <w:top w:val="nil"/>
              <w:left w:val="nil"/>
              <w:bottom w:val="single" w:color="auto" w:sz="8" w:space="0"/>
              <w:right w:val="single" w:color="auto" w:sz="8" w:space="0"/>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96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240" w:type="dxa"/>
            <w:tcBorders>
              <w:top w:val="nil"/>
              <w:left w:val="nil"/>
              <w:bottom w:val="single" w:color="auto" w:sz="8" w:space="0"/>
              <w:right w:val="single" w:color="auto" w:sz="8" w:space="0"/>
            </w:tcBorders>
            <w:vAlign w:val="bottom"/>
          </w:tcPr>
          <w:p>
            <w:pPr>
              <w:jc w:val="left"/>
              <w:rPr>
                <w:sz w:val="8"/>
                <w:highlight w:val="none"/>
              </w:rPr>
            </w:pPr>
          </w:p>
        </w:tc>
      </w:tr>
      <w:tr>
        <w:tblPrEx>
          <w:tblCellMar>
            <w:top w:w="0" w:type="dxa"/>
            <w:left w:w="0" w:type="dxa"/>
            <w:bottom w:w="0" w:type="dxa"/>
            <w:right w:w="0" w:type="dxa"/>
          </w:tblCellMar>
        </w:tblPrEx>
        <w:trPr>
          <w:trHeight w:val="428" w:hRule="atLeast"/>
          <w:jc w:val="center"/>
        </w:trPr>
        <w:tc>
          <w:tcPr>
            <w:tcW w:w="1240" w:type="dxa"/>
            <w:gridSpan w:val="2"/>
            <w:tcBorders>
              <w:top w:val="nil"/>
              <w:left w:val="single" w:color="auto" w:sz="8" w:space="0"/>
              <w:bottom w:val="nil"/>
              <w:right w:val="single" w:color="auto" w:sz="8" w:space="0"/>
            </w:tcBorders>
            <w:vAlign w:val="bottom"/>
          </w:tcPr>
          <w:p>
            <w:pPr>
              <w:spacing w:line="239" w:lineRule="exact"/>
              <w:ind w:right="94"/>
              <w:jc w:val="right"/>
              <w:rPr>
                <w:sz w:val="24"/>
                <w:highlight w:val="none"/>
              </w:rPr>
            </w:pPr>
            <w:r>
              <w:rPr>
                <w:rFonts w:hint="eastAsia" w:ascii="宋体" w:hAnsi="宋体"/>
                <w:highlight w:val="none"/>
              </w:rPr>
              <w:t>毕业学校</w:t>
            </w:r>
          </w:p>
        </w:tc>
        <w:tc>
          <w:tcPr>
            <w:tcW w:w="7520" w:type="dxa"/>
            <w:gridSpan w:val="19"/>
            <w:tcBorders>
              <w:top w:val="nil"/>
              <w:left w:val="nil"/>
              <w:bottom w:val="nil"/>
              <w:right w:val="single" w:color="auto" w:sz="8" w:space="0"/>
            </w:tcBorders>
            <w:vAlign w:val="bottom"/>
          </w:tcPr>
          <w:p>
            <w:pPr>
              <w:spacing w:line="254" w:lineRule="exact"/>
              <w:ind w:right="14"/>
              <w:jc w:val="right"/>
              <w:rPr>
                <w:sz w:val="24"/>
                <w:highlight w:val="none"/>
              </w:rPr>
            </w:pPr>
            <w:r>
              <w:rPr>
                <w:rFonts w:eastAsia="Times New Roman"/>
                <w:highlight w:val="none"/>
              </w:rPr>
              <w:t>_____</w:t>
            </w:r>
            <w:r>
              <w:rPr>
                <w:rFonts w:hint="eastAsia" w:ascii="宋体" w:hAnsi="宋体"/>
                <w:highlight w:val="none"/>
              </w:rPr>
              <w:t>年</w:t>
            </w:r>
            <w:r>
              <w:rPr>
                <w:rFonts w:eastAsia="Times New Roman"/>
                <w:highlight w:val="none"/>
              </w:rPr>
              <w:t>___</w:t>
            </w:r>
            <w:r>
              <w:rPr>
                <w:rFonts w:hint="eastAsia" w:ascii="宋体" w:hAnsi="宋体"/>
                <w:highlight w:val="none"/>
              </w:rPr>
              <w:t>月毕业于</w:t>
            </w:r>
            <w:r>
              <w:rPr>
                <w:rFonts w:eastAsia="Times New Roman"/>
                <w:highlight w:val="none"/>
              </w:rPr>
              <w:t>___________________</w:t>
            </w:r>
            <w:r>
              <w:rPr>
                <w:rFonts w:hint="eastAsia" w:ascii="宋体" w:hAnsi="宋体"/>
                <w:highlight w:val="none"/>
              </w:rPr>
              <w:t>学校</w:t>
            </w:r>
            <w:r>
              <w:rPr>
                <w:rFonts w:eastAsia="Times New Roman"/>
                <w:highlight w:val="none"/>
              </w:rPr>
              <w:t>___________</w:t>
            </w:r>
            <w:r>
              <w:rPr>
                <w:rFonts w:hint="eastAsia" w:ascii="宋体" w:hAnsi="宋体"/>
                <w:highlight w:val="none"/>
              </w:rPr>
              <w:t>专业，学制</w:t>
            </w:r>
            <w:r>
              <w:rPr>
                <w:rFonts w:eastAsia="Times New Roman"/>
                <w:highlight w:val="none"/>
              </w:rPr>
              <w:t>______</w:t>
            </w:r>
            <w:r>
              <w:rPr>
                <w:rFonts w:hint="eastAsia" w:ascii="宋体" w:hAnsi="宋体"/>
                <w:highlight w:val="none"/>
              </w:rPr>
              <w:t>年</w:t>
            </w:r>
          </w:p>
        </w:tc>
      </w:tr>
      <w:tr>
        <w:tblPrEx>
          <w:tblCellMar>
            <w:top w:w="0" w:type="dxa"/>
            <w:left w:w="0" w:type="dxa"/>
            <w:bottom w:w="0" w:type="dxa"/>
            <w:right w:w="0" w:type="dxa"/>
          </w:tblCellMar>
        </w:tblPrEx>
        <w:trPr>
          <w:trHeight w:val="83" w:hRule="atLeast"/>
          <w:jc w:val="center"/>
        </w:trPr>
        <w:tc>
          <w:tcPr>
            <w:tcW w:w="600" w:type="dxa"/>
            <w:tcBorders>
              <w:top w:val="nil"/>
              <w:left w:val="single" w:color="auto" w:sz="8" w:space="0"/>
              <w:bottom w:val="single" w:color="auto" w:sz="8" w:space="0"/>
              <w:right w:val="nil"/>
            </w:tcBorders>
            <w:vAlign w:val="bottom"/>
          </w:tcPr>
          <w:p>
            <w:pPr>
              <w:jc w:val="left"/>
              <w:rPr>
                <w:sz w:val="7"/>
                <w:highlight w:val="none"/>
              </w:rPr>
            </w:pPr>
          </w:p>
        </w:tc>
        <w:tc>
          <w:tcPr>
            <w:tcW w:w="640" w:type="dxa"/>
            <w:tcBorders>
              <w:top w:val="nil"/>
              <w:left w:val="nil"/>
              <w:bottom w:val="single" w:color="auto" w:sz="8" w:space="0"/>
              <w:right w:val="single" w:color="auto" w:sz="8" w:space="0"/>
            </w:tcBorders>
            <w:vAlign w:val="bottom"/>
          </w:tcPr>
          <w:p>
            <w:pPr>
              <w:jc w:val="left"/>
              <w:rPr>
                <w:sz w:val="7"/>
                <w:highlight w:val="none"/>
              </w:rPr>
            </w:pPr>
          </w:p>
        </w:tc>
        <w:tc>
          <w:tcPr>
            <w:tcW w:w="60" w:type="dxa"/>
            <w:tcBorders>
              <w:top w:val="nil"/>
              <w:left w:val="nil"/>
              <w:bottom w:val="single" w:color="auto" w:sz="8" w:space="0"/>
              <w:right w:val="nil"/>
            </w:tcBorders>
            <w:vAlign w:val="bottom"/>
          </w:tcPr>
          <w:p>
            <w:pPr>
              <w:jc w:val="left"/>
              <w:rPr>
                <w:sz w:val="7"/>
                <w:highlight w:val="none"/>
              </w:rPr>
            </w:pPr>
          </w:p>
        </w:tc>
        <w:tc>
          <w:tcPr>
            <w:tcW w:w="740" w:type="dxa"/>
            <w:tcBorders>
              <w:top w:val="nil"/>
              <w:left w:val="nil"/>
              <w:bottom w:val="single" w:color="auto" w:sz="8" w:space="0"/>
              <w:right w:val="nil"/>
            </w:tcBorders>
            <w:vAlign w:val="bottom"/>
          </w:tcPr>
          <w:p>
            <w:pPr>
              <w:jc w:val="left"/>
              <w:rPr>
                <w:sz w:val="7"/>
                <w:highlight w:val="none"/>
              </w:rPr>
            </w:pPr>
          </w:p>
        </w:tc>
        <w:tc>
          <w:tcPr>
            <w:tcW w:w="600" w:type="dxa"/>
            <w:tcBorders>
              <w:top w:val="nil"/>
              <w:left w:val="nil"/>
              <w:bottom w:val="single" w:color="auto" w:sz="8" w:space="0"/>
              <w:right w:val="nil"/>
            </w:tcBorders>
            <w:vAlign w:val="bottom"/>
          </w:tcPr>
          <w:p>
            <w:pPr>
              <w:jc w:val="left"/>
              <w:rPr>
                <w:sz w:val="7"/>
                <w:highlight w:val="none"/>
              </w:rPr>
            </w:pPr>
          </w:p>
        </w:tc>
        <w:tc>
          <w:tcPr>
            <w:tcW w:w="120" w:type="dxa"/>
            <w:tcBorders>
              <w:top w:val="nil"/>
              <w:left w:val="nil"/>
              <w:bottom w:val="single" w:color="auto" w:sz="8" w:space="0"/>
              <w:right w:val="nil"/>
            </w:tcBorders>
            <w:vAlign w:val="bottom"/>
          </w:tcPr>
          <w:p>
            <w:pPr>
              <w:jc w:val="left"/>
              <w:rPr>
                <w:sz w:val="7"/>
                <w:highlight w:val="none"/>
              </w:rPr>
            </w:pPr>
          </w:p>
        </w:tc>
        <w:tc>
          <w:tcPr>
            <w:tcW w:w="500" w:type="dxa"/>
            <w:tcBorders>
              <w:top w:val="nil"/>
              <w:left w:val="nil"/>
              <w:bottom w:val="single" w:color="auto" w:sz="8" w:space="0"/>
              <w:right w:val="nil"/>
            </w:tcBorders>
            <w:vAlign w:val="bottom"/>
          </w:tcPr>
          <w:p>
            <w:pPr>
              <w:jc w:val="left"/>
              <w:rPr>
                <w:sz w:val="7"/>
                <w:highlight w:val="none"/>
              </w:rPr>
            </w:pPr>
          </w:p>
        </w:tc>
        <w:tc>
          <w:tcPr>
            <w:tcW w:w="1220" w:type="dxa"/>
            <w:gridSpan w:val="2"/>
            <w:tcBorders>
              <w:top w:val="nil"/>
              <w:left w:val="nil"/>
              <w:bottom w:val="single" w:color="auto" w:sz="8" w:space="0"/>
              <w:right w:val="nil"/>
            </w:tcBorders>
            <w:vAlign w:val="bottom"/>
          </w:tcPr>
          <w:p>
            <w:pPr>
              <w:jc w:val="left"/>
              <w:rPr>
                <w:sz w:val="7"/>
                <w:highlight w:val="none"/>
              </w:rPr>
            </w:pPr>
          </w:p>
        </w:tc>
        <w:tc>
          <w:tcPr>
            <w:tcW w:w="260" w:type="dxa"/>
            <w:tcBorders>
              <w:top w:val="nil"/>
              <w:left w:val="nil"/>
              <w:bottom w:val="single" w:color="auto" w:sz="8" w:space="0"/>
              <w:right w:val="nil"/>
            </w:tcBorders>
            <w:vAlign w:val="bottom"/>
          </w:tcPr>
          <w:p>
            <w:pPr>
              <w:jc w:val="left"/>
              <w:rPr>
                <w:sz w:val="7"/>
                <w:highlight w:val="none"/>
              </w:rPr>
            </w:pPr>
          </w:p>
        </w:tc>
        <w:tc>
          <w:tcPr>
            <w:tcW w:w="800" w:type="dxa"/>
            <w:gridSpan w:val="2"/>
            <w:tcBorders>
              <w:top w:val="nil"/>
              <w:left w:val="nil"/>
              <w:bottom w:val="single" w:color="auto" w:sz="8" w:space="0"/>
              <w:right w:val="nil"/>
            </w:tcBorders>
            <w:vAlign w:val="bottom"/>
          </w:tcPr>
          <w:p>
            <w:pPr>
              <w:jc w:val="left"/>
              <w:rPr>
                <w:sz w:val="7"/>
                <w:highlight w:val="none"/>
              </w:rPr>
            </w:pPr>
          </w:p>
        </w:tc>
        <w:tc>
          <w:tcPr>
            <w:tcW w:w="440" w:type="dxa"/>
            <w:tcBorders>
              <w:top w:val="nil"/>
              <w:left w:val="nil"/>
              <w:bottom w:val="single" w:color="auto" w:sz="8" w:space="0"/>
              <w:right w:val="nil"/>
            </w:tcBorders>
            <w:vAlign w:val="bottom"/>
          </w:tcPr>
          <w:p>
            <w:pPr>
              <w:jc w:val="left"/>
              <w:rPr>
                <w:sz w:val="7"/>
                <w:highlight w:val="none"/>
              </w:rPr>
            </w:pPr>
          </w:p>
        </w:tc>
        <w:tc>
          <w:tcPr>
            <w:tcW w:w="280" w:type="dxa"/>
            <w:tcBorders>
              <w:top w:val="nil"/>
              <w:left w:val="nil"/>
              <w:bottom w:val="single" w:color="auto" w:sz="8" w:space="0"/>
              <w:right w:val="nil"/>
            </w:tcBorders>
            <w:vAlign w:val="bottom"/>
          </w:tcPr>
          <w:p>
            <w:pPr>
              <w:jc w:val="left"/>
              <w:rPr>
                <w:sz w:val="7"/>
                <w:highlight w:val="none"/>
              </w:rPr>
            </w:pPr>
          </w:p>
        </w:tc>
        <w:tc>
          <w:tcPr>
            <w:tcW w:w="680" w:type="dxa"/>
            <w:tcBorders>
              <w:top w:val="nil"/>
              <w:left w:val="nil"/>
              <w:bottom w:val="single" w:color="auto" w:sz="8" w:space="0"/>
              <w:right w:val="nil"/>
            </w:tcBorders>
            <w:vAlign w:val="bottom"/>
          </w:tcPr>
          <w:p>
            <w:pPr>
              <w:jc w:val="left"/>
              <w:rPr>
                <w:sz w:val="7"/>
                <w:highlight w:val="none"/>
              </w:rPr>
            </w:pPr>
          </w:p>
        </w:tc>
        <w:tc>
          <w:tcPr>
            <w:tcW w:w="140" w:type="dxa"/>
            <w:tcBorders>
              <w:top w:val="nil"/>
              <w:left w:val="nil"/>
              <w:bottom w:val="single" w:color="auto" w:sz="8" w:space="0"/>
              <w:right w:val="nil"/>
            </w:tcBorders>
            <w:vAlign w:val="bottom"/>
          </w:tcPr>
          <w:p>
            <w:pPr>
              <w:jc w:val="left"/>
              <w:rPr>
                <w:sz w:val="7"/>
                <w:highlight w:val="none"/>
              </w:rPr>
            </w:pPr>
          </w:p>
        </w:tc>
        <w:tc>
          <w:tcPr>
            <w:tcW w:w="280" w:type="dxa"/>
            <w:tcBorders>
              <w:top w:val="nil"/>
              <w:left w:val="nil"/>
              <w:bottom w:val="single" w:color="auto" w:sz="8" w:space="0"/>
              <w:right w:val="nil"/>
            </w:tcBorders>
            <w:vAlign w:val="bottom"/>
          </w:tcPr>
          <w:p>
            <w:pPr>
              <w:jc w:val="left"/>
              <w:rPr>
                <w:sz w:val="7"/>
                <w:highlight w:val="none"/>
              </w:rPr>
            </w:pPr>
          </w:p>
        </w:tc>
        <w:tc>
          <w:tcPr>
            <w:tcW w:w="100" w:type="dxa"/>
            <w:tcBorders>
              <w:top w:val="nil"/>
              <w:left w:val="nil"/>
              <w:bottom w:val="single" w:color="auto" w:sz="8" w:space="0"/>
              <w:right w:val="nil"/>
            </w:tcBorders>
            <w:vAlign w:val="bottom"/>
          </w:tcPr>
          <w:p>
            <w:pPr>
              <w:jc w:val="left"/>
              <w:rPr>
                <w:sz w:val="7"/>
                <w:highlight w:val="none"/>
              </w:rPr>
            </w:pPr>
          </w:p>
        </w:tc>
        <w:tc>
          <w:tcPr>
            <w:tcW w:w="960" w:type="dxa"/>
            <w:tcBorders>
              <w:top w:val="nil"/>
              <w:left w:val="nil"/>
              <w:bottom w:val="single" w:color="auto" w:sz="8" w:space="0"/>
              <w:right w:val="nil"/>
            </w:tcBorders>
            <w:vAlign w:val="bottom"/>
          </w:tcPr>
          <w:p>
            <w:pPr>
              <w:jc w:val="left"/>
              <w:rPr>
                <w:sz w:val="7"/>
                <w:highlight w:val="none"/>
              </w:rPr>
            </w:pPr>
          </w:p>
        </w:tc>
        <w:tc>
          <w:tcPr>
            <w:tcW w:w="100" w:type="dxa"/>
            <w:tcBorders>
              <w:top w:val="nil"/>
              <w:left w:val="nil"/>
              <w:bottom w:val="single" w:color="auto" w:sz="8" w:space="0"/>
              <w:right w:val="nil"/>
            </w:tcBorders>
            <w:vAlign w:val="bottom"/>
          </w:tcPr>
          <w:p>
            <w:pPr>
              <w:jc w:val="left"/>
              <w:rPr>
                <w:sz w:val="7"/>
                <w:highlight w:val="none"/>
              </w:rPr>
            </w:pPr>
          </w:p>
        </w:tc>
        <w:tc>
          <w:tcPr>
            <w:tcW w:w="240" w:type="dxa"/>
            <w:tcBorders>
              <w:top w:val="nil"/>
              <w:left w:val="nil"/>
              <w:bottom w:val="single" w:color="auto" w:sz="8" w:space="0"/>
              <w:right w:val="single" w:color="auto" w:sz="8" w:space="0"/>
            </w:tcBorders>
            <w:vAlign w:val="bottom"/>
          </w:tcPr>
          <w:p>
            <w:pPr>
              <w:jc w:val="left"/>
              <w:rPr>
                <w:sz w:val="7"/>
                <w:highlight w:val="none"/>
              </w:rPr>
            </w:pPr>
          </w:p>
        </w:tc>
      </w:tr>
      <w:tr>
        <w:tblPrEx>
          <w:tblCellMar>
            <w:top w:w="0" w:type="dxa"/>
            <w:left w:w="0" w:type="dxa"/>
            <w:bottom w:w="0" w:type="dxa"/>
            <w:right w:w="0" w:type="dxa"/>
          </w:tblCellMar>
        </w:tblPrEx>
        <w:trPr>
          <w:trHeight w:val="414" w:hRule="atLeast"/>
          <w:jc w:val="center"/>
        </w:trPr>
        <w:tc>
          <w:tcPr>
            <w:tcW w:w="600" w:type="dxa"/>
            <w:tcBorders>
              <w:top w:val="nil"/>
              <w:left w:val="single" w:color="auto" w:sz="8" w:space="0"/>
              <w:bottom w:val="nil"/>
              <w:right w:val="nil"/>
            </w:tcBorders>
            <w:vAlign w:val="bottom"/>
          </w:tcPr>
          <w:p>
            <w:pPr>
              <w:jc w:val="left"/>
              <w:rPr>
                <w:sz w:val="24"/>
                <w:highlight w:val="none"/>
              </w:rPr>
            </w:pPr>
          </w:p>
        </w:tc>
        <w:tc>
          <w:tcPr>
            <w:tcW w:w="640" w:type="dxa"/>
            <w:tcBorders>
              <w:top w:val="nil"/>
              <w:left w:val="nil"/>
              <w:bottom w:val="nil"/>
              <w:right w:val="nil"/>
            </w:tcBorders>
            <w:vAlign w:val="bottom"/>
          </w:tcPr>
          <w:p>
            <w:pPr>
              <w:jc w:val="left"/>
              <w:rPr>
                <w:sz w:val="24"/>
                <w:highlight w:val="none"/>
              </w:rPr>
            </w:pPr>
          </w:p>
        </w:tc>
        <w:tc>
          <w:tcPr>
            <w:tcW w:w="60" w:type="dxa"/>
            <w:tcBorders>
              <w:top w:val="nil"/>
              <w:left w:val="nil"/>
              <w:bottom w:val="nil"/>
              <w:right w:val="nil"/>
            </w:tcBorders>
            <w:vAlign w:val="bottom"/>
          </w:tcPr>
          <w:p>
            <w:pPr>
              <w:jc w:val="left"/>
              <w:rPr>
                <w:sz w:val="24"/>
                <w:highlight w:val="none"/>
              </w:rPr>
            </w:pPr>
          </w:p>
        </w:tc>
        <w:tc>
          <w:tcPr>
            <w:tcW w:w="740" w:type="dxa"/>
            <w:tcBorders>
              <w:top w:val="nil"/>
              <w:left w:val="nil"/>
              <w:bottom w:val="nil"/>
              <w:right w:val="nil"/>
            </w:tcBorders>
            <w:vAlign w:val="bottom"/>
          </w:tcPr>
          <w:p>
            <w:pPr>
              <w:jc w:val="left"/>
              <w:rPr>
                <w:sz w:val="24"/>
                <w:highlight w:val="none"/>
              </w:rPr>
            </w:pPr>
          </w:p>
        </w:tc>
        <w:tc>
          <w:tcPr>
            <w:tcW w:w="600" w:type="dxa"/>
            <w:tcBorders>
              <w:top w:val="nil"/>
              <w:left w:val="nil"/>
              <w:bottom w:val="nil"/>
              <w:right w:val="nil"/>
            </w:tcBorders>
            <w:vAlign w:val="bottom"/>
          </w:tcPr>
          <w:p>
            <w:pPr>
              <w:jc w:val="left"/>
              <w:rPr>
                <w:sz w:val="24"/>
                <w:highlight w:val="none"/>
              </w:rPr>
            </w:pPr>
          </w:p>
        </w:tc>
        <w:tc>
          <w:tcPr>
            <w:tcW w:w="120" w:type="dxa"/>
            <w:tcBorders>
              <w:top w:val="nil"/>
              <w:left w:val="nil"/>
              <w:bottom w:val="nil"/>
              <w:right w:val="nil"/>
            </w:tcBorders>
            <w:vAlign w:val="bottom"/>
          </w:tcPr>
          <w:p>
            <w:pPr>
              <w:jc w:val="left"/>
              <w:rPr>
                <w:sz w:val="24"/>
                <w:highlight w:val="none"/>
              </w:rPr>
            </w:pPr>
          </w:p>
        </w:tc>
        <w:tc>
          <w:tcPr>
            <w:tcW w:w="500" w:type="dxa"/>
            <w:tcBorders>
              <w:top w:val="nil"/>
              <w:left w:val="nil"/>
              <w:bottom w:val="nil"/>
              <w:right w:val="nil"/>
            </w:tcBorders>
            <w:vAlign w:val="bottom"/>
          </w:tcPr>
          <w:p>
            <w:pPr>
              <w:jc w:val="left"/>
              <w:rPr>
                <w:sz w:val="24"/>
                <w:highlight w:val="none"/>
              </w:rPr>
            </w:pPr>
          </w:p>
        </w:tc>
        <w:tc>
          <w:tcPr>
            <w:tcW w:w="1480" w:type="dxa"/>
            <w:gridSpan w:val="3"/>
            <w:tcBorders>
              <w:top w:val="nil"/>
              <w:left w:val="nil"/>
              <w:bottom w:val="nil"/>
              <w:right w:val="nil"/>
            </w:tcBorders>
            <w:vAlign w:val="bottom"/>
          </w:tcPr>
          <w:p>
            <w:pPr>
              <w:spacing w:line="239" w:lineRule="exact"/>
              <w:ind w:left="420"/>
              <w:jc w:val="left"/>
              <w:rPr>
                <w:sz w:val="24"/>
                <w:highlight w:val="none"/>
              </w:rPr>
            </w:pPr>
            <w:r>
              <w:rPr>
                <w:rFonts w:hint="eastAsia" w:ascii="宋体" w:hAnsi="宋体"/>
                <w:highlight w:val="none"/>
              </w:rPr>
              <w:t>经</w:t>
            </w:r>
          </w:p>
        </w:tc>
        <w:tc>
          <w:tcPr>
            <w:tcW w:w="1240" w:type="dxa"/>
            <w:gridSpan w:val="3"/>
            <w:tcBorders>
              <w:top w:val="nil"/>
              <w:left w:val="nil"/>
              <w:bottom w:val="nil"/>
              <w:right w:val="nil"/>
            </w:tcBorders>
            <w:vAlign w:val="bottom"/>
          </w:tcPr>
          <w:p>
            <w:pPr>
              <w:spacing w:line="239" w:lineRule="exact"/>
              <w:ind w:left="100"/>
              <w:jc w:val="left"/>
              <w:rPr>
                <w:sz w:val="24"/>
                <w:highlight w:val="none"/>
              </w:rPr>
            </w:pPr>
            <w:r>
              <w:rPr>
                <w:rFonts w:hint="eastAsia" w:ascii="宋体" w:hAnsi="宋体"/>
                <w:highlight w:val="none"/>
              </w:rPr>
              <w:t>历</w:t>
            </w:r>
          </w:p>
        </w:tc>
        <w:tc>
          <w:tcPr>
            <w:tcW w:w="280" w:type="dxa"/>
            <w:tcBorders>
              <w:top w:val="nil"/>
              <w:left w:val="nil"/>
              <w:bottom w:val="nil"/>
              <w:right w:val="nil"/>
            </w:tcBorders>
            <w:vAlign w:val="bottom"/>
          </w:tcPr>
          <w:p>
            <w:pPr>
              <w:jc w:val="left"/>
              <w:rPr>
                <w:sz w:val="24"/>
                <w:highlight w:val="none"/>
              </w:rPr>
            </w:pPr>
          </w:p>
        </w:tc>
        <w:tc>
          <w:tcPr>
            <w:tcW w:w="680" w:type="dxa"/>
            <w:tcBorders>
              <w:top w:val="nil"/>
              <w:left w:val="nil"/>
              <w:bottom w:val="nil"/>
              <w:right w:val="nil"/>
            </w:tcBorders>
            <w:vAlign w:val="bottom"/>
          </w:tcPr>
          <w:p>
            <w:pPr>
              <w:jc w:val="left"/>
              <w:rPr>
                <w:sz w:val="24"/>
                <w:highlight w:val="none"/>
              </w:rPr>
            </w:pPr>
          </w:p>
        </w:tc>
        <w:tc>
          <w:tcPr>
            <w:tcW w:w="140" w:type="dxa"/>
            <w:tcBorders>
              <w:top w:val="nil"/>
              <w:left w:val="nil"/>
              <w:bottom w:val="nil"/>
              <w:right w:val="nil"/>
            </w:tcBorders>
            <w:vAlign w:val="bottom"/>
          </w:tcPr>
          <w:p>
            <w:pPr>
              <w:jc w:val="left"/>
              <w:rPr>
                <w:sz w:val="24"/>
                <w:highlight w:val="none"/>
              </w:rPr>
            </w:pPr>
          </w:p>
        </w:tc>
        <w:tc>
          <w:tcPr>
            <w:tcW w:w="28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96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240" w:type="dxa"/>
            <w:tcBorders>
              <w:top w:val="nil"/>
              <w:left w:val="nil"/>
              <w:bottom w:val="nil"/>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94" w:hRule="atLeast"/>
          <w:jc w:val="center"/>
        </w:trPr>
        <w:tc>
          <w:tcPr>
            <w:tcW w:w="600" w:type="dxa"/>
            <w:tcBorders>
              <w:top w:val="nil"/>
              <w:left w:val="single" w:color="auto" w:sz="8" w:space="0"/>
              <w:bottom w:val="single" w:color="auto" w:sz="8" w:space="0"/>
              <w:right w:val="nil"/>
            </w:tcBorders>
            <w:vAlign w:val="bottom"/>
          </w:tcPr>
          <w:p>
            <w:pPr>
              <w:jc w:val="left"/>
              <w:rPr>
                <w:sz w:val="8"/>
                <w:highlight w:val="none"/>
              </w:rPr>
            </w:pPr>
          </w:p>
        </w:tc>
        <w:tc>
          <w:tcPr>
            <w:tcW w:w="640" w:type="dxa"/>
            <w:tcBorders>
              <w:top w:val="nil"/>
              <w:left w:val="nil"/>
              <w:bottom w:val="single" w:color="auto" w:sz="8" w:space="0"/>
              <w:right w:val="nil"/>
            </w:tcBorders>
            <w:vAlign w:val="bottom"/>
          </w:tcPr>
          <w:p>
            <w:pPr>
              <w:jc w:val="left"/>
              <w:rPr>
                <w:sz w:val="8"/>
                <w:highlight w:val="none"/>
              </w:rPr>
            </w:pPr>
          </w:p>
        </w:tc>
        <w:tc>
          <w:tcPr>
            <w:tcW w:w="60" w:type="dxa"/>
            <w:tcBorders>
              <w:top w:val="nil"/>
              <w:left w:val="nil"/>
              <w:bottom w:val="single" w:color="auto" w:sz="8" w:space="0"/>
              <w:right w:val="nil"/>
            </w:tcBorders>
            <w:vAlign w:val="bottom"/>
          </w:tcPr>
          <w:p>
            <w:pPr>
              <w:jc w:val="left"/>
              <w:rPr>
                <w:sz w:val="8"/>
                <w:highlight w:val="none"/>
              </w:rPr>
            </w:pPr>
          </w:p>
        </w:tc>
        <w:tc>
          <w:tcPr>
            <w:tcW w:w="740" w:type="dxa"/>
            <w:tcBorders>
              <w:top w:val="nil"/>
              <w:left w:val="nil"/>
              <w:bottom w:val="single" w:color="auto" w:sz="8" w:space="0"/>
              <w:right w:val="nil"/>
            </w:tcBorders>
            <w:vAlign w:val="bottom"/>
          </w:tcPr>
          <w:p>
            <w:pPr>
              <w:jc w:val="left"/>
              <w:rPr>
                <w:sz w:val="8"/>
                <w:highlight w:val="none"/>
              </w:rPr>
            </w:pPr>
          </w:p>
        </w:tc>
        <w:tc>
          <w:tcPr>
            <w:tcW w:w="600" w:type="dxa"/>
            <w:tcBorders>
              <w:top w:val="nil"/>
              <w:left w:val="nil"/>
              <w:bottom w:val="single" w:color="auto" w:sz="8" w:space="0"/>
              <w:right w:val="nil"/>
            </w:tcBorders>
            <w:vAlign w:val="bottom"/>
          </w:tcPr>
          <w:p>
            <w:pPr>
              <w:jc w:val="left"/>
              <w:rPr>
                <w:sz w:val="8"/>
                <w:highlight w:val="none"/>
              </w:rPr>
            </w:pPr>
          </w:p>
        </w:tc>
        <w:tc>
          <w:tcPr>
            <w:tcW w:w="120" w:type="dxa"/>
            <w:tcBorders>
              <w:top w:val="nil"/>
              <w:left w:val="nil"/>
              <w:bottom w:val="single" w:color="auto" w:sz="8" w:space="0"/>
              <w:right w:val="nil"/>
            </w:tcBorders>
            <w:vAlign w:val="bottom"/>
          </w:tcPr>
          <w:p>
            <w:pPr>
              <w:jc w:val="left"/>
              <w:rPr>
                <w:sz w:val="8"/>
                <w:highlight w:val="none"/>
              </w:rPr>
            </w:pPr>
          </w:p>
        </w:tc>
        <w:tc>
          <w:tcPr>
            <w:tcW w:w="500" w:type="dxa"/>
            <w:tcBorders>
              <w:top w:val="nil"/>
              <w:left w:val="nil"/>
              <w:bottom w:val="single" w:color="auto" w:sz="8" w:space="0"/>
              <w:right w:val="nil"/>
            </w:tcBorders>
            <w:vAlign w:val="bottom"/>
          </w:tcPr>
          <w:p>
            <w:pPr>
              <w:jc w:val="left"/>
              <w:rPr>
                <w:sz w:val="8"/>
                <w:highlight w:val="none"/>
              </w:rPr>
            </w:pPr>
          </w:p>
        </w:tc>
        <w:tc>
          <w:tcPr>
            <w:tcW w:w="560" w:type="dxa"/>
            <w:tcBorders>
              <w:top w:val="nil"/>
              <w:left w:val="nil"/>
              <w:bottom w:val="single" w:color="auto" w:sz="8" w:space="0"/>
              <w:right w:val="nil"/>
            </w:tcBorders>
            <w:vAlign w:val="bottom"/>
          </w:tcPr>
          <w:p>
            <w:pPr>
              <w:jc w:val="left"/>
              <w:rPr>
                <w:sz w:val="8"/>
                <w:highlight w:val="none"/>
              </w:rPr>
            </w:pPr>
          </w:p>
        </w:tc>
        <w:tc>
          <w:tcPr>
            <w:tcW w:w="660" w:type="dxa"/>
            <w:tcBorders>
              <w:top w:val="nil"/>
              <w:left w:val="nil"/>
              <w:bottom w:val="single" w:color="auto" w:sz="8" w:space="0"/>
              <w:right w:val="nil"/>
            </w:tcBorders>
            <w:vAlign w:val="bottom"/>
          </w:tcPr>
          <w:p>
            <w:pPr>
              <w:jc w:val="left"/>
              <w:rPr>
                <w:sz w:val="8"/>
                <w:highlight w:val="none"/>
              </w:rPr>
            </w:pPr>
          </w:p>
        </w:tc>
        <w:tc>
          <w:tcPr>
            <w:tcW w:w="260" w:type="dxa"/>
            <w:tcBorders>
              <w:top w:val="nil"/>
              <w:left w:val="nil"/>
              <w:bottom w:val="single" w:color="auto" w:sz="8" w:space="0"/>
              <w:right w:val="nil"/>
            </w:tcBorders>
            <w:vAlign w:val="bottom"/>
          </w:tcPr>
          <w:p>
            <w:pPr>
              <w:jc w:val="left"/>
              <w:rPr>
                <w:sz w:val="8"/>
                <w:highlight w:val="none"/>
              </w:rPr>
            </w:pPr>
          </w:p>
        </w:tc>
        <w:tc>
          <w:tcPr>
            <w:tcW w:w="460" w:type="dxa"/>
            <w:tcBorders>
              <w:top w:val="nil"/>
              <w:left w:val="nil"/>
              <w:bottom w:val="single" w:color="auto" w:sz="8" w:space="0"/>
              <w:right w:val="nil"/>
            </w:tcBorders>
            <w:vAlign w:val="bottom"/>
          </w:tcPr>
          <w:p>
            <w:pPr>
              <w:jc w:val="left"/>
              <w:rPr>
                <w:sz w:val="8"/>
                <w:highlight w:val="none"/>
              </w:rPr>
            </w:pPr>
          </w:p>
        </w:tc>
        <w:tc>
          <w:tcPr>
            <w:tcW w:w="340" w:type="dxa"/>
            <w:tcBorders>
              <w:top w:val="nil"/>
              <w:left w:val="nil"/>
              <w:bottom w:val="single" w:color="auto" w:sz="8" w:space="0"/>
              <w:right w:val="nil"/>
            </w:tcBorders>
            <w:vAlign w:val="bottom"/>
          </w:tcPr>
          <w:p>
            <w:pPr>
              <w:jc w:val="left"/>
              <w:rPr>
                <w:sz w:val="8"/>
                <w:highlight w:val="none"/>
              </w:rPr>
            </w:pPr>
          </w:p>
        </w:tc>
        <w:tc>
          <w:tcPr>
            <w:tcW w:w="440" w:type="dxa"/>
            <w:tcBorders>
              <w:top w:val="nil"/>
              <w:left w:val="nil"/>
              <w:bottom w:val="single" w:color="auto" w:sz="8" w:space="0"/>
              <w:right w:val="nil"/>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680" w:type="dxa"/>
            <w:tcBorders>
              <w:top w:val="nil"/>
              <w:left w:val="nil"/>
              <w:bottom w:val="single" w:color="auto" w:sz="8" w:space="0"/>
              <w:right w:val="nil"/>
            </w:tcBorders>
            <w:vAlign w:val="bottom"/>
          </w:tcPr>
          <w:p>
            <w:pPr>
              <w:jc w:val="left"/>
              <w:rPr>
                <w:sz w:val="8"/>
                <w:highlight w:val="none"/>
              </w:rPr>
            </w:pPr>
          </w:p>
        </w:tc>
        <w:tc>
          <w:tcPr>
            <w:tcW w:w="140" w:type="dxa"/>
            <w:tcBorders>
              <w:top w:val="nil"/>
              <w:left w:val="nil"/>
              <w:bottom w:val="single" w:color="auto" w:sz="8" w:space="0"/>
              <w:right w:val="nil"/>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96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240" w:type="dxa"/>
            <w:tcBorders>
              <w:top w:val="nil"/>
              <w:left w:val="nil"/>
              <w:bottom w:val="single" w:color="auto" w:sz="8" w:space="0"/>
              <w:right w:val="single" w:color="auto" w:sz="8" w:space="0"/>
            </w:tcBorders>
            <w:vAlign w:val="bottom"/>
          </w:tcPr>
          <w:p>
            <w:pPr>
              <w:jc w:val="left"/>
              <w:rPr>
                <w:sz w:val="8"/>
                <w:highlight w:val="none"/>
              </w:rPr>
            </w:pPr>
          </w:p>
        </w:tc>
      </w:tr>
      <w:tr>
        <w:tblPrEx>
          <w:tblCellMar>
            <w:top w:w="0" w:type="dxa"/>
            <w:left w:w="0" w:type="dxa"/>
            <w:bottom w:w="0" w:type="dxa"/>
            <w:right w:w="0" w:type="dxa"/>
          </w:tblCellMar>
        </w:tblPrEx>
        <w:trPr>
          <w:trHeight w:val="416" w:hRule="atLeast"/>
          <w:jc w:val="center"/>
        </w:trPr>
        <w:tc>
          <w:tcPr>
            <w:tcW w:w="600" w:type="dxa"/>
            <w:vMerge w:val="restart"/>
            <w:tcBorders>
              <w:top w:val="nil"/>
              <w:left w:val="single" w:color="auto" w:sz="8" w:space="0"/>
              <w:bottom w:val="nil"/>
              <w:right w:val="nil"/>
            </w:tcBorders>
            <w:vAlign w:val="bottom"/>
          </w:tcPr>
          <w:p>
            <w:pPr>
              <w:spacing w:line="239" w:lineRule="exact"/>
              <w:ind w:left="320"/>
              <w:jc w:val="left"/>
              <w:rPr>
                <w:sz w:val="24"/>
                <w:highlight w:val="none"/>
              </w:rPr>
            </w:pPr>
            <w:r>
              <w:rPr>
                <w:rFonts w:hint="eastAsia" w:ascii="宋体" w:hAnsi="宋体"/>
                <w:highlight w:val="none"/>
              </w:rPr>
              <w:t>时</w:t>
            </w:r>
          </w:p>
        </w:tc>
        <w:tc>
          <w:tcPr>
            <w:tcW w:w="640" w:type="dxa"/>
            <w:vMerge w:val="restart"/>
            <w:tcBorders>
              <w:top w:val="nil"/>
              <w:left w:val="nil"/>
              <w:bottom w:val="nil"/>
              <w:right w:val="nil"/>
            </w:tcBorders>
            <w:vAlign w:val="bottom"/>
          </w:tcPr>
          <w:p>
            <w:pPr>
              <w:spacing w:line="239" w:lineRule="exact"/>
              <w:ind w:right="174"/>
              <w:jc w:val="right"/>
              <w:rPr>
                <w:sz w:val="24"/>
                <w:highlight w:val="none"/>
              </w:rPr>
            </w:pPr>
            <w:r>
              <w:rPr>
                <w:rFonts w:hint="eastAsia" w:ascii="宋体" w:hAnsi="宋体"/>
                <w:highlight w:val="none"/>
              </w:rPr>
              <w:t>间</w:t>
            </w:r>
          </w:p>
        </w:tc>
        <w:tc>
          <w:tcPr>
            <w:tcW w:w="60" w:type="dxa"/>
            <w:tcBorders>
              <w:top w:val="nil"/>
              <w:left w:val="nil"/>
              <w:bottom w:val="nil"/>
              <w:right w:val="single" w:color="auto" w:sz="8" w:space="0"/>
            </w:tcBorders>
            <w:vAlign w:val="bottom"/>
          </w:tcPr>
          <w:p>
            <w:pPr>
              <w:jc w:val="left"/>
              <w:rPr>
                <w:sz w:val="24"/>
                <w:highlight w:val="none"/>
              </w:rPr>
            </w:pPr>
          </w:p>
        </w:tc>
        <w:tc>
          <w:tcPr>
            <w:tcW w:w="740" w:type="dxa"/>
            <w:tcBorders>
              <w:top w:val="nil"/>
              <w:left w:val="nil"/>
              <w:bottom w:val="nil"/>
              <w:right w:val="nil"/>
            </w:tcBorders>
            <w:vAlign w:val="bottom"/>
          </w:tcPr>
          <w:p>
            <w:pPr>
              <w:jc w:val="left"/>
              <w:rPr>
                <w:sz w:val="24"/>
                <w:highlight w:val="none"/>
              </w:rPr>
            </w:pPr>
          </w:p>
        </w:tc>
        <w:tc>
          <w:tcPr>
            <w:tcW w:w="2700" w:type="dxa"/>
            <w:gridSpan w:val="6"/>
            <w:vMerge w:val="restart"/>
            <w:tcBorders>
              <w:top w:val="nil"/>
              <w:left w:val="nil"/>
              <w:bottom w:val="nil"/>
              <w:right w:val="nil"/>
            </w:tcBorders>
            <w:vAlign w:val="bottom"/>
          </w:tcPr>
          <w:p>
            <w:pPr>
              <w:spacing w:line="239" w:lineRule="exact"/>
              <w:ind w:left="100"/>
              <w:jc w:val="left"/>
              <w:rPr>
                <w:sz w:val="24"/>
                <w:highlight w:val="none"/>
              </w:rPr>
            </w:pPr>
            <w:r>
              <w:rPr>
                <w:rFonts w:hint="eastAsia" w:ascii="宋体" w:hAnsi="宋体"/>
                <w:highlight w:val="none"/>
              </w:rPr>
              <w:t>参加过的类似项目名称</w:t>
            </w:r>
          </w:p>
        </w:tc>
        <w:tc>
          <w:tcPr>
            <w:tcW w:w="460" w:type="dxa"/>
            <w:tcBorders>
              <w:top w:val="nil"/>
              <w:left w:val="nil"/>
              <w:bottom w:val="nil"/>
              <w:right w:val="nil"/>
            </w:tcBorders>
            <w:vAlign w:val="bottom"/>
          </w:tcPr>
          <w:p>
            <w:pPr>
              <w:jc w:val="left"/>
              <w:rPr>
                <w:sz w:val="24"/>
                <w:highlight w:val="none"/>
              </w:rPr>
            </w:pPr>
          </w:p>
        </w:tc>
        <w:tc>
          <w:tcPr>
            <w:tcW w:w="340" w:type="dxa"/>
            <w:tcBorders>
              <w:top w:val="nil"/>
              <w:left w:val="nil"/>
              <w:bottom w:val="nil"/>
              <w:right w:val="single" w:color="auto" w:sz="8" w:space="0"/>
            </w:tcBorders>
            <w:vAlign w:val="bottom"/>
          </w:tcPr>
          <w:p>
            <w:pPr>
              <w:jc w:val="left"/>
              <w:rPr>
                <w:sz w:val="24"/>
                <w:highlight w:val="none"/>
              </w:rPr>
            </w:pPr>
          </w:p>
        </w:tc>
        <w:tc>
          <w:tcPr>
            <w:tcW w:w="440" w:type="dxa"/>
            <w:tcBorders>
              <w:top w:val="nil"/>
              <w:left w:val="nil"/>
              <w:bottom w:val="nil"/>
              <w:right w:val="nil"/>
            </w:tcBorders>
            <w:vAlign w:val="bottom"/>
          </w:tcPr>
          <w:p>
            <w:pPr>
              <w:jc w:val="left"/>
              <w:rPr>
                <w:sz w:val="24"/>
                <w:highlight w:val="none"/>
              </w:rPr>
            </w:pPr>
          </w:p>
        </w:tc>
        <w:tc>
          <w:tcPr>
            <w:tcW w:w="1480" w:type="dxa"/>
            <w:gridSpan w:val="5"/>
            <w:vMerge w:val="restart"/>
            <w:tcBorders>
              <w:top w:val="nil"/>
              <w:left w:val="nil"/>
              <w:bottom w:val="nil"/>
              <w:right w:val="single" w:color="auto" w:sz="8" w:space="0"/>
            </w:tcBorders>
            <w:vAlign w:val="bottom"/>
          </w:tcPr>
          <w:p>
            <w:pPr>
              <w:spacing w:line="239" w:lineRule="exact"/>
              <w:ind w:right="480"/>
              <w:jc w:val="center"/>
              <w:rPr>
                <w:sz w:val="24"/>
                <w:highlight w:val="none"/>
              </w:rPr>
            </w:pPr>
            <w:r>
              <w:rPr>
                <w:rFonts w:hint="eastAsia" w:ascii="宋体" w:hAnsi="宋体"/>
                <w:w w:val="99"/>
                <w:highlight w:val="none"/>
              </w:rPr>
              <w:t>担任职务</w:t>
            </w:r>
          </w:p>
        </w:tc>
        <w:tc>
          <w:tcPr>
            <w:tcW w:w="1300" w:type="dxa"/>
            <w:gridSpan w:val="3"/>
            <w:tcBorders>
              <w:top w:val="nil"/>
              <w:left w:val="nil"/>
              <w:bottom w:val="nil"/>
              <w:right w:val="single" w:color="auto" w:sz="8" w:space="0"/>
            </w:tcBorders>
            <w:vAlign w:val="bottom"/>
          </w:tcPr>
          <w:p>
            <w:pPr>
              <w:spacing w:line="239" w:lineRule="exact"/>
              <w:ind w:right="14"/>
              <w:jc w:val="right"/>
              <w:rPr>
                <w:sz w:val="24"/>
                <w:highlight w:val="none"/>
              </w:rPr>
            </w:pPr>
            <w:r>
              <w:rPr>
                <w:rFonts w:hint="eastAsia" w:ascii="宋体" w:hAnsi="宋体"/>
                <w:highlight w:val="none"/>
              </w:rPr>
              <w:t>发包人及联</w:t>
            </w:r>
          </w:p>
        </w:tc>
      </w:tr>
      <w:tr>
        <w:tblPrEx>
          <w:tblCellMar>
            <w:top w:w="0" w:type="dxa"/>
            <w:left w:w="0" w:type="dxa"/>
            <w:bottom w:w="0" w:type="dxa"/>
            <w:right w:w="0" w:type="dxa"/>
          </w:tblCellMar>
        </w:tblPrEx>
        <w:trPr>
          <w:trHeight w:val="199" w:hRule="atLeast"/>
          <w:jc w:val="center"/>
        </w:trPr>
        <w:tc>
          <w:tcPr>
            <w:tcW w:w="600" w:type="dxa"/>
            <w:vMerge w:val="continue"/>
            <w:tcBorders>
              <w:top w:val="nil"/>
              <w:left w:val="single" w:color="auto" w:sz="8" w:space="0"/>
              <w:bottom w:val="nil"/>
              <w:right w:val="nil"/>
            </w:tcBorders>
            <w:vAlign w:val="bottom"/>
          </w:tcPr>
          <w:p>
            <w:pPr>
              <w:jc w:val="left"/>
              <w:rPr>
                <w:sz w:val="17"/>
                <w:highlight w:val="none"/>
              </w:rPr>
            </w:pPr>
          </w:p>
        </w:tc>
        <w:tc>
          <w:tcPr>
            <w:tcW w:w="640" w:type="dxa"/>
            <w:vMerge w:val="continue"/>
            <w:tcBorders>
              <w:top w:val="nil"/>
              <w:left w:val="nil"/>
              <w:bottom w:val="nil"/>
              <w:right w:val="nil"/>
            </w:tcBorders>
            <w:vAlign w:val="bottom"/>
          </w:tcPr>
          <w:p>
            <w:pPr>
              <w:jc w:val="left"/>
              <w:rPr>
                <w:sz w:val="17"/>
                <w:highlight w:val="none"/>
              </w:rPr>
            </w:pPr>
          </w:p>
        </w:tc>
        <w:tc>
          <w:tcPr>
            <w:tcW w:w="60" w:type="dxa"/>
            <w:tcBorders>
              <w:top w:val="nil"/>
              <w:left w:val="nil"/>
              <w:bottom w:val="nil"/>
              <w:right w:val="single" w:color="auto" w:sz="8" w:space="0"/>
            </w:tcBorders>
            <w:vAlign w:val="bottom"/>
          </w:tcPr>
          <w:p>
            <w:pPr>
              <w:jc w:val="left"/>
              <w:rPr>
                <w:sz w:val="17"/>
                <w:highlight w:val="none"/>
              </w:rPr>
            </w:pPr>
          </w:p>
        </w:tc>
        <w:tc>
          <w:tcPr>
            <w:tcW w:w="740" w:type="dxa"/>
            <w:tcBorders>
              <w:top w:val="nil"/>
              <w:left w:val="nil"/>
              <w:bottom w:val="nil"/>
              <w:right w:val="nil"/>
            </w:tcBorders>
            <w:vAlign w:val="bottom"/>
          </w:tcPr>
          <w:p>
            <w:pPr>
              <w:jc w:val="left"/>
              <w:rPr>
                <w:sz w:val="17"/>
                <w:highlight w:val="none"/>
              </w:rPr>
            </w:pPr>
          </w:p>
        </w:tc>
        <w:tc>
          <w:tcPr>
            <w:tcW w:w="2700" w:type="dxa"/>
            <w:gridSpan w:val="6"/>
            <w:vMerge w:val="continue"/>
            <w:tcBorders>
              <w:top w:val="nil"/>
              <w:left w:val="nil"/>
              <w:bottom w:val="nil"/>
              <w:right w:val="nil"/>
            </w:tcBorders>
            <w:vAlign w:val="bottom"/>
          </w:tcPr>
          <w:p>
            <w:pPr>
              <w:jc w:val="left"/>
              <w:rPr>
                <w:sz w:val="17"/>
                <w:highlight w:val="none"/>
              </w:rPr>
            </w:pPr>
          </w:p>
        </w:tc>
        <w:tc>
          <w:tcPr>
            <w:tcW w:w="460" w:type="dxa"/>
            <w:tcBorders>
              <w:top w:val="nil"/>
              <w:left w:val="nil"/>
              <w:bottom w:val="nil"/>
              <w:right w:val="nil"/>
            </w:tcBorders>
            <w:vAlign w:val="bottom"/>
          </w:tcPr>
          <w:p>
            <w:pPr>
              <w:jc w:val="left"/>
              <w:rPr>
                <w:sz w:val="17"/>
                <w:highlight w:val="none"/>
              </w:rPr>
            </w:pPr>
          </w:p>
        </w:tc>
        <w:tc>
          <w:tcPr>
            <w:tcW w:w="340" w:type="dxa"/>
            <w:tcBorders>
              <w:top w:val="nil"/>
              <w:left w:val="nil"/>
              <w:bottom w:val="nil"/>
              <w:right w:val="single" w:color="auto" w:sz="8" w:space="0"/>
            </w:tcBorders>
            <w:vAlign w:val="bottom"/>
          </w:tcPr>
          <w:p>
            <w:pPr>
              <w:jc w:val="left"/>
              <w:rPr>
                <w:sz w:val="17"/>
                <w:highlight w:val="none"/>
              </w:rPr>
            </w:pPr>
          </w:p>
        </w:tc>
        <w:tc>
          <w:tcPr>
            <w:tcW w:w="440" w:type="dxa"/>
            <w:tcBorders>
              <w:top w:val="nil"/>
              <w:left w:val="nil"/>
              <w:bottom w:val="nil"/>
              <w:right w:val="nil"/>
            </w:tcBorders>
            <w:vAlign w:val="bottom"/>
          </w:tcPr>
          <w:p>
            <w:pPr>
              <w:jc w:val="left"/>
              <w:rPr>
                <w:sz w:val="17"/>
                <w:highlight w:val="none"/>
              </w:rPr>
            </w:pPr>
          </w:p>
        </w:tc>
        <w:tc>
          <w:tcPr>
            <w:tcW w:w="1480" w:type="dxa"/>
            <w:gridSpan w:val="5"/>
            <w:vMerge w:val="continue"/>
            <w:tcBorders>
              <w:top w:val="nil"/>
              <w:left w:val="nil"/>
              <w:bottom w:val="nil"/>
              <w:right w:val="single" w:color="auto" w:sz="8" w:space="0"/>
            </w:tcBorders>
            <w:vAlign w:val="bottom"/>
          </w:tcPr>
          <w:p>
            <w:pPr>
              <w:jc w:val="left"/>
              <w:rPr>
                <w:sz w:val="17"/>
                <w:highlight w:val="none"/>
              </w:rPr>
            </w:pPr>
          </w:p>
        </w:tc>
        <w:tc>
          <w:tcPr>
            <w:tcW w:w="1300" w:type="dxa"/>
            <w:gridSpan w:val="3"/>
            <w:vMerge w:val="restart"/>
            <w:tcBorders>
              <w:top w:val="nil"/>
              <w:left w:val="nil"/>
              <w:bottom w:val="nil"/>
              <w:right w:val="single" w:color="auto" w:sz="8" w:space="0"/>
            </w:tcBorders>
            <w:vAlign w:val="bottom"/>
          </w:tcPr>
          <w:p>
            <w:pPr>
              <w:spacing w:line="239" w:lineRule="exact"/>
              <w:ind w:right="234"/>
              <w:jc w:val="right"/>
              <w:rPr>
                <w:sz w:val="24"/>
                <w:highlight w:val="none"/>
              </w:rPr>
            </w:pPr>
            <w:r>
              <w:rPr>
                <w:rFonts w:hint="eastAsia" w:ascii="宋体" w:hAnsi="宋体"/>
                <w:highlight w:val="none"/>
              </w:rPr>
              <w:t>系电话</w:t>
            </w:r>
          </w:p>
        </w:tc>
      </w:tr>
      <w:tr>
        <w:tblPrEx>
          <w:tblCellMar>
            <w:top w:w="0" w:type="dxa"/>
            <w:left w:w="0" w:type="dxa"/>
            <w:bottom w:w="0" w:type="dxa"/>
            <w:right w:w="0" w:type="dxa"/>
          </w:tblCellMar>
        </w:tblPrEx>
        <w:trPr>
          <w:trHeight w:val="199" w:hRule="atLeast"/>
          <w:jc w:val="center"/>
        </w:trPr>
        <w:tc>
          <w:tcPr>
            <w:tcW w:w="600" w:type="dxa"/>
            <w:tcBorders>
              <w:top w:val="nil"/>
              <w:left w:val="single" w:color="auto" w:sz="8" w:space="0"/>
              <w:bottom w:val="nil"/>
              <w:right w:val="nil"/>
            </w:tcBorders>
            <w:vAlign w:val="bottom"/>
          </w:tcPr>
          <w:p>
            <w:pPr>
              <w:jc w:val="left"/>
              <w:rPr>
                <w:sz w:val="17"/>
                <w:highlight w:val="none"/>
              </w:rPr>
            </w:pPr>
          </w:p>
        </w:tc>
        <w:tc>
          <w:tcPr>
            <w:tcW w:w="640" w:type="dxa"/>
            <w:tcBorders>
              <w:top w:val="nil"/>
              <w:left w:val="nil"/>
              <w:bottom w:val="nil"/>
              <w:right w:val="nil"/>
            </w:tcBorders>
            <w:vAlign w:val="bottom"/>
          </w:tcPr>
          <w:p>
            <w:pPr>
              <w:jc w:val="left"/>
              <w:rPr>
                <w:sz w:val="17"/>
                <w:highlight w:val="none"/>
              </w:rPr>
            </w:pPr>
          </w:p>
        </w:tc>
        <w:tc>
          <w:tcPr>
            <w:tcW w:w="60" w:type="dxa"/>
            <w:tcBorders>
              <w:top w:val="nil"/>
              <w:left w:val="nil"/>
              <w:bottom w:val="nil"/>
              <w:right w:val="single" w:color="auto" w:sz="8" w:space="0"/>
            </w:tcBorders>
            <w:vAlign w:val="bottom"/>
          </w:tcPr>
          <w:p>
            <w:pPr>
              <w:jc w:val="left"/>
              <w:rPr>
                <w:sz w:val="17"/>
                <w:highlight w:val="none"/>
              </w:rPr>
            </w:pPr>
          </w:p>
        </w:tc>
        <w:tc>
          <w:tcPr>
            <w:tcW w:w="740" w:type="dxa"/>
            <w:tcBorders>
              <w:top w:val="nil"/>
              <w:left w:val="nil"/>
              <w:bottom w:val="nil"/>
              <w:right w:val="nil"/>
            </w:tcBorders>
            <w:vAlign w:val="bottom"/>
          </w:tcPr>
          <w:p>
            <w:pPr>
              <w:jc w:val="left"/>
              <w:rPr>
                <w:sz w:val="17"/>
                <w:highlight w:val="none"/>
              </w:rPr>
            </w:pPr>
          </w:p>
        </w:tc>
        <w:tc>
          <w:tcPr>
            <w:tcW w:w="600" w:type="dxa"/>
            <w:tcBorders>
              <w:top w:val="nil"/>
              <w:left w:val="nil"/>
              <w:bottom w:val="nil"/>
              <w:right w:val="nil"/>
            </w:tcBorders>
            <w:vAlign w:val="bottom"/>
          </w:tcPr>
          <w:p>
            <w:pPr>
              <w:jc w:val="left"/>
              <w:rPr>
                <w:sz w:val="17"/>
                <w:highlight w:val="none"/>
              </w:rPr>
            </w:pPr>
          </w:p>
        </w:tc>
        <w:tc>
          <w:tcPr>
            <w:tcW w:w="120" w:type="dxa"/>
            <w:tcBorders>
              <w:top w:val="nil"/>
              <w:left w:val="nil"/>
              <w:bottom w:val="nil"/>
              <w:right w:val="nil"/>
            </w:tcBorders>
            <w:vAlign w:val="bottom"/>
          </w:tcPr>
          <w:p>
            <w:pPr>
              <w:jc w:val="left"/>
              <w:rPr>
                <w:sz w:val="17"/>
                <w:highlight w:val="none"/>
              </w:rPr>
            </w:pPr>
          </w:p>
        </w:tc>
        <w:tc>
          <w:tcPr>
            <w:tcW w:w="500" w:type="dxa"/>
            <w:tcBorders>
              <w:top w:val="nil"/>
              <w:left w:val="nil"/>
              <w:bottom w:val="nil"/>
              <w:right w:val="nil"/>
            </w:tcBorders>
            <w:vAlign w:val="bottom"/>
          </w:tcPr>
          <w:p>
            <w:pPr>
              <w:jc w:val="left"/>
              <w:rPr>
                <w:sz w:val="17"/>
                <w:highlight w:val="none"/>
              </w:rPr>
            </w:pPr>
          </w:p>
        </w:tc>
        <w:tc>
          <w:tcPr>
            <w:tcW w:w="560" w:type="dxa"/>
            <w:tcBorders>
              <w:top w:val="nil"/>
              <w:left w:val="nil"/>
              <w:bottom w:val="nil"/>
              <w:right w:val="nil"/>
            </w:tcBorders>
            <w:vAlign w:val="bottom"/>
          </w:tcPr>
          <w:p>
            <w:pPr>
              <w:jc w:val="left"/>
              <w:rPr>
                <w:sz w:val="17"/>
                <w:highlight w:val="none"/>
              </w:rPr>
            </w:pPr>
          </w:p>
        </w:tc>
        <w:tc>
          <w:tcPr>
            <w:tcW w:w="660" w:type="dxa"/>
            <w:tcBorders>
              <w:top w:val="nil"/>
              <w:left w:val="nil"/>
              <w:bottom w:val="nil"/>
              <w:right w:val="nil"/>
            </w:tcBorders>
            <w:vAlign w:val="bottom"/>
          </w:tcPr>
          <w:p>
            <w:pPr>
              <w:jc w:val="left"/>
              <w:rPr>
                <w:sz w:val="17"/>
                <w:highlight w:val="none"/>
              </w:rPr>
            </w:pPr>
          </w:p>
        </w:tc>
        <w:tc>
          <w:tcPr>
            <w:tcW w:w="260" w:type="dxa"/>
            <w:tcBorders>
              <w:top w:val="nil"/>
              <w:left w:val="nil"/>
              <w:bottom w:val="nil"/>
              <w:right w:val="nil"/>
            </w:tcBorders>
            <w:vAlign w:val="bottom"/>
          </w:tcPr>
          <w:p>
            <w:pPr>
              <w:jc w:val="left"/>
              <w:rPr>
                <w:sz w:val="17"/>
                <w:highlight w:val="none"/>
              </w:rPr>
            </w:pPr>
          </w:p>
        </w:tc>
        <w:tc>
          <w:tcPr>
            <w:tcW w:w="460" w:type="dxa"/>
            <w:tcBorders>
              <w:top w:val="nil"/>
              <w:left w:val="nil"/>
              <w:bottom w:val="nil"/>
              <w:right w:val="nil"/>
            </w:tcBorders>
            <w:vAlign w:val="bottom"/>
          </w:tcPr>
          <w:p>
            <w:pPr>
              <w:jc w:val="left"/>
              <w:rPr>
                <w:sz w:val="17"/>
                <w:highlight w:val="none"/>
              </w:rPr>
            </w:pPr>
          </w:p>
        </w:tc>
        <w:tc>
          <w:tcPr>
            <w:tcW w:w="340" w:type="dxa"/>
            <w:tcBorders>
              <w:top w:val="nil"/>
              <w:left w:val="nil"/>
              <w:bottom w:val="nil"/>
              <w:right w:val="single" w:color="auto" w:sz="8" w:space="0"/>
            </w:tcBorders>
            <w:vAlign w:val="bottom"/>
          </w:tcPr>
          <w:p>
            <w:pPr>
              <w:jc w:val="left"/>
              <w:rPr>
                <w:sz w:val="17"/>
                <w:highlight w:val="none"/>
              </w:rPr>
            </w:pPr>
          </w:p>
        </w:tc>
        <w:tc>
          <w:tcPr>
            <w:tcW w:w="440" w:type="dxa"/>
            <w:tcBorders>
              <w:top w:val="nil"/>
              <w:left w:val="nil"/>
              <w:bottom w:val="nil"/>
              <w:right w:val="nil"/>
            </w:tcBorders>
            <w:vAlign w:val="bottom"/>
          </w:tcPr>
          <w:p>
            <w:pPr>
              <w:jc w:val="left"/>
              <w:rPr>
                <w:sz w:val="17"/>
                <w:highlight w:val="none"/>
              </w:rPr>
            </w:pPr>
          </w:p>
        </w:tc>
        <w:tc>
          <w:tcPr>
            <w:tcW w:w="280" w:type="dxa"/>
            <w:tcBorders>
              <w:top w:val="nil"/>
              <w:left w:val="nil"/>
              <w:bottom w:val="nil"/>
              <w:right w:val="nil"/>
            </w:tcBorders>
            <w:vAlign w:val="bottom"/>
          </w:tcPr>
          <w:p>
            <w:pPr>
              <w:jc w:val="left"/>
              <w:rPr>
                <w:sz w:val="17"/>
                <w:highlight w:val="none"/>
              </w:rPr>
            </w:pPr>
          </w:p>
        </w:tc>
        <w:tc>
          <w:tcPr>
            <w:tcW w:w="680" w:type="dxa"/>
            <w:tcBorders>
              <w:top w:val="nil"/>
              <w:left w:val="nil"/>
              <w:bottom w:val="nil"/>
              <w:right w:val="nil"/>
            </w:tcBorders>
            <w:vAlign w:val="bottom"/>
          </w:tcPr>
          <w:p>
            <w:pPr>
              <w:jc w:val="left"/>
              <w:rPr>
                <w:sz w:val="17"/>
                <w:highlight w:val="none"/>
              </w:rPr>
            </w:pPr>
          </w:p>
        </w:tc>
        <w:tc>
          <w:tcPr>
            <w:tcW w:w="140" w:type="dxa"/>
            <w:tcBorders>
              <w:top w:val="nil"/>
              <w:left w:val="nil"/>
              <w:bottom w:val="nil"/>
              <w:right w:val="nil"/>
            </w:tcBorders>
            <w:vAlign w:val="bottom"/>
          </w:tcPr>
          <w:p>
            <w:pPr>
              <w:jc w:val="left"/>
              <w:rPr>
                <w:sz w:val="17"/>
                <w:highlight w:val="none"/>
              </w:rPr>
            </w:pPr>
          </w:p>
        </w:tc>
        <w:tc>
          <w:tcPr>
            <w:tcW w:w="280" w:type="dxa"/>
            <w:tcBorders>
              <w:top w:val="nil"/>
              <w:left w:val="nil"/>
              <w:bottom w:val="nil"/>
              <w:right w:val="nil"/>
            </w:tcBorders>
            <w:vAlign w:val="bottom"/>
          </w:tcPr>
          <w:p>
            <w:pPr>
              <w:jc w:val="left"/>
              <w:rPr>
                <w:sz w:val="17"/>
                <w:highlight w:val="none"/>
              </w:rPr>
            </w:pPr>
          </w:p>
        </w:tc>
        <w:tc>
          <w:tcPr>
            <w:tcW w:w="100" w:type="dxa"/>
            <w:tcBorders>
              <w:top w:val="nil"/>
              <w:left w:val="nil"/>
              <w:bottom w:val="nil"/>
              <w:right w:val="single" w:color="auto" w:sz="8" w:space="0"/>
            </w:tcBorders>
            <w:vAlign w:val="bottom"/>
          </w:tcPr>
          <w:p>
            <w:pPr>
              <w:jc w:val="left"/>
              <w:rPr>
                <w:sz w:val="17"/>
                <w:highlight w:val="none"/>
              </w:rPr>
            </w:pPr>
          </w:p>
        </w:tc>
        <w:tc>
          <w:tcPr>
            <w:tcW w:w="1300" w:type="dxa"/>
            <w:gridSpan w:val="3"/>
            <w:vMerge w:val="continue"/>
            <w:tcBorders>
              <w:top w:val="nil"/>
              <w:left w:val="nil"/>
              <w:bottom w:val="nil"/>
              <w:right w:val="single" w:color="auto" w:sz="8" w:space="0"/>
            </w:tcBorders>
            <w:vAlign w:val="bottom"/>
          </w:tcPr>
          <w:p>
            <w:pPr>
              <w:jc w:val="left"/>
              <w:rPr>
                <w:sz w:val="17"/>
                <w:highlight w:val="none"/>
              </w:rPr>
            </w:pPr>
          </w:p>
        </w:tc>
      </w:tr>
      <w:tr>
        <w:tblPrEx>
          <w:tblCellMar>
            <w:top w:w="0" w:type="dxa"/>
            <w:left w:w="0" w:type="dxa"/>
            <w:bottom w:w="0" w:type="dxa"/>
            <w:right w:w="0" w:type="dxa"/>
          </w:tblCellMar>
        </w:tblPrEx>
        <w:trPr>
          <w:trHeight w:val="97" w:hRule="atLeast"/>
          <w:jc w:val="center"/>
        </w:trPr>
        <w:tc>
          <w:tcPr>
            <w:tcW w:w="600" w:type="dxa"/>
            <w:tcBorders>
              <w:top w:val="nil"/>
              <w:left w:val="single" w:color="auto" w:sz="8" w:space="0"/>
              <w:bottom w:val="single" w:color="auto" w:sz="8" w:space="0"/>
              <w:right w:val="nil"/>
            </w:tcBorders>
            <w:vAlign w:val="bottom"/>
          </w:tcPr>
          <w:p>
            <w:pPr>
              <w:jc w:val="left"/>
              <w:rPr>
                <w:sz w:val="8"/>
                <w:highlight w:val="none"/>
              </w:rPr>
            </w:pPr>
          </w:p>
        </w:tc>
        <w:tc>
          <w:tcPr>
            <w:tcW w:w="700" w:type="dxa"/>
            <w:gridSpan w:val="2"/>
            <w:tcBorders>
              <w:top w:val="nil"/>
              <w:left w:val="nil"/>
              <w:bottom w:val="single" w:color="auto" w:sz="8" w:space="0"/>
              <w:right w:val="single" w:color="auto" w:sz="8" w:space="0"/>
            </w:tcBorders>
            <w:vAlign w:val="bottom"/>
          </w:tcPr>
          <w:p>
            <w:pPr>
              <w:jc w:val="left"/>
              <w:rPr>
                <w:sz w:val="8"/>
                <w:highlight w:val="none"/>
              </w:rPr>
            </w:pPr>
          </w:p>
        </w:tc>
        <w:tc>
          <w:tcPr>
            <w:tcW w:w="740" w:type="dxa"/>
            <w:tcBorders>
              <w:top w:val="nil"/>
              <w:left w:val="nil"/>
              <w:bottom w:val="single" w:color="auto" w:sz="8" w:space="0"/>
              <w:right w:val="nil"/>
            </w:tcBorders>
            <w:vAlign w:val="bottom"/>
          </w:tcPr>
          <w:p>
            <w:pPr>
              <w:jc w:val="left"/>
              <w:rPr>
                <w:sz w:val="8"/>
                <w:highlight w:val="none"/>
              </w:rPr>
            </w:pPr>
          </w:p>
        </w:tc>
        <w:tc>
          <w:tcPr>
            <w:tcW w:w="600" w:type="dxa"/>
            <w:tcBorders>
              <w:top w:val="nil"/>
              <w:left w:val="nil"/>
              <w:bottom w:val="single" w:color="auto" w:sz="8" w:space="0"/>
              <w:right w:val="nil"/>
            </w:tcBorders>
            <w:vAlign w:val="bottom"/>
          </w:tcPr>
          <w:p>
            <w:pPr>
              <w:jc w:val="left"/>
              <w:rPr>
                <w:sz w:val="8"/>
                <w:highlight w:val="none"/>
              </w:rPr>
            </w:pPr>
          </w:p>
        </w:tc>
        <w:tc>
          <w:tcPr>
            <w:tcW w:w="120" w:type="dxa"/>
            <w:tcBorders>
              <w:top w:val="nil"/>
              <w:left w:val="nil"/>
              <w:bottom w:val="single" w:color="auto" w:sz="8" w:space="0"/>
              <w:right w:val="nil"/>
            </w:tcBorders>
            <w:vAlign w:val="bottom"/>
          </w:tcPr>
          <w:p>
            <w:pPr>
              <w:jc w:val="left"/>
              <w:rPr>
                <w:sz w:val="8"/>
                <w:highlight w:val="none"/>
              </w:rPr>
            </w:pPr>
          </w:p>
        </w:tc>
        <w:tc>
          <w:tcPr>
            <w:tcW w:w="500" w:type="dxa"/>
            <w:tcBorders>
              <w:top w:val="nil"/>
              <w:left w:val="nil"/>
              <w:bottom w:val="single" w:color="auto" w:sz="8" w:space="0"/>
              <w:right w:val="nil"/>
            </w:tcBorders>
            <w:vAlign w:val="bottom"/>
          </w:tcPr>
          <w:p>
            <w:pPr>
              <w:jc w:val="left"/>
              <w:rPr>
                <w:sz w:val="8"/>
                <w:highlight w:val="none"/>
              </w:rPr>
            </w:pPr>
          </w:p>
        </w:tc>
        <w:tc>
          <w:tcPr>
            <w:tcW w:w="560" w:type="dxa"/>
            <w:tcBorders>
              <w:top w:val="nil"/>
              <w:left w:val="nil"/>
              <w:bottom w:val="single" w:color="auto" w:sz="8" w:space="0"/>
              <w:right w:val="nil"/>
            </w:tcBorders>
            <w:vAlign w:val="bottom"/>
          </w:tcPr>
          <w:p>
            <w:pPr>
              <w:jc w:val="left"/>
              <w:rPr>
                <w:sz w:val="8"/>
                <w:highlight w:val="none"/>
              </w:rPr>
            </w:pPr>
          </w:p>
        </w:tc>
        <w:tc>
          <w:tcPr>
            <w:tcW w:w="660" w:type="dxa"/>
            <w:tcBorders>
              <w:top w:val="nil"/>
              <w:left w:val="nil"/>
              <w:bottom w:val="single" w:color="auto" w:sz="8" w:space="0"/>
              <w:right w:val="nil"/>
            </w:tcBorders>
            <w:vAlign w:val="bottom"/>
          </w:tcPr>
          <w:p>
            <w:pPr>
              <w:jc w:val="left"/>
              <w:rPr>
                <w:sz w:val="8"/>
                <w:highlight w:val="none"/>
              </w:rPr>
            </w:pPr>
          </w:p>
        </w:tc>
        <w:tc>
          <w:tcPr>
            <w:tcW w:w="260" w:type="dxa"/>
            <w:tcBorders>
              <w:top w:val="nil"/>
              <w:left w:val="nil"/>
              <w:bottom w:val="single" w:color="auto" w:sz="8" w:space="0"/>
              <w:right w:val="nil"/>
            </w:tcBorders>
            <w:vAlign w:val="bottom"/>
          </w:tcPr>
          <w:p>
            <w:pPr>
              <w:jc w:val="left"/>
              <w:rPr>
                <w:sz w:val="8"/>
                <w:highlight w:val="none"/>
              </w:rPr>
            </w:pPr>
          </w:p>
        </w:tc>
        <w:tc>
          <w:tcPr>
            <w:tcW w:w="460" w:type="dxa"/>
            <w:tcBorders>
              <w:top w:val="nil"/>
              <w:left w:val="nil"/>
              <w:bottom w:val="single" w:color="auto" w:sz="8" w:space="0"/>
              <w:right w:val="nil"/>
            </w:tcBorders>
            <w:vAlign w:val="bottom"/>
          </w:tcPr>
          <w:p>
            <w:pPr>
              <w:jc w:val="left"/>
              <w:rPr>
                <w:sz w:val="8"/>
                <w:highlight w:val="none"/>
              </w:rPr>
            </w:pPr>
          </w:p>
        </w:tc>
        <w:tc>
          <w:tcPr>
            <w:tcW w:w="340" w:type="dxa"/>
            <w:tcBorders>
              <w:top w:val="nil"/>
              <w:left w:val="nil"/>
              <w:bottom w:val="single" w:color="auto" w:sz="8" w:space="0"/>
              <w:right w:val="single" w:color="auto" w:sz="8" w:space="0"/>
            </w:tcBorders>
            <w:vAlign w:val="bottom"/>
          </w:tcPr>
          <w:p>
            <w:pPr>
              <w:jc w:val="left"/>
              <w:rPr>
                <w:sz w:val="8"/>
                <w:highlight w:val="none"/>
              </w:rPr>
            </w:pPr>
          </w:p>
        </w:tc>
        <w:tc>
          <w:tcPr>
            <w:tcW w:w="440" w:type="dxa"/>
            <w:tcBorders>
              <w:top w:val="nil"/>
              <w:left w:val="nil"/>
              <w:bottom w:val="single" w:color="auto" w:sz="8" w:space="0"/>
              <w:right w:val="nil"/>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680" w:type="dxa"/>
            <w:tcBorders>
              <w:top w:val="nil"/>
              <w:left w:val="nil"/>
              <w:bottom w:val="single" w:color="auto" w:sz="8" w:space="0"/>
              <w:right w:val="nil"/>
            </w:tcBorders>
            <w:vAlign w:val="bottom"/>
          </w:tcPr>
          <w:p>
            <w:pPr>
              <w:jc w:val="left"/>
              <w:rPr>
                <w:sz w:val="8"/>
                <w:highlight w:val="none"/>
              </w:rPr>
            </w:pPr>
          </w:p>
        </w:tc>
        <w:tc>
          <w:tcPr>
            <w:tcW w:w="140" w:type="dxa"/>
            <w:tcBorders>
              <w:top w:val="nil"/>
              <w:left w:val="nil"/>
              <w:bottom w:val="single" w:color="auto" w:sz="8" w:space="0"/>
              <w:right w:val="nil"/>
            </w:tcBorders>
            <w:vAlign w:val="bottom"/>
          </w:tcPr>
          <w:p>
            <w:pPr>
              <w:jc w:val="left"/>
              <w:rPr>
                <w:sz w:val="8"/>
                <w:highlight w:val="none"/>
              </w:rPr>
            </w:pPr>
          </w:p>
        </w:tc>
        <w:tc>
          <w:tcPr>
            <w:tcW w:w="28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single" w:color="auto" w:sz="8" w:space="0"/>
            </w:tcBorders>
            <w:vAlign w:val="bottom"/>
          </w:tcPr>
          <w:p>
            <w:pPr>
              <w:jc w:val="left"/>
              <w:rPr>
                <w:sz w:val="8"/>
                <w:highlight w:val="none"/>
              </w:rPr>
            </w:pPr>
          </w:p>
        </w:tc>
        <w:tc>
          <w:tcPr>
            <w:tcW w:w="960" w:type="dxa"/>
            <w:tcBorders>
              <w:top w:val="nil"/>
              <w:left w:val="nil"/>
              <w:bottom w:val="single" w:color="auto" w:sz="8" w:space="0"/>
              <w:right w:val="nil"/>
            </w:tcBorders>
            <w:vAlign w:val="bottom"/>
          </w:tcPr>
          <w:p>
            <w:pPr>
              <w:jc w:val="left"/>
              <w:rPr>
                <w:sz w:val="8"/>
                <w:highlight w:val="none"/>
              </w:rPr>
            </w:pPr>
          </w:p>
        </w:tc>
        <w:tc>
          <w:tcPr>
            <w:tcW w:w="100" w:type="dxa"/>
            <w:tcBorders>
              <w:top w:val="nil"/>
              <w:left w:val="nil"/>
              <w:bottom w:val="single" w:color="auto" w:sz="8" w:space="0"/>
              <w:right w:val="nil"/>
            </w:tcBorders>
            <w:vAlign w:val="bottom"/>
          </w:tcPr>
          <w:p>
            <w:pPr>
              <w:jc w:val="left"/>
              <w:rPr>
                <w:sz w:val="8"/>
                <w:highlight w:val="none"/>
              </w:rPr>
            </w:pPr>
          </w:p>
        </w:tc>
        <w:tc>
          <w:tcPr>
            <w:tcW w:w="240" w:type="dxa"/>
            <w:tcBorders>
              <w:top w:val="nil"/>
              <w:left w:val="nil"/>
              <w:bottom w:val="single" w:color="auto" w:sz="8" w:space="0"/>
              <w:right w:val="single" w:color="auto" w:sz="8" w:space="0"/>
            </w:tcBorders>
            <w:vAlign w:val="bottom"/>
          </w:tcPr>
          <w:p>
            <w:pPr>
              <w:jc w:val="left"/>
              <w:rPr>
                <w:sz w:val="8"/>
                <w:highlight w:val="none"/>
              </w:rPr>
            </w:pPr>
          </w:p>
        </w:tc>
      </w:tr>
      <w:tr>
        <w:tblPrEx>
          <w:tblCellMar>
            <w:top w:w="0" w:type="dxa"/>
            <w:left w:w="0" w:type="dxa"/>
            <w:bottom w:w="0" w:type="dxa"/>
            <w:right w:w="0" w:type="dxa"/>
          </w:tblCellMar>
        </w:tblPrEx>
        <w:trPr>
          <w:trHeight w:val="508" w:hRule="atLeast"/>
          <w:jc w:val="center"/>
        </w:trPr>
        <w:tc>
          <w:tcPr>
            <w:tcW w:w="600" w:type="dxa"/>
            <w:tcBorders>
              <w:top w:val="nil"/>
              <w:left w:val="single" w:color="auto" w:sz="8" w:space="0"/>
              <w:bottom w:val="single" w:color="auto" w:sz="8" w:space="0"/>
              <w:right w:val="nil"/>
            </w:tcBorders>
            <w:vAlign w:val="bottom"/>
          </w:tcPr>
          <w:p>
            <w:pPr>
              <w:jc w:val="left"/>
              <w:rPr>
                <w:sz w:val="24"/>
                <w:highlight w:val="none"/>
              </w:rPr>
            </w:pPr>
          </w:p>
        </w:tc>
        <w:tc>
          <w:tcPr>
            <w:tcW w:w="640" w:type="dxa"/>
            <w:tcBorders>
              <w:top w:val="nil"/>
              <w:left w:val="nil"/>
              <w:bottom w:val="single" w:color="auto" w:sz="8" w:space="0"/>
              <w:right w:val="nil"/>
            </w:tcBorders>
            <w:vAlign w:val="bottom"/>
          </w:tcPr>
          <w:p>
            <w:pPr>
              <w:jc w:val="left"/>
              <w:rPr>
                <w:sz w:val="24"/>
                <w:highlight w:val="none"/>
              </w:rPr>
            </w:pPr>
          </w:p>
        </w:tc>
        <w:tc>
          <w:tcPr>
            <w:tcW w:w="60" w:type="dxa"/>
            <w:tcBorders>
              <w:top w:val="nil"/>
              <w:left w:val="nil"/>
              <w:bottom w:val="single" w:color="auto" w:sz="8" w:space="0"/>
              <w:right w:val="single" w:color="auto" w:sz="8" w:space="0"/>
            </w:tcBorders>
            <w:vAlign w:val="bottom"/>
          </w:tcPr>
          <w:p>
            <w:pPr>
              <w:jc w:val="left"/>
              <w:rPr>
                <w:sz w:val="24"/>
                <w:highlight w:val="none"/>
              </w:rPr>
            </w:pPr>
          </w:p>
        </w:tc>
        <w:tc>
          <w:tcPr>
            <w:tcW w:w="740" w:type="dxa"/>
            <w:tcBorders>
              <w:top w:val="nil"/>
              <w:left w:val="nil"/>
              <w:bottom w:val="single" w:color="auto" w:sz="8" w:space="0"/>
              <w:right w:val="nil"/>
            </w:tcBorders>
            <w:vAlign w:val="bottom"/>
          </w:tcPr>
          <w:p>
            <w:pPr>
              <w:jc w:val="left"/>
              <w:rPr>
                <w:sz w:val="24"/>
                <w:highlight w:val="none"/>
              </w:rPr>
            </w:pPr>
          </w:p>
        </w:tc>
        <w:tc>
          <w:tcPr>
            <w:tcW w:w="600" w:type="dxa"/>
            <w:tcBorders>
              <w:top w:val="nil"/>
              <w:left w:val="nil"/>
              <w:bottom w:val="single" w:color="auto" w:sz="8" w:space="0"/>
              <w:right w:val="nil"/>
            </w:tcBorders>
            <w:vAlign w:val="bottom"/>
          </w:tcPr>
          <w:p>
            <w:pPr>
              <w:jc w:val="left"/>
              <w:rPr>
                <w:sz w:val="24"/>
                <w:highlight w:val="none"/>
              </w:rPr>
            </w:pPr>
          </w:p>
        </w:tc>
        <w:tc>
          <w:tcPr>
            <w:tcW w:w="120" w:type="dxa"/>
            <w:tcBorders>
              <w:top w:val="nil"/>
              <w:left w:val="nil"/>
              <w:bottom w:val="single" w:color="auto" w:sz="8" w:space="0"/>
              <w:right w:val="nil"/>
            </w:tcBorders>
            <w:vAlign w:val="bottom"/>
          </w:tcPr>
          <w:p>
            <w:pPr>
              <w:jc w:val="left"/>
              <w:rPr>
                <w:sz w:val="24"/>
                <w:highlight w:val="none"/>
              </w:rPr>
            </w:pPr>
          </w:p>
        </w:tc>
        <w:tc>
          <w:tcPr>
            <w:tcW w:w="500" w:type="dxa"/>
            <w:tcBorders>
              <w:top w:val="nil"/>
              <w:left w:val="nil"/>
              <w:bottom w:val="single" w:color="auto" w:sz="8" w:space="0"/>
              <w:right w:val="nil"/>
            </w:tcBorders>
            <w:vAlign w:val="bottom"/>
          </w:tcPr>
          <w:p>
            <w:pPr>
              <w:jc w:val="left"/>
              <w:rPr>
                <w:sz w:val="24"/>
                <w:highlight w:val="none"/>
              </w:rPr>
            </w:pPr>
          </w:p>
        </w:tc>
        <w:tc>
          <w:tcPr>
            <w:tcW w:w="560" w:type="dxa"/>
            <w:tcBorders>
              <w:top w:val="nil"/>
              <w:left w:val="nil"/>
              <w:bottom w:val="single" w:color="auto" w:sz="8" w:space="0"/>
              <w:right w:val="nil"/>
            </w:tcBorders>
            <w:vAlign w:val="bottom"/>
          </w:tcPr>
          <w:p>
            <w:pPr>
              <w:jc w:val="left"/>
              <w:rPr>
                <w:sz w:val="24"/>
                <w:highlight w:val="none"/>
              </w:rPr>
            </w:pPr>
          </w:p>
        </w:tc>
        <w:tc>
          <w:tcPr>
            <w:tcW w:w="660" w:type="dxa"/>
            <w:tcBorders>
              <w:top w:val="nil"/>
              <w:left w:val="nil"/>
              <w:bottom w:val="single" w:color="auto" w:sz="8" w:space="0"/>
              <w:right w:val="nil"/>
            </w:tcBorders>
            <w:vAlign w:val="bottom"/>
          </w:tcPr>
          <w:p>
            <w:pPr>
              <w:jc w:val="left"/>
              <w:rPr>
                <w:sz w:val="24"/>
                <w:highlight w:val="none"/>
              </w:rPr>
            </w:pPr>
          </w:p>
        </w:tc>
        <w:tc>
          <w:tcPr>
            <w:tcW w:w="260" w:type="dxa"/>
            <w:tcBorders>
              <w:top w:val="nil"/>
              <w:left w:val="nil"/>
              <w:bottom w:val="single" w:color="auto" w:sz="8" w:space="0"/>
              <w:right w:val="nil"/>
            </w:tcBorders>
            <w:vAlign w:val="bottom"/>
          </w:tcPr>
          <w:p>
            <w:pPr>
              <w:jc w:val="left"/>
              <w:rPr>
                <w:sz w:val="24"/>
                <w:highlight w:val="none"/>
              </w:rPr>
            </w:pPr>
          </w:p>
        </w:tc>
        <w:tc>
          <w:tcPr>
            <w:tcW w:w="460" w:type="dxa"/>
            <w:tcBorders>
              <w:top w:val="nil"/>
              <w:left w:val="nil"/>
              <w:bottom w:val="single" w:color="auto" w:sz="8" w:space="0"/>
              <w:right w:val="nil"/>
            </w:tcBorders>
            <w:vAlign w:val="bottom"/>
          </w:tcPr>
          <w:p>
            <w:pPr>
              <w:jc w:val="left"/>
              <w:rPr>
                <w:sz w:val="24"/>
                <w:highlight w:val="none"/>
              </w:rPr>
            </w:pPr>
          </w:p>
        </w:tc>
        <w:tc>
          <w:tcPr>
            <w:tcW w:w="340" w:type="dxa"/>
            <w:tcBorders>
              <w:top w:val="nil"/>
              <w:left w:val="nil"/>
              <w:bottom w:val="single" w:color="auto" w:sz="8" w:space="0"/>
              <w:right w:val="single" w:color="auto" w:sz="8" w:space="0"/>
            </w:tcBorders>
            <w:vAlign w:val="bottom"/>
          </w:tcPr>
          <w:p>
            <w:pPr>
              <w:jc w:val="left"/>
              <w:rPr>
                <w:sz w:val="24"/>
                <w:highlight w:val="none"/>
              </w:rPr>
            </w:pPr>
          </w:p>
        </w:tc>
        <w:tc>
          <w:tcPr>
            <w:tcW w:w="4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680" w:type="dxa"/>
            <w:tcBorders>
              <w:top w:val="nil"/>
              <w:left w:val="nil"/>
              <w:bottom w:val="single" w:color="auto" w:sz="8" w:space="0"/>
              <w:right w:val="nil"/>
            </w:tcBorders>
            <w:vAlign w:val="bottom"/>
          </w:tcPr>
          <w:p>
            <w:pPr>
              <w:jc w:val="left"/>
              <w:rPr>
                <w:sz w:val="24"/>
                <w:highlight w:val="none"/>
              </w:rPr>
            </w:pPr>
          </w:p>
        </w:tc>
        <w:tc>
          <w:tcPr>
            <w:tcW w:w="1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single" w:color="auto" w:sz="8" w:space="0"/>
            </w:tcBorders>
            <w:vAlign w:val="bottom"/>
          </w:tcPr>
          <w:p>
            <w:pPr>
              <w:jc w:val="left"/>
              <w:rPr>
                <w:sz w:val="24"/>
                <w:highlight w:val="none"/>
              </w:rPr>
            </w:pPr>
          </w:p>
        </w:tc>
        <w:tc>
          <w:tcPr>
            <w:tcW w:w="96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nil"/>
            </w:tcBorders>
            <w:vAlign w:val="bottom"/>
          </w:tcPr>
          <w:p>
            <w:pPr>
              <w:jc w:val="left"/>
              <w:rPr>
                <w:sz w:val="24"/>
                <w:highlight w:val="none"/>
              </w:rPr>
            </w:pPr>
          </w:p>
        </w:tc>
        <w:tc>
          <w:tcPr>
            <w:tcW w:w="240" w:type="dxa"/>
            <w:tcBorders>
              <w:top w:val="nil"/>
              <w:left w:val="nil"/>
              <w:bottom w:val="single" w:color="auto" w:sz="8" w:space="0"/>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510" w:hRule="atLeast"/>
          <w:jc w:val="center"/>
        </w:trPr>
        <w:tc>
          <w:tcPr>
            <w:tcW w:w="600" w:type="dxa"/>
            <w:tcBorders>
              <w:top w:val="nil"/>
              <w:left w:val="single" w:color="auto" w:sz="8" w:space="0"/>
              <w:bottom w:val="single" w:color="auto" w:sz="8" w:space="0"/>
              <w:right w:val="nil"/>
            </w:tcBorders>
            <w:vAlign w:val="bottom"/>
          </w:tcPr>
          <w:p>
            <w:pPr>
              <w:jc w:val="left"/>
              <w:rPr>
                <w:sz w:val="24"/>
                <w:highlight w:val="none"/>
              </w:rPr>
            </w:pPr>
          </w:p>
        </w:tc>
        <w:tc>
          <w:tcPr>
            <w:tcW w:w="640" w:type="dxa"/>
            <w:tcBorders>
              <w:top w:val="nil"/>
              <w:left w:val="nil"/>
              <w:bottom w:val="single" w:color="auto" w:sz="8" w:space="0"/>
              <w:right w:val="nil"/>
            </w:tcBorders>
            <w:vAlign w:val="bottom"/>
          </w:tcPr>
          <w:p>
            <w:pPr>
              <w:jc w:val="left"/>
              <w:rPr>
                <w:sz w:val="24"/>
                <w:highlight w:val="none"/>
              </w:rPr>
            </w:pPr>
          </w:p>
        </w:tc>
        <w:tc>
          <w:tcPr>
            <w:tcW w:w="60" w:type="dxa"/>
            <w:tcBorders>
              <w:top w:val="nil"/>
              <w:left w:val="nil"/>
              <w:bottom w:val="single" w:color="auto" w:sz="8" w:space="0"/>
              <w:right w:val="single" w:color="auto" w:sz="8" w:space="0"/>
            </w:tcBorders>
            <w:vAlign w:val="bottom"/>
          </w:tcPr>
          <w:p>
            <w:pPr>
              <w:jc w:val="left"/>
              <w:rPr>
                <w:sz w:val="24"/>
                <w:highlight w:val="none"/>
              </w:rPr>
            </w:pPr>
          </w:p>
        </w:tc>
        <w:tc>
          <w:tcPr>
            <w:tcW w:w="740" w:type="dxa"/>
            <w:tcBorders>
              <w:top w:val="nil"/>
              <w:left w:val="nil"/>
              <w:bottom w:val="single" w:color="auto" w:sz="8" w:space="0"/>
              <w:right w:val="nil"/>
            </w:tcBorders>
            <w:vAlign w:val="bottom"/>
          </w:tcPr>
          <w:p>
            <w:pPr>
              <w:jc w:val="left"/>
              <w:rPr>
                <w:sz w:val="24"/>
                <w:highlight w:val="none"/>
              </w:rPr>
            </w:pPr>
          </w:p>
        </w:tc>
        <w:tc>
          <w:tcPr>
            <w:tcW w:w="600" w:type="dxa"/>
            <w:tcBorders>
              <w:top w:val="nil"/>
              <w:left w:val="nil"/>
              <w:bottom w:val="single" w:color="auto" w:sz="8" w:space="0"/>
              <w:right w:val="nil"/>
            </w:tcBorders>
            <w:vAlign w:val="bottom"/>
          </w:tcPr>
          <w:p>
            <w:pPr>
              <w:jc w:val="left"/>
              <w:rPr>
                <w:sz w:val="24"/>
                <w:highlight w:val="none"/>
              </w:rPr>
            </w:pPr>
          </w:p>
        </w:tc>
        <w:tc>
          <w:tcPr>
            <w:tcW w:w="120" w:type="dxa"/>
            <w:tcBorders>
              <w:top w:val="nil"/>
              <w:left w:val="nil"/>
              <w:bottom w:val="single" w:color="auto" w:sz="8" w:space="0"/>
              <w:right w:val="nil"/>
            </w:tcBorders>
            <w:vAlign w:val="bottom"/>
          </w:tcPr>
          <w:p>
            <w:pPr>
              <w:jc w:val="left"/>
              <w:rPr>
                <w:sz w:val="24"/>
                <w:highlight w:val="none"/>
              </w:rPr>
            </w:pPr>
          </w:p>
        </w:tc>
        <w:tc>
          <w:tcPr>
            <w:tcW w:w="500" w:type="dxa"/>
            <w:tcBorders>
              <w:top w:val="nil"/>
              <w:left w:val="nil"/>
              <w:bottom w:val="single" w:color="auto" w:sz="8" w:space="0"/>
              <w:right w:val="nil"/>
            </w:tcBorders>
            <w:vAlign w:val="bottom"/>
          </w:tcPr>
          <w:p>
            <w:pPr>
              <w:jc w:val="left"/>
              <w:rPr>
                <w:sz w:val="24"/>
                <w:highlight w:val="none"/>
              </w:rPr>
            </w:pPr>
          </w:p>
        </w:tc>
        <w:tc>
          <w:tcPr>
            <w:tcW w:w="560" w:type="dxa"/>
            <w:tcBorders>
              <w:top w:val="nil"/>
              <w:left w:val="nil"/>
              <w:bottom w:val="single" w:color="auto" w:sz="8" w:space="0"/>
              <w:right w:val="nil"/>
            </w:tcBorders>
            <w:vAlign w:val="bottom"/>
          </w:tcPr>
          <w:p>
            <w:pPr>
              <w:jc w:val="left"/>
              <w:rPr>
                <w:sz w:val="24"/>
                <w:highlight w:val="none"/>
              </w:rPr>
            </w:pPr>
          </w:p>
        </w:tc>
        <w:tc>
          <w:tcPr>
            <w:tcW w:w="660" w:type="dxa"/>
            <w:tcBorders>
              <w:top w:val="nil"/>
              <w:left w:val="nil"/>
              <w:bottom w:val="single" w:color="auto" w:sz="8" w:space="0"/>
              <w:right w:val="nil"/>
            </w:tcBorders>
            <w:vAlign w:val="bottom"/>
          </w:tcPr>
          <w:p>
            <w:pPr>
              <w:jc w:val="left"/>
              <w:rPr>
                <w:sz w:val="24"/>
                <w:highlight w:val="none"/>
              </w:rPr>
            </w:pPr>
          </w:p>
        </w:tc>
        <w:tc>
          <w:tcPr>
            <w:tcW w:w="260" w:type="dxa"/>
            <w:tcBorders>
              <w:top w:val="nil"/>
              <w:left w:val="nil"/>
              <w:bottom w:val="single" w:color="auto" w:sz="8" w:space="0"/>
              <w:right w:val="nil"/>
            </w:tcBorders>
            <w:vAlign w:val="bottom"/>
          </w:tcPr>
          <w:p>
            <w:pPr>
              <w:jc w:val="left"/>
              <w:rPr>
                <w:sz w:val="24"/>
                <w:highlight w:val="none"/>
              </w:rPr>
            </w:pPr>
          </w:p>
        </w:tc>
        <w:tc>
          <w:tcPr>
            <w:tcW w:w="460" w:type="dxa"/>
            <w:tcBorders>
              <w:top w:val="nil"/>
              <w:left w:val="nil"/>
              <w:bottom w:val="single" w:color="auto" w:sz="8" w:space="0"/>
              <w:right w:val="nil"/>
            </w:tcBorders>
            <w:vAlign w:val="bottom"/>
          </w:tcPr>
          <w:p>
            <w:pPr>
              <w:jc w:val="left"/>
              <w:rPr>
                <w:sz w:val="24"/>
                <w:highlight w:val="none"/>
              </w:rPr>
            </w:pPr>
          </w:p>
        </w:tc>
        <w:tc>
          <w:tcPr>
            <w:tcW w:w="340" w:type="dxa"/>
            <w:tcBorders>
              <w:top w:val="nil"/>
              <w:left w:val="nil"/>
              <w:bottom w:val="single" w:color="auto" w:sz="8" w:space="0"/>
              <w:right w:val="single" w:color="auto" w:sz="8" w:space="0"/>
            </w:tcBorders>
            <w:vAlign w:val="bottom"/>
          </w:tcPr>
          <w:p>
            <w:pPr>
              <w:jc w:val="left"/>
              <w:rPr>
                <w:sz w:val="24"/>
                <w:highlight w:val="none"/>
              </w:rPr>
            </w:pPr>
          </w:p>
        </w:tc>
        <w:tc>
          <w:tcPr>
            <w:tcW w:w="4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680" w:type="dxa"/>
            <w:tcBorders>
              <w:top w:val="nil"/>
              <w:left w:val="nil"/>
              <w:bottom w:val="single" w:color="auto" w:sz="8" w:space="0"/>
              <w:right w:val="nil"/>
            </w:tcBorders>
            <w:vAlign w:val="bottom"/>
          </w:tcPr>
          <w:p>
            <w:pPr>
              <w:jc w:val="left"/>
              <w:rPr>
                <w:sz w:val="24"/>
                <w:highlight w:val="none"/>
              </w:rPr>
            </w:pPr>
          </w:p>
        </w:tc>
        <w:tc>
          <w:tcPr>
            <w:tcW w:w="1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single" w:color="auto" w:sz="8" w:space="0"/>
            </w:tcBorders>
            <w:vAlign w:val="bottom"/>
          </w:tcPr>
          <w:p>
            <w:pPr>
              <w:jc w:val="left"/>
              <w:rPr>
                <w:sz w:val="24"/>
                <w:highlight w:val="none"/>
              </w:rPr>
            </w:pPr>
          </w:p>
        </w:tc>
        <w:tc>
          <w:tcPr>
            <w:tcW w:w="96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nil"/>
            </w:tcBorders>
            <w:vAlign w:val="bottom"/>
          </w:tcPr>
          <w:p>
            <w:pPr>
              <w:jc w:val="left"/>
              <w:rPr>
                <w:sz w:val="24"/>
                <w:highlight w:val="none"/>
              </w:rPr>
            </w:pPr>
          </w:p>
        </w:tc>
        <w:tc>
          <w:tcPr>
            <w:tcW w:w="240" w:type="dxa"/>
            <w:tcBorders>
              <w:top w:val="nil"/>
              <w:left w:val="nil"/>
              <w:bottom w:val="single" w:color="auto" w:sz="8" w:space="0"/>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510" w:hRule="atLeast"/>
          <w:jc w:val="center"/>
        </w:trPr>
        <w:tc>
          <w:tcPr>
            <w:tcW w:w="600" w:type="dxa"/>
            <w:tcBorders>
              <w:top w:val="nil"/>
              <w:left w:val="single" w:color="auto" w:sz="8" w:space="0"/>
              <w:bottom w:val="single" w:color="auto" w:sz="8" w:space="0"/>
              <w:right w:val="nil"/>
            </w:tcBorders>
            <w:vAlign w:val="bottom"/>
          </w:tcPr>
          <w:p>
            <w:pPr>
              <w:jc w:val="left"/>
              <w:rPr>
                <w:sz w:val="24"/>
                <w:highlight w:val="none"/>
              </w:rPr>
            </w:pPr>
          </w:p>
        </w:tc>
        <w:tc>
          <w:tcPr>
            <w:tcW w:w="640" w:type="dxa"/>
            <w:tcBorders>
              <w:top w:val="nil"/>
              <w:left w:val="nil"/>
              <w:bottom w:val="single" w:color="auto" w:sz="8" w:space="0"/>
              <w:right w:val="nil"/>
            </w:tcBorders>
            <w:vAlign w:val="bottom"/>
          </w:tcPr>
          <w:p>
            <w:pPr>
              <w:jc w:val="left"/>
              <w:rPr>
                <w:sz w:val="24"/>
                <w:highlight w:val="none"/>
              </w:rPr>
            </w:pPr>
          </w:p>
        </w:tc>
        <w:tc>
          <w:tcPr>
            <w:tcW w:w="60" w:type="dxa"/>
            <w:tcBorders>
              <w:top w:val="nil"/>
              <w:left w:val="nil"/>
              <w:bottom w:val="single" w:color="auto" w:sz="8" w:space="0"/>
              <w:right w:val="single" w:color="auto" w:sz="8" w:space="0"/>
            </w:tcBorders>
            <w:vAlign w:val="bottom"/>
          </w:tcPr>
          <w:p>
            <w:pPr>
              <w:jc w:val="left"/>
              <w:rPr>
                <w:sz w:val="24"/>
                <w:highlight w:val="none"/>
              </w:rPr>
            </w:pPr>
          </w:p>
        </w:tc>
        <w:tc>
          <w:tcPr>
            <w:tcW w:w="740" w:type="dxa"/>
            <w:tcBorders>
              <w:top w:val="nil"/>
              <w:left w:val="nil"/>
              <w:bottom w:val="single" w:color="auto" w:sz="8" w:space="0"/>
              <w:right w:val="nil"/>
            </w:tcBorders>
            <w:vAlign w:val="bottom"/>
          </w:tcPr>
          <w:p>
            <w:pPr>
              <w:jc w:val="left"/>
              <w:rPr>
                <w:sz w:val="24"/>
                <w:highlight w:val="none"/>
              </w:rPr>
            </w:pPr>
          </w:p>
        </w:tc>
        <w:tc>
          <w:tcPr>
            <w:tcW w:w="600" w:type="dxa"/>
            <w:tcBorders>
              <w:top w:val="nil"/>
              <w:left w:val="nil"/>
              <w:bottom w:val="single" w:color="auto" w:sz="8" w:space="0"/>
              <w:right w:val="nil"/>
            </w:tcBorders>
            <w:vAlign w:val="bottom"/>
          </w:tcPr>
          <w:p>
            <w:pPr>
              <w:jc w:val="left"/>
              <w:rPr>
                <w:sz w:val="24"/>
                <w:highlight w:val="none"/>
              </w:rPr>
            </w:pPr>
          </w:p>
        </w:tc>
        <w:tc>
          <w:tcPr>
            <w:tcW w:w="120" w:type="dxa"/>
            <w:tcBorders>
              <w:top w:val="nil"/>
              <w:left w:val="nil"/>
              <w:bottom w:val="single" w:color="auto" w:sz="8" w:space="0"/>
              <w:right w:val="nil"/>
            </w:tcBorders>
            <w:vAlign w:val="bottom"/>
          </w:tcPr>
          <w:p>
            <w:pPr>
              <w:jc w:val="left"/>
              <w:rPr>
                <w:sz w:val="24"/>
                <w:highlight w:val="none"/>
              </w:rPr>
            </w:pPr>
          </w:p>
        </w:tc>
        <w:tc>
          <w:tcPr>
            <w:tcW w:w="500" w:type="dxa"/>
            <w:tcBorders>
              <w:top w:val="nil"/>
              <w:left w:val="nil"/>
              <w:bottom w:val="single" w:color="auto" w:sz="8" w:space="0"/>
              <w:right w:val="nil"/>
            </w:tcBorders>
            <w:vAlign w:val="bottom"/>
          </w:tcPr>
          <w:p>
            <w:pPr>
              <w:jc w:val="left"/>
              <w:rPr>
                <w:sz w:val="24"/>
                <w:highlight w:val="none"/>
              </w:rPr>
            </w:pPr>
          </w:p>
        </w:tc>
        <w:tc>
          <w:tcPr>
            <w:tcW w:w="560" w:type="dxa"/>
            <w:tcBorders>
              <w:top w:val="nil"/>
              <w:left w:val="nil"/>
              <w:bottom w:val="single" w:color="auto" w:sz="8" w:space="0"/>
              <w:right w:val="nil"/>
            </w:tcBorders>
            <w:vAlign w:val="bottom"/>
          </w:tcPr>
          <w:p>
            <w:pPr>
              <w:jc w:val="left"/>
              <w:rPr>
                <w:sz w:val="24"/>
                <w:highlight w:val="none"/>
              </w:rPr>
            </w:pPr>
          </w:p>
        </w:tc>
        <w:tc>
          <w:tcPr>
            <w:tcW w:w="660" w:type="dxa"/>
            <w:tcBorders>
              <w:top w:val="nil"/>
              <w:left w:val="nil"/>
              <w:bottom w:val="single" w:color="auto" w:sz="8" w:space="0"/>
              <w:right w:val="nil"/>
            </w:tcBorders>
            <w:vAlign w:val="bottom"/>
          </w:tcPr>
          <w:p>
            <w:pPr>
              <w:jc w:val="left"/>
              <w:rPr>
                <w:sz w:val="24"/>
                <w:highlight w:val="none"/>
              </w:rPr>
            </w:pPr>
          </w:p>
        </w:tc>
        <w:tc>
          <w:tcPr>
            <w:tcW w:w="260" w:type="dxa"/>
            <w:tcBorders>
              <w:top w:val="nil"/>
              <w:left w:val="nil"/>
              <w:bottom w:val="single" w:color="auto" w:sz="8" w:space="0"/>
              <w:right w:val="nil"/>
            </w:tcBorders>
            <w:vAlign w:val="bottom"/>
          </w:tcPr>
          <w:p>
            <w:pPr>
              <w:jc w:val="left"/>
              <w:rPr>
                <w:sz w:val="24"/>
                <w:highlight w:val="none"/>
              </w:rPr>
            </w:pPr>
          </w:p>
        </w:tc>
        <w:tc>
          <w:tcPr>
            <w:tcW w:w="460" w:type="dxa"/>
            <w:tcBorders>
              <w:top w:val="nil"/>
              <w:left w:val="nil"/>
              <w:bottom w:val="single" w:color="auto" w:sz="8" w:space="0"/>
              <w:right w:val="nil"/>
            </w:tcBorders>
            <w:vAlign w:val="bottom"/>
          </w:tcPr>
          <w:p>
            <w:pPr>
              <w:jc w:val="left"/>
              <w:rPr>
                <w:sz w:val="24"/>
                <w:highlight w:val="none"/>
              </w:rPr>
            </w:pPr>
          </w:p>
        </w:tc>
        <w:tc>
          <w:tcPr>
            <w:tcW w:w="340" w:type="dxa"/>
            <w:tcBorders>
              <w:top w:val="nil"/>
              <w:left w:val="nil"/>
              <w:bottom w:val="single" w:color="auto" w:sz="8" w:space="0"/>
              <w:right w:val="single" w:color="auto" w:sz="8" w:space="0"/>
            </w:tcBorders>
            <w:vAlign w:val="bottom"/>
          </w:tcPr>
          <w:p>
            <w:pPr>
              <w:jc w:val="left"/>
              <w:rPr>
                <w:sz w:val="24"/>
                <w:highlight w:val="none"/>
              </w:rPr>
            </w:pPr>
          </w:p>
        </w:tc>
        <w:tc>
          <w:tcPr>
            <w:tcW w:w="4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680" w:type="dxa"/>
            <w:tcBorders>
              <w:top w:val="nil"/>
              <w:left w:val="nil"/>
              <w:bottom w:val="single" w:color="auto" w:sz="8" w:space="0"/>
              <w:right w:val="nil"/>
            </w:tcBorders>
            <w:vAlign w:val="bottom"/>
          </w:tcPr>
          <w:p>
            <w:pPr>
              <w:jc w:val="left"/>
              <w:rPr>
                <w:sz w:val="24"/>
                <w:highlight w:val="none"/>
              </w:rPr>
            </w:pPr>
          </w:p>
        </w:tc>
        <w:tc>
          <w:tcPr>
            <w:tcW w:w="1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single" w:color="auto" w:sz="8" w:space="0"/>
            </w:tcBorders>
            <w:vAlign w:val="bottom"/>
          </w:tcPr>
          <w:p>
            <w:pPr>
              <w:jc w:val="left"/>
              <w:rPr>
                <w:sz w:val="24"/>
                <w:highlight w:val="none"/>
              </w:rPr>
            </w:pPr>
          </w:p>
        </w:tc>
        <w:tc>
          <w:tcPr>
            <w:tcW w:w="96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nil"/>
            </w:tcBorders>
            <w:vAlign w:val="bottom"/>
          </w:tcPr>
          <w:p>
            <w:pPr>
              <w:jc w:val="left"/>
              <w:rPr>
                <w:sz w:val="24"/>
                <w:highlight w:val="none"/>
              </w:rPr>
            </w:pPr>
          </w:p>
        </w:tc>
        <w:tc>
          <w:tcPr>
            <w:tcW w:w="240" w:type="dxa"/>
            <w:tcBorders>
              <w:top w:val="nil"/>
              <w:left w:val="nil"/>
              <w:bottom w:val="single" w:color="auto" w:sz="8" w:space="0"/>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509" w:hRule="atLeast"/>
          <w:jc w:val="center"/>
        </w:trPr>
        <w:tc>
          <w:tcPr>
            <w:tcW w:w="600" w:type="dxa"/>
            <w:tcBorders>
              <w:top w:val="nil"/>
              <w:left w:val="single" w:color="auto" w:sz="8" w:space="0"/>
              <w:bottom w:val="single" w:color="auto" w:sz="8" w:space="0"/>
              <w:right w:val="nil"/>
            </w:tcBorders>
            <w:vAlign w:val="bottom"/>
          </w:tcPr>
          <w:p>
            <w:pPr>
              <w:jc w:val="left"/>
              <w:rPr>
                <w:sz w:val="24"/>
                <w:highlight w:val="none"/>
              </w:rPr>
            </w:pPr>
          </w:p>
        </w:tc>
        <w:tc>
          <w:tcPr>
            <w:tcW w:w="640" w:type="dxa"/>
            <w:tcBorders>
              <w:top w:val="nil"/>
              <w:left w:val="nil"/>
              <w:bottom w:val="single" w:color="auto" w:sz="8" w:space="0"/>
              <w:right w:val="nil"/>
            </w:tcBorders>
            <w:vAlign w:val="bottom"/>
          </w:tcPr>
          <w:p>
            <w:pPr>
              <w:jc w:val="left"/>
              <w:rPr>
                <w:sz w:val="24"/>
                <w:highlight w:val="none"/>
              </w:rPr>
            </w:pPr>
          </w:p>
        </w:tc>
        <w:tc>
          <w:tcPr>
            <w:tcW w:w="60" w:type="dxa"/>
            <w:tcBorders>
              <w:top w:val="nil"/>
              <w:left w:val="nil"/>
              <w:bottom w:val="single" w:color="auto" w:sz="8" w:space="0"/>
              <w:right w:val="single" w:color="auto" w:sz="8" w:space="0"/>
            </w:tcBorders>
            <w:vAlign w:val="bottom"/>
          </w:tcPr>
          <w:p>
            <w:pPr>
              <w:jc w:val="left"/>
              <w:rPr>
                <w:sz w:val="24"/>
                <w:highlight w:val="none"/>
              </w:rPr>
            </w:pPr>
          </w:p>
        </w:tc>
        <w:tc>
          <w:tcPr>
            <w:tcW w:w="740" w:type="dxa"/>
            <w:tcBorders>
              <w:top w:val="nil"/>
              <w:left w:val="nil"/>
              <w:bottom w:val="single" w:color="auto" w:sz="8" w:space="0"/>
              <w:right w:val="nil"/>
            </w:tcBorders>
            <w:vAlign w:val="bottom"/>
          </w:tcPr>
          <w:p>
            <w:pPr>
              <w:jc w:val="left"/>
              <w:rPr>
                <w:sz w:val="24"/>
                <w:highlight w:val="none"/>
              </w:rPr>
            </w:pPr>
          </w:p>
        </w:tc>
        <w:tc>
          <w:tcPr>
            <w:tcW w:w="600" w:type="dxa"/>
            <w:tcBorders>
              <w:top w:val="nil"/>
              <w:left w:val="nil"/>
              <w:bottom w:val="single" w:color="auto" w:sz="8" w:space="0"/>
              <w:right w:val="nil"/>
            </w:tcBorders>
            <w:vAlign w:val="bottom"/>
          </w:tcPr>
          <w:p>
            <w:pPr>
              <w:jc w:val="left"/>
              <w:rPr>
                <w:sz w:val="24"/>
                <w:highlight w:val="none"/>
              </w:rPr>
            </w:pPr>
          </w:p>
        </w:tc>
        <w:tc>
          <w:tcPr>
            <w:tcW w:w="120" w:type="dxa"/>
            <w:tcBorders>
              <w:top w:val="nil"/>
              <w:left w:val="nil"/>
              <w:bottom w:val="single" w:color="auto" w:sz="8" w:space="0"/>
              <w:right w:val="nil"/>
            </w:tcBorders>
            <w:vAlign w:val="bottom"/>
          </w:tcPr>
          <w:p>
            <w:pPr>
              <w:jc w:val="left"/>
              <w:rPr>
                <w:sz w:val="24"/>
                <w:highlight w:val="none"/>
              </w:rPr>
            </w:pPr>
          </w:p>
        </w:tc>
        <w:tc>
          <w:tcPr>
            <w:tcW w:w="500" w:type="dxa"/>
            <w:tcBorders>
              <w:top w:val="nil"/>
              <w:left w:val="nil"/>
              <w:bottom w:val="single" w:color="auto" w:sz="8" w:space="0"/>
              <w:right w:val="nil"/>
            </w:tcBorders>
            <w:vAlign w:val="bottom"/>
          </w:tcPr>
          <w:p>
            <w:pPr>
              <w:jc w:val="left"/>
              <w:rPr>
                <w:sz w:val="24"/>
                <w:highlight w:val="none"/>
              </w:rPr>
            </w:pPr>
          </w:p>
        </w:tc>
        <w:tc>
          <w:tcPr>
            <w:tcW w:w="560" w:type="dxa"/>
            <w:tcBorders>
              <w:top w:val="nil"/>
              <w:left w:val="nil"/>
              <w:bottom w:val="single" w:color="auto" w:sz="8" w:space="0"/>
              <w:right w:val="nil"/>
            </w:tcBorders>
            <w:vAlign w:val="bottom"/>
          </w:tcPr>
          <w:p>
            <w:pPr>
              <w:jc w:val="left"/>
              <w:rPr>
                <w:sz w:val="24"/>
                <w:highlight w:val="none"/>
              </w:rPr>
            </w:pPr>
          </w:p>
        </w:tc>
        <w:tc>
          <w:tcPr>
            <w:tcW w:w="660" w:type="dxa"/>
            <w:tcBorders>
              <w:top w:val="nil"/>
              <w:left w:val="nil"/>
              <w:bottom w:val="single" w:color="auto" w:sz="8" w:space="0"/>
              <w:right w:val="nil"/>
            </w:tcBorders>
            <w:vAlign w:val="bottom"/>
          </w:tcPr>
          <w:p>
            <w:pPr>
              <w:jc w:val="left"/>
              <w:rPr>
                <w:sz w:val="24"/>
                <w:highlight w:val="none"/>
              </w:rPr>
            </w:pPr>
          </w:p>
        </w:tc>
        <w:tc>
          <w:tcPr>
            <w:tcW w:w="260" w:type="dxa"/>
            <w:tcBorders>
              <w:top w:val="nil"/>
              <w:left w:val="nil"/>
              <w:bottom w:val="single" w:color="auto" w:sz="8" w:space="0"/>
              <w:right w:val="nil"/>
            </w:tcBorders>
            <w:vAlign w:val="bottom"/>
          </w:tcPr>
          <w:p>
            <w:pPr>
              <w:jc w:val="left"/>
              <w:rPr>
                <w:sz w:val="24"/>
                <w:highlight w:val="none"/>
              </w:rPr>
            </w:pPr>
          </w:p>
        </w:tc>
        <w:tc>
          <w:tcPr>
            <w:tcW w:w="460" w:type="dxa"/>
            <w:tcBorders>
              <w:top w:val="nil"/>
              <w:left w:val="nil"/>
              <w:bottom w:val="single" w:color="auto" w:sz="8" w:space="0"/>
              <w:right w:val="nil"/>
            </w:tcBorders>
            <w:vAlign w:val="bottom"/>
          </w:tcPr>
          <w:p>
            <w:pPr>
              <w:jc w:val="left"/>
              <w:rPr>
                <w:sz w:val="24"/>
                <w:highlight w:val="none"/>
              </w:rPr>
            </w:pPr>
          </w:p>
        </w:tc>
        <w:tc>
          <w:tcPr>
            <w:tcW w:w="340" w:type="dxa"/>
            <w:tcBorders>
              <w:top w:val="nil"/>
              <w:left w:val="nil"/>
              <w:bottom w:val="single" w:color="auto" w:sz="8" w:space="0"/>
              <w:right w:val="single" w:color="auto" w:sz="8" w:space="0"/>
            </w:tcBorders>
            <w:vAlign w:val="bottom"/>
          </w:tcPr>
          <w:p>
            <w:pPr>
              <w:jc w:val="left"/>
              <w:rPr>
                <w:sz w:val="24"/>
                <w:highlight w:val="none"/>
              </w:rPr>
            </w:pPr>
          </w:p>
        </w:tc>
        <w:tc>
          <w:tcPr>
            <w:tcW w:w="4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680" w:type="dxa"/>
            <w:tcBorders>
              <w:top w:val="nil"/>
              <w:left w:val="nil"/>
              <w:bottom w:val="single" w:color="auto" w:sz="8" w:space="0"/>
              <w:right w:val="nil"/>
            </w:tcBorders>
            <w:vAlign w:val="bottom"/>
          </w:tcPr>
          <w:p>
            <w:pPr>
              <w:jc w:val="left"/>
              <w:rPr>
                <w:sz w:val="24"/>
                <w:highlight w:val="none"/>
              </w:rPr>
            </w:pPr>
          </w:p>
        </w:tc>
        <w:tc>
          <w:tcPr>
            <w:tcW w:w="1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single" w:color="auto" w:sz="8" w:space="0"/>
            </w:tcBorders>
            <w:vAlign w:val="bottom"/>
          </w:tcPr>
          <w:p>
            <w:pPr>
              <w:jc w:val="left"/>
              <w:rPr>
                <w:sz w:val="24"/>
                <w:highlight w:val="none"/>
              </w:rPr>
            </w:pPr>
          </w:p>
        </w:tc>
        <w:tc>
          <w:tcPr>
            <w:tcW w:w="96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nil"/>
            </w:tcBorders>
            <w:vAlign w:val="bottom"/>
          </w:tcPr>
          <w:p>
            <w:pPr>
              <w:jc w:val="left"/>
              <w:rPr>
                <w:sz w:val="24"/>
                <w:highlight w:val="none"/>
              </w:rPr>
            </w:pPr>
          </w:p>
        </w:tc>
        <w:tc>
          <w:tcPr>
            <w:tcW w:w="240" w:type="dxa"/>
            <w:tcBorders>
              <w:top w:val="nil"/>
              <w:left w:val="nil"/>
              <w:bottom w:val="single" w:color="auto" w:sz="8" w:space="0"/>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314" w:hRule="atLeast"/>
          <w:jc w:val="center"/>
        </w:trPr>
        <w:tc>
          <w:tcPr>
            <w:tcW w:w="600" w:type="dxa"/>
            <w:tcBorders>
              <w:top w:val="nil"/>
              <w:left w:val="single" w:color="auto" w:sz="8" w:space="0"/>
              <w:bottom w:val="nil"/>
              <w:right w:val="nil"/>
            </w:tcBorders>
            <w:vAlign w:val="bottom"/>
          </w:tcPr>
          <w:p>
            <w:pPr>
              <w:jc w:val="left"/>
              <w:rPr>
                <w:sz w:val="24"/>
                <w:highlight w:val="none"/>
              </w:rPr>
            </w:pPr>
          </w:p>
        </w:tc>
        <w:tc>
          <w:tcPr>
            <w:tcW w:w="640" w:type="dxa"/>
            <w:tcBorders>
              <w:top w:val="nil"/>
              <w:left w:val="nil"/>
              <w:bottom w:val="nil"/>
              <w:right w:val="nil"/>
            </w:tcBorders>
            <w:vAlign w:val="bottom"/>
          </w:tcPr>
          <w:p>
            <w:pPr>
              <w:jc w:val="left"/>
              <w:rPr>
                <w:sz w:val="24"/>
                <w:highlight w:val="none"/>
              </w:rPr>
            </w:pPr>
          </w:p>
        </w:tc>
        <w:tc>
          <w:tcPr>
            <w:tcW w:w="60" w:type="dxa"/>
            <w:tcBorders>
              <w:top w:val="nil"/>
              <w:left w:val="nil"/>
              <w:bottom w:val="nil"/>
              <w:right w:val="nil"/>
            </w:tcBorders>
            <w:vAlign w:val="bottom"/>
          </w:tcPr>
          <w:p>
            <w:pPr>
              <w:jc w:val="left"/>
              <w:rPr>
                <w:sz w:val="24"/>
                <w:highlight w:val="none"/>
              </w:rPr>
            </w:pPr>
          </w:p>
        </w:tc>
        <w:tc>
          <w:tcPr>
            <w:tcW w:w="740" w:type="dxa"/>
            <w:tcBorders>
              <w:top w:val="nil"/>
              <w:left w:val="nil"/>
              <w:bottom w:val="nil"/>
              <w:right w:val="nil"/>
            </w:tcBorders>
            <w:vAlign w:val="bottom"/>
          </w:tcPr>
          <w:p>
            <w:pPr>
              <w:jc w:val="left"/>
              <w:rPr>
                <w:sz w:val="24"/>
                <w:highlight w:val="none"/>
              </w:rPr>
            </w:pPr>
          </w:p>
        </w:tc>
        <w:tc>
          <w:tcPr>
            <w:tcW w:w="600" w:type="dxa"/>
            <w:tcBorders>
              <w:top w:val="nil"/>
              <w:left w:val="nil"/>
              <w:bottom w:val="nil"/>
              <w:right w:val="single" w:color="auto" w:sz="8" w:space="0"/>
            </w:tcBorders>
            <w:vAlign w:val="bottom"/>
          </w:tcPr>
          <w:p>
            <w:pPr>
              <w:jc w:val="left"/>
              <w:rPr>
                <w:sz w:val="24"/>
                <w:highlight w:val="none"/>
              </w:rPr>
            </w:pPr>
          </w:p>
        </w:tc>
        <w:tc>
          <w:tcPr>
            <w:tcW w:w="120" w:type="dxa"/>
            <w:tcBorders>
              <w:top w:val="nil"/>
              <w:left w:val="nil"/>
              <w:bottom w:val="nil"/>
              <w:right w:val="nil"/>
            </w:tcBorders>
            <w:vAlign w:val="bottom"/>
          </w:tcPr>
          <w:p>
            <w:pPr>
              <w:jc w:val="left"/>
              <w:rPr>
                <w:sz w:val="24"/>
                <w:highlight w:val="none"/>
              </w:rPr>
            </w:pPr>
          </w:p>
        </w:tc>
        <w:tc>
          <w:tcPr>
            <w:tcW w:w="4700" w:type="dxa"/>
            <w:gridSpan w:val="12"/>
            <w:tcBorders>
              <w:top w:val="nil"/>
              <w:left w:val="nil"/>
              <w:bottom w:val="nil"/>
              <w:right w:val="nil"/>
            </w:tcBorders>
            <w:vAlign w:val="bottom"/>
          </w:tcPr>
          <w:p>
            <w:pPr>
              <w:spacing w:line="253" w:lineRule="exact"/>
              <w:jc w:val="left"/>
              <w:rPr>
                <w:sz w:val="24"/>
                <w:highlight w:val="none"/>
              </w:rPr>
            </w:pPr>
            <w:r>
              <w:rPr>
                <w:rFonts w:ascii="Arial" w:hAnsi="Arial"/>
                <w:highlight w:val="none"/>
              </w:rPr>
              <w:t>□</w:t>
            </w:r>
            <w:r>
              <w:rPr>
                <w:rFonts w:hint="eastAsia" w:ascii="宋体" w:hAnsi="宋体"/>
                <w:highlight w:val="none"/>
              </w:rPr>
              <w:t>目前未在其他项目上任职，现从事工作为：</w:t>
            </w:r>
          </w:p>
        </w:tc>
        <w:tc>
          <w:tcPr>
            <w:tcW w:w="960" w:type="dxa"/>
            <w:tcBorders>
              <w:top w:val="nil"/>
              <w:left w:val="nil"/>
              <w:bottom w:val="nil"/>
              <w:right w:val="nil"/>
            </w:tcBorders>
            <w:vAlign w:val="bottom"/>
          </w:tcPr>
          <w:p>
            <w:pPr>
              <w:jc w:val="left"/>
              <w:rPr>
                <w:sz w:val="24"/>
                <w:highlight w:val="none"/>
              </w:rPr>
            </w:pPr>
          </w:p>
        </w:tc>
        <w:tc>
          <w:tcPr>
            <w:tcW w:w="340" w:type="dxa"/>
            <w:gridSpan w:val="2"/>
            <w:tcBorders>
              <w:top w:val="nil"/>
              <w:left w:val="nil"/>
              <w:bottom w:val="nil"/>
              <w:right w:val="single" w:color="auto" w:sz="8" w:space="0"/>
            </w:tcBorders>
            <w:vAlign w:val="bottom"/>
          </w:tcPr>
          <w:p>
            <w:pPr>
              <w:ind w:right="14"/>
              <w:jc w:val="right"/>
              <w:rPr>
                <w:sz w:val="24"/>
                <w:highlight w:val="none"/>
              </w:rPr>
            </w:pPr>
            <w:r>
              <w:rPr>
                <w:rFonts w:hint="eastAsia" w:ascii="宋体" w:hAnsi="宋体"/>
                <w:w w:val="85"/>
                <w:highlight w:val="none"/>
              </w:rPr>
              <w:t>。</w:t>
            </w:r>
          </w:p>
        </w:tc>
      </w:tr>
      <w:tr>
        <w:tblPrEx>
          <w:tblCellMar>
            <w:top w:w="0" w:type="dxa"/>
            <w:left w:w="0" w:type="dxa"/>
            <w:bottom w:w="0" w:type="dxa"/>
            <w:right w:w="0" w:type="dxa"/>
          </w:tblCellMar>
        </w:tblPrEx>
        <w:trPr>
          <w:trHeight w:val="20" w:hRule="atLeast"/>
          <w:jc w:val="center"/>
        </w:trPr>
        <w:tc>
          <w:tcPr>
            <w:tcW w:w="600" w:type="dxa"/>
            <w:tcBorders>
              <w:top w:val="nil"/>
              <w:left w:val="single" w:color="auto" w:sz="8" w:space="0"/>
              <w:bottom w:val="nil"/>
              <w:right w:val="nil"/>
            </w:tcBorders>
            <w:shd w:val="clear" w:color="auto" w:fill="auto"/>
            <w:vAlign w:val="bottom"/>
          </w:tcPr>
          <w:p>
            <w:pPr>
              <w:spacing w:line="20" w:lineRule="exact"/>
              <w:jc w:val="left"/>
              <w:rPr>
                <w:sz w:val="1"/>
                <w:highlight w:val="none"/>
              </w:rPr>
            </w:pPr>
          </w:p>
        </w:tc>
        <w:tc>
          <w:tcPr>
            <w:tcW w:w="1440" w:type="dxa"/>
            <w:gridSpan w:val="3"/>
            <w:tcBorders>
              <w:top w:val="nil"/>
              <w:left w:val="nil"/>
              <w:bottom w:val="nil"/>
              <w:right w:val="nil"/>
            </w:tcBorders>
            <w:shd w:val="clear" w:color="auto" w:fill="auto"/>
            <w:vAlign w:val="bottom"/>
          </w:tcPr>
          <w:p>
            <w:pPr>
              <w:spacing w:line="20" w:lineRule="exact"/>
              <w:jc w:val="left"/>
              <w:rPr>
                <w:sz w:val="1"/>
                <w:highlight w:val="none"/>
              </w:rPr>
            </w:pPr>
          </w:p>
        </w:tc>
        <w:tc>
          <w:tcPr>
            <w:tcW w:w="600" w:type="dxa"/>
            <w:tcBorders>
              <w:top w:val="nil"/>
              <w:left w:val="nil"/>
              <w:bottom w:val="nil"/>
              <w:right w:val="single" w:color="auto" w:sz="8" w:space="0"/>
            </w:tcBorders>
            <w:shd w:val="clear" w:color="auto" w:fill="auto"/>
            <w:vAlign w:val="bottom"/>
          </w:tcPr>
          <w:p>
            <w:pPr>
              <w:spacing w:line="20" w:lineRule="exact"/>
              <w:jc w:val="left"/>
              <w:rPr>
                <w:sz w:val="1"/>
                <w:highlight w:val="none"/>
              </w:rPr>
            </w:pPr>
          </w:p>
        </w:tc>
        <w:tc>
          <w:tcPr>
            <w:tcW w:w="120" w:type="dxa"/>
            <w:tcBorders>
              <w:top w:val="nil"/>
              <w:left w:val="nil"/>
              <w:bottom w:val="nil"/>
              <w:right w:val="nil"/>
            </w:tcBorders>
            <w:shd w:val="clear" w:color="auto" w:fill="auto"/>
            <w:vAlign w:val="bottom"/>
          </w:tcPr>
          <w:p>
            <w:pPr>
              <w:spacing w:line="20" w:lineRule="exact"/>
              <w:jc w:val="left"/>
              <w:rPr>
                <w:sz w:val="1"/>
                <w:highlight w:val="none"/>
              </w:rPr>
            </w:pPr>
          </w:p>
        </w:tc>
        <w:tc>
          <w:tcPr>
            <w:tcW w:w="1720" w:type="dxa"/>
            <w:gridSpan w:val="3"/>
            <w:tcBorders>
              <w:top w:val="nil"/>
              <w:left w:val="nil"/>
              <w:bottom w:val="nil"/>
              <w:right w:val="nil"/>
            </w:tcBorders>
            <w:shd w:val="clear" w:color="auto" w:fill="auto"/>
            <w:vAlign w:val="bottom"/>
          </w:tcPr>
          <w:p>
            <w:pPr>
              <w:spacing w:line="20" w:lineRule="exact"/>
              <w:jc w:val="left"/>
              <w:rPr>
                <w:sz w:val="1"/>
                <w:highlight w:val="none"/>
              </w:rPr>
            </w:pPr>
          </w:p>
        </w:tc>
        <w:tc>
          <w:tcPr>
            <w:tcW w:w="1780" w:type="dxa"/>
            <w:gridSpan w:val="5"/>
            <w:tcBorders>
              <w:top w:val="nil"/>
              <w:left w:val="nil"/>
              <w:bottom w:val="nil"/>
              <w:right w:val="nil"/>
            </w:tcBorders>
            <w:shd w:val="clear" w:color="auto" w:fill="auto"/>
            <w:vAlign w:val="bottom"/>
          </w:tcPr>
          <w:p>
            <w:pPr>
              <w:spacing w:line="20" w:lineRule="exact"/>
              <w:jc w:val="left"/>
              <w:rPr>
                <w:sz w:val="1"/>
                <w:highlight w:val="none"/>
              </w:rPr>
            </w:pPr>
          </w:p>
        </w:tc>
        <w:tc>
          <w:tcPr>
            <w:tcW w:w="680" w:type="dxa"/>
            <w:tcBorders>
              <w:top w:val="nil"/>
              <w:left w:val="nil"/>
              <w:bottom w:val="nil"/>
              <w:right w:val="nil"/>
            </w:tcBorders>
            <w:shd w:val="clear" w:color="auto" w:fill="auto"/>
            <w:vAlign w:val="bottom"/>
          </w:tcPr>
          <w:p>
            <w:pPr>
              <w:spacing w:line="20" w:lineRule="exact"/>
              <w:jc w:val="left"/>
              <w:rPr>
                <w:sz w:val="1"/>
                <w:highlight w:val="none"/>
              </w:rPr>
            </w:pPr>
          </w:p>
        </w:tc>
        <w:tc>
          <w:tcPr>
            <w:tcW w:w="420" w:type="dxa"/>
            <w:gridSpan w:val="2"/>
            <w:tcBorders>
              <w:top w:val="nil"/>
              <w:left w:val="nil"/>
              <w:bottom w:val="nil"/>
              <w:right w:val="nil"/>
            </w:tcBorders>
            <w:shd w:val="clear" w:color="auto" w:fill="000000"/>
            <w:vAlign w:val="bottom"/>
          </w:tcPr>
          <w:p>
            <w:pPr>
              <w:spacing w:line="20" w:lineRule="exact"/>
              <w:jc w:val="left"/>
              <w:rPr>
                <w:sz w:val="1"/>
                <w:highlight w:val="none"/>
              </w:rPr>
            </w:pPr>
          </w:p>
        </w:tc>
        <w:tc>
          <w:tcPr>
            <w:tcW w:w="1060" w:type="dxa"/>
            <w:gridSpan w:val="2"/>
            <w:tcBorders>
              <w:top w:val="nil"/>
              <w:left w:val="nil"/>
              <w:bottom w:val="nil"/>
              <w:right w:val="nil"/>
            </w:tcBorders>
            <w:shd w:val="clear" w:color="auto" w:fill="000000"/>
            <w:vAlign w:val="bottom"/>
          </w:tcPr>
          <w:p>
            <w:pPr>
              <w:spacing w:line="20" w:lineRule="exact"/>
              <w:jc w:val="left"/>
              <w:rPr>
                <w:sz w:val="1"/>
                <w:highlight w:val="none"/>
              </w:rPr>
            </w:pPr>
          </w:p>
        </w:tc>
        <w:tc>
          <w:tcPr>
            <w:tcW w:w="100" w:type="dxa"/>
            <w:tcBorders>
              <w:top w:val="nil"/>
              <w:left w:val="nil"/>
              <w:bottom w:val="nil"/>
              <w:right w:val="nil"/>
            </w:tcBorders>
            <w:vAlign w:val="bottom"/>
          </w:tcPr>
          <w:p>
            <w:pPr>
              <w:spacing w:line="20" w:lineRule="exact"/>
              <w:jc w:val="left"/>
              <w:rPr>
                <w:sz w:val="1"/>
                <w:highlight w:val="none"/>
              </w:rPr>
            </w:pPr>
          </w:p>
        </w:tc>
        <w:tc>
          <w:tcPr>
            <w:tcW w:w="240" w:type="dxa"/>
            <w:tcBorders>
              <w:top w:val="nil"/>
              <w:left w:val="nil"/>
              <w:bottom w:val="nil"/>
              <w:right w:val="single" w:color="auto" w:sz="8" w:space="0"/>
            </w:tcBorders>
            <w:vAlign w:val="bottom"/>
          </w:tcPr>
          <w:p>
            <w:pPr>
              <w:spacing w:line="20" w:lineRule="exact"/>
              <w:jc w:val="left"/>
              <w:rPr>
                <w:sz w:val="1"/>
                <w:highlight w:val="none"/>
              </w:rPr>
            </w:pPr>
          </w:p>
        </w:tc>
      </w:tr>
      <w:tr>
        <w:tblPrEx>
          <w:tblCellMar>
            <w:top w:w="0" w:type="dxa"/>
            <w:left w:w="0" w:type="dxa"/>
            <w:bottom w:w="0" w:type="dxa"/>
            <w:right w:w="0" w:type="dxa"/>
          </w:tblCellMar>
        </w:tblPrEx>
        <w:trPr>
          <w:trHeight w:val="402" w:hRule="atLeast"/>
          <w:jc w:val="center"/>
        </w:trPr>
        <w:tc>
          <w:tcPr>
            <w:tcW w:w="600" w:type="dxa"/>
            <w:tcBorders>
              <w:top w:val="nil"/>
              <w:left w:val="single" w:color="auto" w:sz="8" w:space="0"/>
              <w:bottom w:val="nil"/>
              <w:right w:val="nil"/>
            </w:tcBorders>
            <w:vAlign w:val="bottom"/>
          </w:tcPr>
          <w:p>
            <w:pPr>
              <w:jc w:val="left"/>
              <w:rPr>
                <w:sz w:val="24"/>
                <w:highlight w:val="none"/>
              </w:rPr>
            </w:pPr>
          </w:p>
        </w:tc>
        <w:tc>
          <w:tcPr>
            <w:tcW w:w="1440" w:type="dxa"/>
            <w:gridSpan w:val="3"/>
            <w:tcBorders>
              <w:top w:val="nil"/>
              <w:left w:val="nil"/>
              <w:bottom w:val="nil"/>
              <w:right w:val="nil"/>
            </w:tcBorders>
            <w:vAlign w:val="bottom"/>
          </w:tcPr>
          <w:p>
            <w:pPr>
              <w:jc w:val="center"/>
              <w:rPr>
                <w:sz w:val="24"/>
                <w:highlight w:val="none"/>
              </w:rPr>
            </w:pPr>
            <w:r>
              <w:rPr>
                <w:rFonts w:hint="eastAsia" w:ascii="宋体" w:hAnsi="宋体"/>
                <w:w w:val="99"/>
                <w:highlight w:val="none"/>
              </w:rPr>
              <w:t>说明在岗情况</w:t>
            </w:r>
          </w:p>
        </w:tc>
        <w:tc>
          <w:tcPr>
            <w:tcW w:w="600" w:type="dxa"/>
            <w:tcBorders>
              <w:top w:val="nil"/>
              <w:left w:val="nil"/>
              <w:bottom w:val="nil"/>
              <w:right w:val="single" w:color="auto" w:sz="8" w:space="0"/>
            </w:tcBorders>
            <w:vAlign w:val="bottom"/>
          </w:tcPr>
          <w:p>
            <w:pPr>
              <w:jc w:val="left"/>
              <w:rPr>
                <w:sz w:val="24"/>
                <w:highlight w:val="none"/>
              </w:rPr>
            </w:pPr>
          </w:p>
        </w:tc>
        <w:tc>
          <w:tcPr>
            <w:tcW w:w="120" w:type="dxa"/>
            <w:tcBorders>
              <w:top w:val="nil"/>
              <w:left w:val="nil"/>
              <w:bottom w:val="nil"/>
              <w:right w:val="nil"/>
            </w:tcBorders>
            <w:vAlign w:val="bottom"/>
          </w:tcPr>
          <w:p>
            <w:pPr>
              <w:jc w:val="left"/>
              <w:rPr>
                <w:sz w:val="24"/>
                <w:highlight w:val="none"/>
              </w:rPr>
            </w:pPr>
          </w:p>
        </w:tc>
        <w:tc>
          <w:tcPr>
            <w:tcW w:w="6000" w:type="dxa"/>
            <w:gridSpan w:val="15"/>
            <w:tcBorders>
              <w:top w:val="nil"/>
              <w:left w:val="nil"/>
              <w:bottom w:val="nil"/>
              <w:right w:val="single" w:color="auto" w:sz="8" w:space="0"/>
            </w:tcBorders>
            <w:vAlign w:val="bottom"/>
          </w:tcPr>
          <w:p>
            <w:pPr>
              <w:spacing w:line="253" w:lineRule="exact"/>
              <w:jc w:val="left"/>
              <w:rPr>
                <w:sz w:val="24"/>
                <w:highlight w:val="none"/>
              </w:rPr>
            </w:pPr>
            <w:r>
              <w:rPr>
                <w:rFonts w:ascii="Arial" w:hAnsi="Arial"/>
                <w:highlight w:val="none"/>
              </w:rPr>
              <w:t>□</w:t>
            </w:r>
            <w:r>
              <w:rPr>
                <w:rFonts w:hint="eastAsia" w:ascii="宋体" w:hAnsi="宋体"/>
                <w:highlight w:val="none"/>
              </w:rPr>
              <w:t>目前虽在其他项目上任职，但本项目中标后能够从该项目撤</w:t>
            </w:r>
          </w:p>
        </w:tc>
      </w:tr>
      <w:tr>
        <w:tblPrEx>
          <w:tblCellMar>
            <w:top w:w="0" w:type="dxa"/>
            <w:left w:w="0" w:type="dxa"/>
            <w:bottom w:w="0" w:type="dxa"/>
            <w:right w:w="0" w:type="dxa"/>
          </w:tblCellMar>
        </w:tblPrEx>
        <w:trPr>
          <w:trHeight w:val="373" w:hRule="atLeast"/>
          <w:jc w:val="center"/>
        </w:trPr>
        <w:tc>
          <w:tcPr>
            <w:tcW w:w="600" w:type="dxa"/>
            <w:tcBorders>
              <w:top w:val="nil"/>
              <w:left w:val="single" w:color="auto" w:sz="8" w:space="0"/>
              <w:bottom w:val="nil"/>
              <w:right w:val="nil"/>
            </w:tcBorders>
            <w:vAlign w:val="bottom"/>
          </w:tcPr>
          <w:p>
            <w:pPr>
              <w:jc w:val="left"/>
              <w:rPr>
                <w:sz w:val="24"/>
                <w:highlight w:val="none"/>
              </w:rPr>
            </w:pPr>
          </w:p>
        </w:tc>
        <w:tc>
          <w:tcPr>
            <w:tcW w:w="640" w:type="dxa"/>
            <w:tcBorders>
              <w:top w:val="nil"/>
              <w:left w:val="nil"/>
              <w:bottom w:val="nil"/>
              <w:right w:val="nil"/>
            </w:tcBorders>
            <w:vAlign w:val="bottom"/>
          </w:tcPr>
          <w:p>
            <w:pPr>
              <w:jc w:val="left"/>
              <w:rPr>
                <w:sz w:val="24"/>
                <w:highlight w:val="none"/>
              </w:rPr>
            </w:pPr>
          </w:p>
        </w:tc>
        <w:tc>
          <w:tcPr>
            <w:tcW w:w="60" w:type="dxa"/>
            <w:tcBorders>
              <w:top w:val="nil"/>
              <w:left w:val="nil"/>
              <w:bottom w:val="nil"/>
              <w:right w:val="nil"/>
            </w:tcBorders>
            <w:vAlign w:val="bottom"/>
          </w:tcPr>
          <w:p>
            <w:pPr>
              <w:jc w:val="left"/>
              <w:rPr>
                <w:sz w:val="24"/>
                <w:highlight w:val="none"/>
              </w:rPr>
            </w:pPr>
          </w:p>
        </w:tc>
        <w:tc>
          <w:tcPr>
            <w:tcW w:w="740" w:type="dxa"/>
            <w:tcBorders>
              <w:top w:val="nil"/>
              <w:left w:val="nil"/>
              <w:bottom w:val="nil"/>
              <w:right w:val="nil"/>
            </w:tcBorders>
            <w:vAlign w:val="bottom"/>
          </w:tcPr>
          <w:p>
            <w:pPr>
              <w:jc w:val="left"/>
              <w:rPr>
                <w:sz w:val="24"/>
                <w:highlight w:val="none"/>
              </w:rPr>
            </w:pPr>
          </w:p>
        </w:tc>
        <w:tc>
          <w:tcPr>
            <w:tcW w:w="600" w:type="dxa"/>
            <w:tcBorders>
              <w:top w:val="nil"/>
              <w:left w:val="nil"/>
              <w:bottom w:val="nil"/>
              <w:right w:val="single" w:color="auto" w:sz="8" w:space="0"/>
            </w:tcBorders>
            <w:vAlign w:val="bottom"/>
          </w:tcPr>
          <w:p>
            <w:pPr>
              <w:jc w:val="left"/>
              <w:rPr>
                <w:sz w:val="24"/>
                <w:highlight w:val="none"/>
              </w:rPr>
            </w:pPr>
          </w:p>
        </w:tc>
        <w:tc>
          <w:tcPr>
            <w:tcW w:w="120" w:type="dxa"/>
            <w:tcBorders>
              <w:top w:val="nil"/>
              <w:left w:val="nil"/>
              <w:bottom w:val="nil"/>
              <w:right w:val="nil"/>
            </w:tcBorders>
            <w:vAlign w:val="bottom"/>
          </w:tcPr>
          <w:p>
            <w:pPr>
              <w:jc w:val="left"/>
              <w:rPr>
                <w:sz w:val="24"/>
                <w:highlight w:val="none"/>
              </w:rPr>
            </w:pPr>
          </w:p>
        </w:tc>
        <w:tc>
          <w:tcPr>
            <w:tcW w:w="1980" w:type="dxa"/>
            <w:gridSpan w:val="4"/>
            <w:tcBorders>
              <w:top w:val="nil"/>
              <w:left w:val="nil"/>
              <w:bottom w:val="nil"/>
              <w:right w:val="nil"/>
            </w:tcBorders>
            <w:vAlign w:val="bottom"/>
          </w:tcPr>
          <w:p>
            <w:pPr>
              <w:jc w:val="left"/>
              <w:rPr>
                <w:sz w:val="24"/>
                <w:highlight w:val="none"/>
              </w:rPr>
            </w:pPr>
            <w:r>
              <w:rPr>
                <w:rFonts w:hint="eastAsia" w:ascii="宋体" w:hAnsi="宋体"/>
                <w:highlight w:val="none"/>
              </w:rPr>
              <w:t>离，目前任职项目：</w:t>
            </w:r>
          </w:p>
        </w:tc>
        <w:tc>
          <w:tcPr>
            <w:tcW w:w="460" w:type="dxa"/>
            <w:tcBorders>
              <w:top w:val="nil"/>
              <w:left w:val="nil"/>
              <w:bottom w:val="nil"/>
              <w:right w:val="nil"/>
            </w:tcBorders>
            <w:vAlign w:val="bottom"/>
          </w:tcPr>
          <w:p>
            <w:pPr>
              <w:jc w:val="left"/>
              <w:rPr>
                <w:sz w:val="24"/>
                <w:highlight w:val="none"/>
              </w:rPr>
            </w:pPr>
          </w:p>
        </w:tc>
        <w:tc>
          <w:tcPr>
            <w:tcW w:w="340" w:type="dxa"/>
            <w:tcBorders>
              <w:top w:val="nil"/>
              <w:left w:val="nil"/>
              <w:bottom w:val="nil"/>
              <w:right w:val="nil"/>
            </w:tcBorders>
            <w:vAlign w:val="bottom"/>
          </w:tcPr>
          <w:p>
            <w:pPr>
              <w:jc w:val="left"/>
              <w:rPr>
                <w:sz w:val="24"/>
                <w:highlight w:val="none"/>
              </w:rPr>
            </w:pPr>
          </w:p>
        </w:tc>
        <w:tc>
          <w:tcPr>
            <w:tcW w:w="440" w:type="dxa"/>
            <w:tcBorders>
              <w:top w:val="nil"/>
              <w:left w:val="nil"/>
              <w:bottom w:val="nil"/>
              <w:right w:val="nil"/>
            </w:tcBorders>
            <w:vAlign w:val="bottom"/>
          </w:tcPr>
          <w:p>
            <w:pPr>
              <w:jc w:val="left"/>
              <w:rPr>
                <w:sz w:val="24"/>
                <w:highlight w:val="none"/>
              </w:rPr>
            </w:pPr>
          </w:p>
        </w:tc>
        <w:tc>
          <w:tcPr>
            <w:tcW w:w="1480" w:type="dxa"/>
            <w:gridSpan w:val="5"/>
            <w:tcBorders>
              <w:top w:val="nil"/>
              <w:left w:val="nil"/>
              <w:bottom w:val="nil"/>
              <w:right w:val="nil"/>
            </w:tcBorders>
            <w:vAlign w:val="bottom"/>
          </w:tcPr>
          <w:p>
            <w:pPr>
              <w:ind w:left="280"/>
              <w:jc w:val="left"/>
              <w:rPr>
                <w:sz w:val="24"/>
                <w:highlight w:val="none"/>
              </w:rPr>
            </w:pPr>
            <w:r>
              <w:rPr>
                <w:rFonts w:hint="eastAsia" w:ascii="宋体" w:hAnsi="宋体"/>
                <w:w w:val="92"/>
                <w:highlight w:val="none"/>
              </w:rPr>
              <w:t>，担任职位：</w:t>
            </w:r>
          </w:p>
        </w:tc>
        <w:tc>
          <w:tcPr>
            <w:tcW w:w="96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240" w:type="dxa"/>
            <w:tcBorders>
              <w:top w:val="nil"/>
              <w:left w:val="nil"/>
              <w:bottom w:val="nil"/>
              <w:right w:val="single" w:color="auto" w:sz="8" w:space="0"/>
            </w:tcBorders>
            <w:vAlign w:val="bottom"/>
          </w:tcPr>
          <w:p>
            <w:pPr>
              <w:jc w:val="right"/>
              <w:rPr>
                <w:sz w:val="24"/>
                <w:highlight w:val="none"/>
              </w:rPr>
            </w:pPr>
            <w:r>
              <w:rPr>
                <w:rFonts w:hint="eastAsia" w:ascii="宋体" w:hAnsi="宋体"/>
                <w:w w:val="85"/>
                <w:highlight w:val="none"/>
              </w:rPr>
              <w:t>。</w:t>
            </w:r>
          </w:p>
        </w:tc>
      </w:tr>
      <w:tr>
        <w:tblPrEx>
          <w:tblCellMar>
            <w:top w:w="0" w:type="dxa"/>
            <w:left w:w="0" w:type="dxa"/>
            <w:bottom w:w="0" w:type="dxa"/>
            <w:right w:w="0" w:type="dxa"/>
          </w:tblCellMar>
        </w:tblPrEx>
        <w:trPr>
          <w:trHeight w:val="23" w:hRule="atLeast"/>
          <w:jc w:val="center"/>
        </w:trPr>
        <w:tc>
          <w:tcPr>
            <w:tcW w:w="600" w:type="dxa"/>
            <w:tcBorders>
              <w:top w:val="nil"/>
              <w:left w:val="single" w:color="auto" w:sz="8" w:space="0"/>
              <w:bottom w:val="single" w:color="auto" w:sz="8" w:space="0"/>
              <w:right w:val="nil"/>
            </w:tcBorders>
            <w:vAlign w:val="bottom"/>
          </w:tcPr>
          <w:p>
            <w:pPr>
              <w:jc w:val="left"/>
              <w:rPr>
                <w:sz w:val="2"/>
                <w:highlight w:val="none"/>
              </w:rPr>
            </w:pPr>
          </w:p>
        </w:tc>
        <w:tc>
          <w:tcPr>
            <w:tcW w:w="640" w:type="dxa"/>
            <w:tcBorders>
              <w:top w:val="nil"/>
              <w:left w:val="nil"/>
              <w:bottom w:val="single" w:color="auto" w:sz="8" w:space="0"/>
              <w:right w:val="nil"/>
            </w:tcBorders>
            <w:vAlign w:val="bottom"/>
          </w:tcPr>
          <w:p>
            <w:pPr>
              <w:jc w:val="left"/>
              <w:rPr>
                <w:sz w:val="2"/>
                <w:highlight w:val="none"/>
              </w:rPr>
            </w:pPr>
          </w:p>
        </w:tc>
        <w:tc>
          <w:tcPr>
            <w:tcW w:w="60" w:type="dxa"/>
            <w:tcBorders>
              <w:top w:val="nil"/>
              <w:left w:val="nil"/>
              <w:bottom w:val="single" w:color="auto" w:sz="8" w:space="0"/>
              <w:right w:val="nil"/>
            </w:tcBorders>
            <w:vAlign w:val="bottom"/>
          </w:tcPr>
          <w:p>
            <w:pPr>
              <w:jc w:val="left"/>
              <w:rPr>
                <w:sz w:val="2"/>
                <w:highlight w:val="none"/>
              </w:rPr>
            </w:pPr>
          </w:p>
        </w:tc>
        <w:tc>
          <w:tcPr>
            <w:tcW w:w="740" w:type="dxa"/>
            <w:tcBorders>
              <w:top w:val="nil"/>
              <w:left w:val="nil"/>
              <w:bottom w:val="single" w:color="auto" w:sz="8" w:space="0"/>
              <w:right w:val="nil"/>
            </w:tcBorders>
            <w:vAlign w:val="bottom"/>
          </w:tcPr>
          <w:p>
            <w:pPr>
              <w:jc w:val="left"/>
              <w:rPr>
                <w:sz w:val="2"/>
                <w:highlight w:val="none"/>
              </w:rPr>
            </w:pPr>
          </w:p>
        </w:tc>
        <w:tc>
          <w:tcPr>
            <w:tcW w:w="600" w:type="dxa"/>
            <w:tcBorders>
              <w:top w:val="nil"/>
              <w:left w:val="nil"/>
              <w:bottom w:val="single" w:color="auto" w:sz="8" w:space="0"/>
              <w:right w:val="single" w:color="auto" w:sz="8" w:space="0"/>
            </w:tcBorders>
            <w:vAlign w:val="bottom"/>
          </w:tcPr>
          <w:p>
            <w:pPr>
              <w:jc w:val="left"/>
              <w:rPr>
                <w:sz w:val="2"/>
                <w:highlight w:val="none"/>
              </w:rPr>
            </w:pPr>
          </w:p>
        </w:tc>
        <w:tc>
          <w:tcPr>
            <w:tcW w:w="120" w:type="dxa"/>
            <w:tcBorders>
              <w:top w:val="nil"/>
              <w:left w:val="nil"/>
              <w:bottom w:val="single" w:color="auto" w:sz="8" w:space="0"/>
              <w:right w:val="nil"/>
            </w:tcBorders>
            <w:vAlign w:val="bottom"/>
          </w:tcPr>
          <w:p>
            <w:pPr>
              <w:jc w:val="left"/>
              <w:rPr>
                <w:sz w:val="2"/>
                <w:highlight w:val="none"/>
              </w:rPr>
            </w:pPr>
          </w:p>
        </w:tc>
        <w:tc>
          <w:tcPr>
            <w:tcW w:w="500" w:type="dxa"/>
            <w:tcBorders>
              <w:top w:val="nil"/>
              <w:left w:val="nil"/>
              <w:bottom w:val="single" w:color="auto" w:sz="8" w:space="0"/>
              <w:right w:val="nil"/>
            </w:tcBorders>
            <w:vAlign w:val="bottom"/>
          </w:tcPr>
          <w:p>
            <w:pPr>
              <w:jc w:val="left"/>
              <w:rPr>
                <w:sz w:val="2"/>
                <w:highlight w:val="none"/>
              </w:rPr>
            </w:pPr>
          </w:p>
        </w:tc>
        <w:tc>
          <w:tcPr>
            <w:tcW w:w="560" w:type="dxa"/>
            <w:tcBorders>
              <w:top w:val="nil"/>
              <w:left w:val="nil"/>
              <w:bottom w:val="single" w:color="auto" w:sz="8" w:space="0"/>
              <w:right w:val="nil"/>
            </w:tcBorders>
            <w:vAlign w:val="bottom"/>
          </w:tcPr>
          <w:p>
            <w:pPr>
              <w:jc w:val="left"/>
              <w:rPr>
                <w:sz w:val="2"/>
                <w:highlight w:val="none"/>
              </w:rPr>
            </w:pPr>
          </w:p>
        </w:tc>
        <w:tc>
          <w:tcPr>
            <w:tcW w:w="660" w:type="dxa"/>
            <w:tcBorders>
              <w:top w:val="nil"/>
              <w:left w:val="nil"/>
              <w:bottom w:val="single" w:color="auto" w:sz="8" w:space="0"/>
              <w:right w:val="nil"/>
            </w:tcBorders>
            <w:vAlign w:val="bottom"/>
          </w:tcPr>
          <w:p>
            <w:pPr>
              <w:jc w:val="left"/>
              <w:rPr>
                <w:sz w:val="2"/>
                <w:highlight w:val="none"/>
              </w:rPr>
            </w:pPr>
          </w:p>
        </w:tc>
        <w:tc>
          <w:tcPr>
            <w:tcW w:w="260" w:type="dxa"/>
            <w:tcBorders>
              <w:top w:val="single" w:color="auto" w:sz="8" w:space="0"/>
              <w:left w:val="nil"/>
              <w:bottom w:val="single" w:color="auto" w:sz="8" w:space="0"/>
              <w:right w:val="nil"/>
            </w:tcBorders>
            <w:vAlign w:val="bottom"/>
          </w:tcPr>
          <w:p>
            <w:pPr>
              <w:jc w:val="left"/>
              <w:rPr>
                <w:sz w:val="2"/>
                <w:highlight w:val="none"/>
              </w:rPr>
            </w:pPr>
          </w:p>
        </w:tc>
        <w:tc>
          <w:tcPr>
            <w:tcW w:w="460" w:type="dxa"/>
            <w:tcBorders>
              <w:top w:val="single" w:color="auto" w:sz="8" w:space="0"/>
              <w:left w:val="nil"/>
              <w:bottom w:val="single" w:color="auto" w:sz="8" w:space="0"/>
              <w:right w:val="nil"/>
            </w:tcBorders>
            <w:vAlign w:val="bottom"/>
          </w:tcPr>
          <w:p>
            <w:pPr>
              <w:jc w:val="left"/>
              <w:rPr>
                <w:sz w:val="2"/>
                <w:highlight w:val="none"/>
              </w:rPr>
            </w:pPr>
          </w:p>
        </w:tc>
        <w:tc>
          <w:tcPr>
            <w:tcW w:w="340" w:type="dxa"/>
            <w:tcBorders>
              <w:top w:val="single" w:color="auto" w:sz="8" w:space="0"/>
              <w:left w:val="nil"/>
              <w:bottom w:val="single" w:color="auto" w:sz="8" w:space="0"/>
              <w:right w:val="nil"/>
            </w:tcBorders>
            <w:vAlign w:val="bottom"/>
          </w:tcPr>
          <w:p>
            <w:pPr>
              <w:jc w:val="left"/>
              <w:rPr>
                <w:sz w:val="2"/>
                <w:highlight w:val="none"/>
              </w:rPr>
            </w:pPr>
          </w:p>
        </w:tc>
        <w:tc>
          <w:tcPr>
            <w:tcW w:w="440" w:type="dxa"/>
            <w:tcBorders>
              <w:top w:val="single" w:color="auto" w:sz="8" w:space="0"/>
              <w:left w:val="nil"/>
              <w:bottom w:val="single" w:color="auto" w:sz="8" w:space="0"/>
              <w:right w:val="nil"/>
            </w:tcBorders>
            <w:vAlign w:val="bottom"/>
          </w:tcPr>
          <w:p>
            <w:pPr>
              <w:jc w:val="left"/>
              <w:rPr>
                <w:sz w:val="2"/>
                <w:highlight w:val="none"/>
              </w:rPr>
            </w:pPr>
          </w:p>
        </w:tc>
        <w:tc>
          <w:tcPr>
            <w:tcW w:w="280" w:type="dxa"/>
            <w:tcBorders>
              <w:top w:val="single" w:color="auto" w:sz="8" w:space="0"/>
              <w:left w:val="nil"/>
              <w:bottom w:val="single" w:color="auto" w:sz="8" w:space="0"/>
              <w:right w:val="nil"/>
            </w:tcBorders>
            <w:vAlign w:val="bottom"/>
          </w:tcPr>
          <w:p>
            <w:pPr>
              <w:jc w:val="left"/>
              <w:rPr>
                <w:sz w:val="2"/>
                <w:highlight w:val="none"/>
              </w:rPr>
            </w:pPr>
          </w:p>
        </w:tc>
        <w:tc>
          <w:tcPr>
            <w:tcW w:w="680" w:type="dxa"/>
            <w:tcBorders>
              <w:top w:val="nil"/>
              <w:left w:val="nil"/>
              <w:bottom w:val="single" w:color="auto" w:sz="8" w:space="0"/>
              <w:right w:val="nil"/>
            </w:tcBorders>
            <w:vAlign w:val="bottom"/>
          </w:tcPr>
          <w:p>
            <w:pPr>
              <w:jc w:val="left"/>
              <w:rPr>
                <w:sz w:val="2"/>
                <w:highlight w:val="none"/>
              </w:rPr>
            </w:pPr>
          </w:p>
        </w:tc>
        <w:tc>
          <w:tcPr>
            <w:tcW w:w="140" w:type="dxa"/>
            <w:tcBorders>
              <w:top w:val="nil"/>
              <w:left w:val="nil"/>
              <w:bottom w:val="single" w:color="auto" w:sz="8" w:space="0"/>
              <w:right w:val="nil"/>
            </w:tcBorders>
            <w:vAlign w:val="bottom"/>
          </w:tcPr>
          <w:p>
            <w:pPr>
              <w:jc w:val="left"/>
              <w:rPr>
                <w:sz w:val="2"/>
                <w:highlight w:val="none"/>
              </w:rPr>
            </w:pPr>
          </w:p>
        </w:tc>
        <w:tc>
          <w:tcPr>
            <w:tcW w:w="280" w:type="dxa"/>
            <w:tcBorders>
              <w:top w:val="nil"/>
              <w:left w:val="nil"/>
              <w:bottom w:val="single" w:color="auto" w:sz="8" w:space="0"/>
              <w:right w:val="nil"/>
            </w:tcBorders>
            <w:vAlign w:val="bottom"/>
          </w:tcPr>
          <w:p>
            <w:pPr>
              <w:jc w:val="left"/>
              <w:rPr>
                <w:sz w:val="2"/>
                <w:highlight w:val="none"/>
              </w:rPr>
            </w:pPr>
          </w:p>
        </w:tc>
        <w:tc>
          <w:tcPr>
            <w:tcW w:w="100" w:type="dxa"/>
            <w:tcBorders>
              <w:top w:val="single" w:color="auto" w:sz="8" w:space="0"/>
              <w:left w:val="nil"/>
              <w:bottom w:val="single" w:color="auto" w:sz="8" w:space="0"/>
              <w:right w:val="nil"/>
            </w:tcBorders>
            <w:vAlign w:val="bottom"/>
          </w:tcPr>
          <w:p>
            <w:pPr>
              <w:jc w:val="left"/>
              <w:rPr>
                <w:sz w:val="2"/>
                <w:highlight w:val="none"/>
              </w:rPr>
            </w:pPr>
          </w:p>
        </w:tc>
        <w:tc>
          <w:tcPr>
            <w:tcW w:w="960" w:type="dxa"/>
            <w:tcBorders>
              <w:top w:val="single" w:color="auto" w:sz="8" w:space="0"/>
              <w:left w:val="nil"/>
              <w:bottom w:val="single" w:color="auto" w:sz="8" w:space="0"/>
              <w:right w:val="nil"/>
            </w:tcBorders>
            <w:vAlign w:val="bottom"/>
          </w:tcPr>
          <w:p>
            <w:pPr>
              <w:jc w:val="left"/>
              <w:rPr>
                <w:sz w:val="2"/>
                <w:highlight w:val="none"/>
              </w:rPr>
            </w:pPr>
          </w:p>
        </w:tc>
        <w:tc>
          <w:tcPr>
            <w:tcW w:w="100" w:type="dxa"/>
            <w:tcBorders>
              <w:top w:val="single" w:color="auto" w:sz="8" w:space="0"/>
              <w:left w:val="nil"/>
              <w:bottom w:val="single" w:color="auto" w:sz="8" w:space="0"/>
              <w:right w:val="nil"/>
            </w:tcBorders>
            <w:vAlign w:val="bottom"/>
          </w:tcPr>
          <w:p>
            <w:pPr>
              <w:jc w:val="left"/>
              <w:rPr>
                <w:sz w:val="2"/>
                <w:highlight w:val="none"/>
              </w:rPr>
            </w:pPr>
          </w:p>
        </w:tc>
        <w:tc>
          <w:tcPr>
            <w:tcW w:w="240" w:type="dxa"/>
            <w:tcBorders>
              <w:top w:val="nil"/>
              <w:left w:val="nil"/>
              <w:bottom w:val="single" w:color="auto" w:sz="8" w:space="0"/>
              <w:right w:val="single" w:color="auto" w:sz="8" w:space="0"/>
            </w:tcBorders>
            <w:vAlign w:val="bottom"/>
          </w:tcPr>
          <w:p>
            <w:pPr>
              <w:jc w:val="left"/>
              <w:rPr>
                <w:sz w:val="2"/>
                <w:highlight w:val="none"/>
              </w:rPr>
            </w:pPr>
          </w:p>
        </w:tc>
      </w:tr>
      <w:tr>
        <w:tblPrEx>
          <w:tblCellMar>
            <w:top w:w="0" w:type="dxa"/>
            <w:left w:w="0" w:type="dxa"/>
            <w:bottom w:w="0" w:type="dxa"/>
            <w:right w:w="0" w:type="dxa"/>
          </w:tblCellMar>
        </w:tblPrEx>
        <w:trPr>
          <w:trHeight w:val="721" w:hRule="atLeast"/>
          <w:jc w:val="center"/>
        </w:trPr>
        <w:tc>
          <w:tcPr>
            <w:tcW w:w="600" w:type="dxa"/>
            <w:tcBorders>
              <w:top w:val="nil"/>
              <w:left w:val="single" w:color="auto" w:sz="8" w:space="0"/>
              <w:bottom w:val="nil"/>
              <w:right w:val="nil"/>
            </w:tcBorders>
            <w:vAlign w:val="bottom"/>
          </w:tcPr>
          <w:p>
            <w:pPr>
              <w:jc w:val="left"/>
              <w:rPr>
                <w:sz w:val="24"/>
                <w:highlight w:val="none"/>
              </w:rPr>
            </w:pPr>
          </w:p>
        </w:tc>
        <w:tc>
          <w:tcPr>
            <w:tcW w:w="640" w:type="dxa"/>
            <w:tcBorders>
              <w:top w:val="nil"/>
              <w:left w:val="nil"/>
              <w:bottom w:val="nil"/>
              <w:right w:val="nil"/>
            </w:tcBorders>
            <w:vAlign w:val="bottom"/>
          </w:tcPr>
          <w:p>
            <w:pPr>
              <w:ind w:right="74"/>
              <w:jc w:val="right"/>
              <w:rPr>
                <w:sz w:val="24"/>
                <w:highlight w:val="none"/>
              </w:rPr>
            </w:pPr>
            <w:r>
              <w:rPr>
                <w:rFonts w:hint="eastAsia" w:ascii="宋体" w:hAnsi="宋体"/>
                <w:highlight w:val="none"/>
              </w:rPr>
              <w:t>备</w:t>
            </w:r>
          </w:p>
        </w:tc>
        <w:tc>
          <w:tcPr>
            <w:tcW w:w="60" w:type="dxa"/>
            <w:tcBorders>
              <w:top w:val="nil"/>
              <w:left w:val="nil"/>
              <w:bottom w:val="nil"/>
              <w:right w:val="nil"/>
            </w:tcBorders>
            <w:vAlign w:val="bottom"/>
          </w:tcPr>
          <w:p>
            <w:pPr>
              <w:jc w:val="left"/>
              <w:rPr>
                <w:sz w:val="24"/>
                <w:highlight w:val="none"/>
              </w:rPr>
            </w:pPr>
          </w:p>
        </w:tc>
        <w:tc>
          <w:tcPr>
            <w:tcW w:w="740" w:type="dxa"/>
            <w:tcBorders>
              <w:top w:val="nil"/>
              <w:left w:val="nil"/>
              <w:bottom w:val="nil"/>
              <w:right w:val="nil"/>
            </w:tcBorders>
            <w:vAlign w:val="bottom"/>
          </w:tcPr>
          <w:p>
            <w:pPr>
              <w:ind w:left="280"/>
              <w:jc w:val="left"/>
              <w:rPr>
                <w:sz w:val="24"/>
                <w:highlight w:val="none"/>
              </w:rPr>
            </w:pPr>
            <w:r>
              <w:rPr>
                <w:rFonts w:hint="eastAsia" w:ascii="宋体" w:hAnsi="宋体"/>
                <w:highlight w:val="none"/>
              </w:rPr>
              <w:t>注</w:t>
            </w:r>
          </w:p>
        </w:tc>
        <w:tc>
          <w:tcPr>
            <w:tcW w:w="600" w:type="dxa"/>
            <w:tcBorders>
              <w:top w:val="nil"/>
              <w:left w:val="nil"/>
              <w:bottom w:val="nil"/>
              <w:right w:val="single" w:color="auto" w:sz="8" w:space="0"/>
            </w:tcBorders>
            <w:vAlign w:val="bottom"/>
          </w:tcPr>
          <w:p>
            <w:pPr>
              <w:jc w:val="left"/>
              <w:rPr>
                <w:sz w:val="24"/>
                <w:highlight w:val="none"/>
              </w:rPr>
            </w:pPr>
          </w:p>
        </w:tc>
        <w:tc>
          <w:tcPr>
            <w:tcW w:w="120" w:type="dxa"/>
            <w:tcBorders>
              <w:top w:val="nil"/>
              <w:left w:val="nil"/>
              <w:bottom w:val="nil"/>
              <w:right w:val="nil"/>
            </w:tcBorders>
            <w:vAlign w:val="bottom"/>
          </w:tcPr>
          <w:p>
            <w:pPr>
              <w:jc w:val="left"/>
              <w:rPr>
                <w:sz w:val="24"/>
                <w:highlight w:val="none"/>
              </w:rPr>
            </w:pPr>
          </w:p>
        </w:tc>
        <w:tc>
          <w:tcPr>
            <w:tcW w:w="500" w:type="dxa"/>
            <w:tcBorders>
              <w:top w:val="nil"/>
              <w:left w:val="nil"/>
              <w:bottom w:val="nil"/>
              <w:right w:val="nil"/>
            </w:tcBorders>
            <w:vAlign w:val="bottom"/>
          </w:tcPr>
          <w:p>
            <w:pPr>
              <w:jc w:val="left"/>
              <w:rPr>
                <w:sz w:val="24"/>
                <w:highlight w:val="none"/>
              </w:rPr>
            </w:pPr>
          </w:p>
        </w:tc>
        <w:tc>
          <w:tcPr>
            <w:tcW w:w="560" w:type="dxa"/>
            <w:tcBorders>
              <w:top w:val="nil"/>
              <w:left w:val="nil"/>
              <w:bottom w:val="nil"/>
              <w:right w:val="nil"/>
            </w:tcBorders>
            <w:vAlign w:val="bottom"/>
          </w:tcPr>
          <w:p>
            <w:pPr>
              <w:jc w:val="left"/>
              <w:rPr>
                <w:sz w:val="24"/>
                <w:highlight w:val="none"/>
              </w:rPr>
            </w:pPr>
          </w:p>
        </w:tc>
        <w:tc>
          <w:tcPr>
            <w:tcW w:w="660" w:type="dxa"/>
            <w:tcBorders>
              <w:top w:val="nil"/>
              <w:left w:val="nil"/>
              <w:bottom w:val="nil"/>
              <w:right w:val="nil"/>
            </w:tcBorders>
            <w:vAlign w:val="bottom"/>
          </w:tcPr>
          <w:p>
            <w:pPr>
              <w:jc w:val="left"/>
              <w:rPr>
                <w:sz w:val="24"/>
                <w:highlight w:val="none"/>
              </w:rPr>
            </w:pPr>
          </w:p>
        </w:tc>
        <w:tc>
          <w:tcPr>
            <w:tcW w:w="260" w:type="dxa"/>
            <w:tcBorders>
              <w:top w:val="nil"/>
              <w:left w:val="nil"/>
              <w:bottom w:val="nil"/>
              <w:right w:val="nil"/>
            </w:tcBorders>
            <w:vAlign w:val="bottom"/>
          </w:tcPr>
          <w:p>
            <w:pPr>
              <w:jc w:val="left"/>
              <w:rPr>
                <w:sz w:val="24"/>
                <w:highlight w:val="none"/>
              </w:rPr>
            </w:pPr>
          </w:p>
        </w:tc>
        <w:tc>
          <w:tcPr>
            <w:tcW w:w="460" w:type="dxa"/>
            <w:tcBorders>
              <w:top w:val="nil"/>
              <w:left w:val="nil"/>
              <w:bottom w:val="nil"/>
              <w:right w:val="nil"/>
            </w:tcBorders>
            <w:vAlign w:val="bottom"/>
          </w:tcPr>
          <w:p>
            <w:pPr>
              <w:jc w:val="left"/>
              <w:rPr>
                <w:sz w:val="24"/>
                <w:highlight w:val="none"/>
              </w:rPr>
            </w:pPr>
          </w:p>
        </w:tc>
        <w:tc>
          <w:tcPr>
            <w:tcW w:w="340" w:type="dxa"/>
            <w:tcBorders>
              <w:top w:val="nil"/>
              <w:left w:val="nil"/>
              <w:bottom w:val="nil"/>
              <w:right w:val="nil"/>
            </w:tcBorders>
            <w:vAlign w:val="bottom"/>
          </w:tcPr>
          <w:p>
            <w:pPr>
              <w:jc w:val="left"/>
              <w:rPr>
                <w:sz w:val="24"/>
                <w:highlight w:val="none"/>
              </w:rPr>
            </w:pPr>
          </w:p>
        </w:tc>
        <w:tc>
          <w:tcPr>
            <w:tcW w:w="440" w:type="dxa"/>
            <w:tcBorders>
              <w:top w:val="nil"/>
              <w:left w:val="nil"/>
              <w:bottom w:val="nil"/>
              <w:right w:val="nil"/>
            </w:tcBorders>
            <w:vAlign w:val="bottom"/>
          </w:tcPr>
          <w:p>
            <w:pPr>
              <w:jc w:val="left"/>
              <w:rPr>
                <w:sz w:val="24"/>
                <w:highlight w:val="none"/>
              </w:rPr>
            </w:pPr>
          </w:p>
        </w:tc>
        <w:tc>
          <w:tcPr>
            <w:tcW w:w="280" w:type="dxa"/>
            <w:tcBorders>
              <w:top w:val="nil"/>
              <w:left w:val="nil"/>
              <w:bottom w:val="nil"/>
              <w:right w:val="nil"/>
            </w:tcBorders>
            <w:vAlign w:val="bottom"/>
          </w:tcPr>
          <w:p>
            <w:pPr>
              <w:jc w:val="left"/>
              <w:rPr>
                <w:sz w:val="24"/>
                <w:highlight w:val="none"/>
              </w:rPr>
            </w:pPr>
          </w:p>
        </w:tc>
        <w:tc>
          <w:tcPr>
            <w:tcW w:w="680" w:type="dxa"/>
            <w:tcBorders>
              <w:top w:val="nil"/>
              <w:left w:val="nil"/>
              <w:bottom w:val="nil"/>
              <w:right w:val="nil"/>
            </w:tcBorders>
            <w:vAlign w:val="bottom"/>
          </w:tcPr>
          <w:p>
            <w:pPr>
              <w:jc w:val="left"/>
              <w:rPr>
                <w:sz w:val="24"/>
                <w:highlight w:val="none"/>
              </w:rPr>
            </w:pPr>
          </w:p>
        </w:tc>
        <w:tc>
          <w:tcPr>
            <w:tcW w:w="140" w:type="dxa"/>
            <w:tcBorders>
              <w:top w:val="nil"/>
              <w:left w:val="nil"/>
              <w:bottom w:val="nil"/>
              <w:right w:val="nil"/>
            </w:tcBorders>
            <w:vAlign w:val="bottom"/>
          </w:tcPr>
          <w:p>
            <w:pPr>
              <w:jc w:val="left"/>
              <w:rPr>
                <w:sz w:val="24"/>
                <w:highlight w:val="none"/>
              </w:rPr>
            </w:pPr>
          </w:p>
        </w:tc>
        <w:tc>
          <w:tcPr>
            <w:tcW w:w="28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960" w:type="dxa"/>
            <w:tcBorders>
              <w:top w:val="nil"/>
              <w:left w:val="nil"/>
              <w:bottom w:val="nil"/>
              <w:right w:val="nil"/>
            </w:tcBorders>
            <w:vAlign w:val="bottom"/>
          </w:tcPr>
          <w:p>
            <w:pPr>
              <w:jc w:val="left"/>
              <w:rPr>
                <w:sz w:val="24"/>
                <w:highlight w:val="none"/>
              </w:rPr>
            </w:pPr>
          </w:p>
        </w:tc>
        <w:tc>
          <w:tcPr>
            <w:tcW w:w="100" w:type="dxa"/>
            <w:tcBorders>
              <w:top w:val="nil"/>
              <w:left w:val="nil"/>
              <w:bottom w:val="nil"/>
              <w:right w:val="nil"/>
            </w:tcBorders>
            <w:vAlign w:val="bottom"/>
          </w:tcPr>
          <w:p>
            <w:pPr>
              <w:jc w:val="left"/>
              <w:rPr>
                <w:sz w:val="24"/>
                <w:highlight w:val="none"/>
              </w:rPr>
            </w:pPr>
          </w:p>
        </w:tc>
        <w:tc>
          <w:tcPr>
            <w:tcW w:w="240" w:type="dxa"/>
            <w:tcBorders>
              <w:top w:val="nil"/>
              <w:left w:val="nil"/>
              <w:bottom w:val="nil"/>
              <w:right w:val="single" w:color="auto" w:sz="8" w:space="0"/>
            </w:tcBorders>
            <w:vAlign w:val="bottom"/>
          </w:tcPr>
          <w:p>
            <w:pPr>
              <w:jc w:val="left"/>
              <w:rPr>
                <w:sz w:val="24"/>
                <w:highlight w:val="none"/>
              </w:rPr>
            </w:pPr>
          </w:p>
        </w:tc>
      </w:tr>
      <w:tr>
        <w:tblPrEx>
          <w:tblCellMar>
            <w:top w:w="0" w:type="dxa"/>
            <w:left w:w="0" w:type="dxa"/>
            <w:bottom w:w="0" w:type="dxa"/>
            <w:right w:w="0" w:type="dxa"/>
          </w:tblCellMar>
        </w:tblPrEx>
        <w:trPr>
          <w:trHeight w:val="404" w:hRule="atLeast"/>
          <w:jc w:val="center"/>
        </w:trPr>
        <w:tc>
          <w:tcPr>
            <w:tcW w:w="600" w:type="dxa"/>
            <w:tcBorders>
              <w:top w:val="nil"/>
              <w:left w:val="single" w:color="auto" w:sz="8" w:space="0"/>
              <w:bottom w:val="single" w:color="auto" w:sz="8" w:space="0"/>
              <w:right w:val="nil"/>
            </w:tcBorders>
            <w:vAlign w:val="bottom"/>
          </w:tcPr>
          <w:p>
            <w:pPr>
              <w:jc w:val="left"/>
              <w:rPr>
                <w:sz w:val="24"/>
                <w:highlight w:val="none"/>
              </w:rPr>
            </w:pPr>
          </w:p>
        </w:tc>
        <w:tc>
          <w:tcPr>
            <w:tcW w:w="640" w:type="dxa"/>
            <w:tcBorders>
              <w:top w:val="nil"/>
              <w:left w:val="nil"/>
              <w:bottom w:val="single" w:color="auto" w:sz="8" w:space="0"/>
              <w:right w:val="nil"/>
            </w:tcBorders>
            <w:vAlign w:val="bottom"/>
          </w:tcPr>
          <w:p>
            <w:pPr>
              <w:jc w:val="left"/>
              <w:rPr>
                <w:sz w:val="24"/>
                <w:highlight w:val="none"/>
              </w:rPr>
            </w:pPr>
          </w:p>
        </w:tc>
        <w:tc>
          <w:tcPr>
            <w:tcW w:w="60" w:type="dxa"/>
            <w:tcBorders>
              <w:top w:val="nil"/>
              <w:left w:val="nil"/>
              <w:bottom w:val="single" w:color="auto" w:sz="8" w:space="0"/>
              <w:right w:val="nil"/>
            </w:tcBorders>
            <w:vAlign w:val="bottom"/>
          </w:tcPr>
          <w:p>
            <w:pPr>
              <w:jc w:val="left"/>
              <w:rPr>
                <w:sz w:val="24"/>
                <w:highlight w:val="none"/>
              </w:rPr>
            </w:pPr>
          </w:p>
        </w:tc>
        <w:tc>
          <w:tcPr>
            <w:tcW w:w="740" w:type="dxa"/>
            <w:tcBorders>
              <w:top w:val="nil"/>
              <w:left w:val="nil"/>
              <w:bottom w:val="single" w:color="auto" w:sz="8" w:space="0"/>
              <w:right w:val="nil"/>
            </w:tcBorders>
            <w:vAlign w:val="bottom"/>
          </w:tcPr>
          <w:p>
            <w:pPr>
              <w:jc w:val="left"/>
              <w:rPr>
                <w:sz w:val="24"/>
                <w:highlight w:val="none"/>
              </w:rPr>
            </w:pPr>
          </w:p>
        </w:tc>
        <w:tc>
          <w:tcPr>
            <w:tcW w:w="600" w:type="dxa"/>
            <w:tcBorders>
              <w:top w:val="nil"/>
              <w:left w:val="nil"/>
              <w:bottom w:val="single" w:color="auto" w:sz="8" w:space="0"/>
              <w:right w:val="single" w:color="auto" w:sz="8" w:space="0"/>
            </w:tcBorders>
            <w:vAlign w:val="bottom"/>
          </w:tcPr>
          <w:p>
            <w:pPr>
              <w:jc w:val="left"/>
              <w:rPr>
                <w:sz w:val="24"/>
                <w:highlight w:val="none"/>
              </w:rPr>
            </w:pPr>
          </w:p>
        </w:tc>
        <w:tc>
          <w:tcPr>
            <w:tcW w:w="120" w:type="dxa"/>
            <w:tcBorders>
              <w:top w:val="nil"/>
              <w:left w:val="nil"/>
              <w:bottom w:val="single" w:color="auto" w:sz="8" w:space="0"/>
              <w:right w:val="nil"/>
            </w:tcBorders>
            <w:vAlign w:val="bottom"/>
          </w:tcPr>
          <w:p>
            <w:pPr>
              <w:jc w:val="left"/>
              <w:rPr>
                <w:sz w:val="24"/>
                <w:highlight w:val="none"/>
              </w:rPr>
            </w:pPr>
          </w:p>
        </w:tc>
        <w:tc>
          <w:tcPr>
            <w:tcW w:w="500" w:type="dxa"/>
            <w:tcBorders>
              <w:top w:val="nil"/>
              <w:left w:val="nil"/>
              <w:bottom w:val="single" w:color="auto" w:sz="8" w:space="0"/>
              <w:right w:val="nil"/>
            </w:tcBorders>
            <w:vAlign w:val="bottom"/>
          </w:tcPr>
          <w:p>
            <w:pPr>
              <w:jc w:val="left"/>
              <w:rPr>
                <w:sz w:val="24"/>
                <w:highlight w:val="none"/>
              </w:rPr>
            </w:pPr>
          </w:p>
        </w:tc>
        <w:tc>
          <w:tcPr>
            <w:tcW w:w="560" w:type="dxa"/>
            <w:tcBorders>
              <w:top w:val="nil"/>
              <w:left w:val="nil"/>
              <w:bottom w:val="single" w:color="auto" w:sz="8" w:space="0"/>
              <w:right w:val="nil"/>
            </w:tcBorders>
            <w:vAlign w:val="bottom"/>
          </w:tcPr>
          <w:p>
            <w:pPr>
              <w:jc w:val="left"/>
              <w:rPr>
                <w:sz w:val="24"/>
                <w:highlight w:val="none"/>
              </w:rPr>
            </w:pPr>
          </w:p>
        </w:tc>
        <w:tc>
          <w:tcPr>
            <w:tcW w:w="660" w:type="dxa"/>
            <w:tcBorders>
              <w:top w:val="nil"/>
              <w:left w:val="nil"/>
              <w:bottom w:val="single" w:color="auto" w:sz="8" w:space="0"/>
              <w:right w:val="nil"/>
            </w:tcBorders>
            <w:vAlign w:val="bottom"/>
          </w:tcPr>
          <w:p>
            <w:pPr>
              <w:jc w:val="left"/>
              <w:rPr>
                <w:sz w:val="24"/>
                <w:highlight w:val="none"/>
              </w:rPr>
            </w:pPr>
          </w:p>
        </w:tc>
        <w:tc>
          <w:tcPr>
            <w:tcW w:w="260" w:type="dxa"/>
            <w:tcBorders>
              <w:top w:val="nil"/>
              <w:left w:val="nil"/>
              <w:bottom w:val="single" w:color="auto" w:sz="8" w:space="0"/>
              <w:right w:val="nil"/>
            </w:tcBorders>
            <w:vAlign w:val="bottom"/>
          </w:tcPr>
          <w:p>
            <w:pPr>
              <w:jc w:val="left"/>
              <w:rPr>
                <w:sz w:val="24"/>
                <w:highlight w:val="none"/>
              </w:rPr>
            </w:pPr>
          </w:p>
        </w:tc>
        <w:tc>
          <w:tcPr>
            <w:tcW w:w="460" w:type="dxa"/>
            <w:tcBorders>
              <w:top w:val="nil"/>
              <w:left w:val="nil"/>
              <w:bottom w:val="single" w:color="auto" w:sz="8" w:space="0"/>
              <w:right w:val="nil"/>
            </w:tcBorders>
            <w:vAlign w:val="bottom"/>
          </w:tcPr>
          <w:p>
            <w:pPr>
              <w:jc w:val="left"/>
              <w:rPr>
                <w:sz w:val="24"/>
                <w:highlight w:val="none"/>
              </w:rPr>
            </w:pPr>
          </w:p>
        </w:tc>
        <w:tc>
          <w:tcPr>
            <w:tcW w:w="340" w:type="dxa"/>
            <w:tcBorders>
              <w:top w:val="nil"/>
              <w:left w:val="nil"/>
              <w:bottom w:val="single" w:color="auto" w:sz="8" w:space="0"/>
              <w:right w:val="nil"/>
            </w:tcBorders>
            <w:vAlign w:val="bottom"/>
          </w:tcPr>
          <w:p>
            <w:pPr>
              <w:jc w:val="left"/>
              <w:rPr>
                <w:sz w:val="24"/>
                <w:highlight w:val="none"/>
              </w:rPr>
            </w:pPr>
          </w:p>
        </w:tc>
        <w:tc>
          <w:tcPr>
            <w:tcW w:w="4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680" w:type="dxa"/>
            <w:tcBorders>
              <w:top w:val="nil"/>
              <w:left w:val="nil"/>
              <w:bottom w:val="single" w:color="auto" w:sz="8" w:space="0"/>
              <w:right w:val="nil"/>
            </w:tcBorders>
            <w:vAlign w:val="bottom"/>
          </w:tcPr>
          <w:p>
            <w:pPr>
              <w:jc w:val="left"/>
              <w:rPr>
                <w:sz w:val="24"/>
                <w:highlight w:val="none"/>
              </w:rPr>
            </w:pPr>
          </w:p>
        </w:tc>
        <w:tc>
          <w:tcPr>
            <w:tcW w:w="140" w:type="dxa"/>
            <w:tcBorders>
              <w:top w:val="nil"/>
              <w:left w:val="nil"/>
              <w:bottom w:val="single" w:color="auto" w:sz="8" w:space="0"/>
              <w:right w:val="nil"/>
            </w:tcBorders>
            <w:vAlign w:val="bottom"/>
          </w:tcPr>
          <w:p>
            <w:pPr>
              <w:jc w:val="left"/>
              <w:rPr>
                <w:sz w:val="24"/>
                <w:highlight w:val="none"/>
              </w:rPr>
            </w:pPr>
          </w:p>
        </w:tc>
        <w:tc>
          <w:tcPr>
            <w:tcW w:w="28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nil"/>
            </w:tcBorders>
            <w:vAlign w:val="bottom"/>
          </w:tcPr>
          <w:p>
            <w:pPr>
              <w:jc w:val="left"/>
              <w:rPr>
                <w:sz w:val="24"/>
                <w:highlight w:val="none"/>
              </w:rPr>
            </w:pPr>
          </w:p>
        </w:tc>
        <w:tc>
          <w:tcPr>
            <w:tcW w:w="960" w:type="dxa"/>
            <w:tcBorders>
              <w:top w:val="nil"/>
              <w:left w:val="nil"/>
              <w:bottom w:val="single" w:color="auto" w:sz="8" w:space="0"/>
              <w:right w:val="nil"/>
            </w:tcBorders>
            <w:vAlign w:val="bottom"/>
          </w:tcPr>
          <w:p>
            <w:pPr>
              <w:jc w:val="left"/>
              <w:rPr>
                <w:sz w:val="24"/>
                <w:highlight w:val="none"/>
              </w:rPr>
            </w:pPr>
          </w:p>
        </w:tc>
        <w:tc>
          <w:tcPr>
            <w:tcW w:w="100" w:type="dxa"/>
            <w:tcBorders>
              <w:top w:val="nil"/>
              <w:left w:val="nil"/>
              <w:bottom w:val="single" w:color="auto" w:sz="8" w:space="0"/>
              <w:right w:val="nil"/>
            </w:tcBorders>
            <w:vAlign w:val="bottom"/>
          </w:tcPr>
          <w:p>
            <w:pPr>
              <w:jc w:val="left"/>
              <w:rPr>
                <w:sz w:val="24"/>
                <w:highlight w:val="none"/>
              </w:rPr>
            </w:pPr>
          </w:p>
        </w:tc>
        <w:tc>
          <w:tcPr>
            <w:tcW w:w="240" w:type="dxa"/>
            <w:tcBorders>
              <w:top w:val="nil"/>
              <w:left w:val="nil"/>
              <w:bottom w:val="single" w:color="auto" w:sz="8" w:space="0"/>
              <w:right w:val="single" w:color="auto" w:sz="8" w:space="0"/>
            </w:tcBorders>
            <w:vAlign w:val="bottom"/>
          </w:tcPr>
          <w:p>
            <w:pPr>
              <w:jc w:val="left"/>
              <w:rPr>
                <w:sz w:val="24"/>
                <w:highlight w:val="none"/>
              </w:rPr>
            </w:pPr>
          </w:p>
        </w:tc>
      </w:tr>
    </w:tbl>
    <w:p>
      <w:pPr>
        <w:spacing w:line="127" w:lineRule="exact"/>
        <w:jc w:val="left"/>
        <w:rPr>
          <w:sz w:val="24"/>
          <w:highlight w:val="none"/>
        </w:rPr>
      </w:pPr>
    </w:p>
    <w:p>
      <w:pPr>
        <w:spacing w:before="312" w:beforeLines="100" w:after="312" w:afterLines="100" w:line="360" w:lineRule="auto"/>
        <w:jc w:val="left"/>
        <w:outlineLvl w:val="2"/>
        <w:rPr>
          <w:rFonts w:ascii="宋体" w:hAnsi="宋体"/>
          <w:sz w:val="24"/>
          <w:highlight w:val="none"/>
        </w:rPr>
      </w:pPr>
      <w:r>
        <w:rPr>
          <w:rFonts w:hint="eastAsia" w:ascii="宋体" w:hAnsi="宋体"/>
          <w:highlight w:val="none"/>
        </w:rPr>
        <w:t>注：“拟委任的项目负责人资历表”应附项目负责人的身份证及询价文件要求的相关证书，以及报价人所属社保机构出具的拟委任的项目负责人近一年内连续三个月以上的社保缴费证明或其他能够证明拟委任的项目负责人参加社保的有效证明材料复印件。（社保证明材料的社保缴纳单位名称需与报价人单位名称一致）。</w:t>
      </w:r>
    </w:p>
    <w:p>
      <w:pPr>
        <w:spacing w:before="312" w:beforeLines="100" w:after="312" w:afterLines="100" w:line="360" w:lineRule="auto"/>
        <w:jc w:val="center"/>
        <w:outlineLvl w:val="2"/>
        <w:rPr>
          <w:rFonts w:hint="eastAsia" w:eastAsia="黑体"/>
          <w:bCs/>
          <w:sz w:val="30"/>
          <w:szCs w:val="30"/>
          <w:highlight w:val="none"/>
        </w:rPr>
      </w:pPr>
    </w:p>
    <w:p>
      <w:pPr>
        <w:spacing w:before="312" w:beforeLines="100" w:after="312" w:afterLines="100" w:line="360" w:lineRule="auto"/>
        <w:jc w:val="center"/>
        <w:outlineLvl w:val="2"/>
        <w:rPr>
          <w:rFonts w:ascii="Times New Roman" w:hAnsi="Times New Roman" w:eastAsia="黑体"/>
          <w:bCs/>
          <w:sz w:val="30"/>
          <w:szCs w:val="30"/>
          <w:highlight w:val="none"/>
        </w:rPr>
      </w:pPr>
      <w:r>
        <w:rPr>
          <w:rFonts w:hint="eastAsia" w:eastAsia="黑体"/>
          <w:bCs/>
          <w:sz w:val="30"/>
          <w:szCs w:val="30"/>
          <w:highlight w:val="none"/>
        </w:rPr>
        <w:t>其它资料</w:t>
      </w:r>
    </w:p>
    <w:p>
      <w:pPr>
        <w:rPr>
          <w:rFonts w:ascii="宋体" w:hAnsi="宋体" w:eastAsia="宋体"/>
          <w:sz w:val="24"/>
          <w:szCs w:val="24"/>
          <w:highlight w:val="none"/>
        </w:rPr>
      </w:pPr>
    </w:p>
    <w:p>
      <w:pPr>
        <w:ind w:firstLine="480" w:firstLineChars="200"/>
        <w:rPr>
          <w:rFonts w:ascii="宋体" w:hAnsi="宋体"/>
          <w:sz w:val="24"/>
          <w:highlight w:val="none"/>
        </w:rPr>
      </w:pPr>
      <w:r>
        <w:rPr>
          <w:rFonts w:hint="eastAsia" w:ascii="宋体" w:hAnsi="宋体"/>
          <w:sz w:val="24"/>
          <w:highlight w:val="none"/>
        </w:rPr>
        <w:t>营业执照</w:t>
      </w:r>
      <w:r>
        <w:rPr>
          <w:rFonts w:hint="eastAsia" w:ascii="宋体" w:hAnsi="宋体"/>
          <w:sz w:val="24"/>
          <w:highlight w:val="none"/>
          <w:lang w:val="en-US" w:eastAsia="zh-CN"/>
        </w:rPr>
        <w:t>、</w:t>
      </w:r>
      <w:r>
        <w:rPr>
          <w:rFonts w:hint="eastAsia" w:ascii="宋体" w:hAnsi="宋体"/>
          <w:sz w:val="24"/>
          <w:highlight w:val="none"/>
        </w:rPr>
        <w:t>业绩证明材料等</w:t>
      </w:r>
    </w:p>
    <w:p>
      <w:pPr>
        <w:rPr>
          <w:rFonts w:ascii="宋体" w:hAnsi="宋体"/>
          <w:sz w:val="24"/>
          <w:highlight w:val="none"/>
        </w:rPr>
      </w:pPr>
    </w:p>
    <w:p>
      <w:pPr>
        <w:rPr>
          <w:rFonts w:ascii="宋体" w:hAnsi="宋体"/>
          <w:sz w:val="22"/>
          <w:highlight w:val="none"/>
        </w:rPr>
      </w:pPr>
    </w:p>
    <w:p>
      <w:pPr>
        <w:rPr>
          <w:rFonts w:ascii="宋体" w:hAnsi="宋体"/>
          <w:sz w:val="22"/>
          <w:highlight w:val="none"/>
        </w:rPr>
      </w:pPr>
    </w:p>
    <w:p>
      <w:pPr>
        <w:ind w:firstLine="480" w:firstLineChars="200"/>
        <w:rPr>
          <w:rFonts w:ascii="宋体" w:hAnsi="宋体"/>
          <w:sz w:val="24"/>
          <w:highlight w:val="none"/>
        </w:rPr>
      </w:pPr>
      <w:r>
        <w:rPr>
          <w:rFonts w:hint="eastAsia" w:ascii="宋体" w:hAnsi="宋体"/>
          <w:sz w:val="24"/>
          <w:highlight w:val="none"/>
        </w:rPr>
        <w:t>注：1、营业执照</w:t>
      </w:r>
      <w:r>
        <w:rPr>
          <w:rFonts w:hint="eastAsia" w:ascii="宋体" w:hAnsi="宋体"/>
          <w:sz w:val="24"/>
          <w:highlight w:val="none"/>
          <w:lang w:val="en-US" w:eastAsia="zh-CN"/>
        </w:rPr>
        <w:t>等</w:t>
      </w:r>
      <w:r>
        <w:rPr>
          <w:rFonts w:hint="eastAsia" w:ascii="宋体" w:hAnsi="宋体"/>
          <w:sz w:val="24"/>
          <w:highlight w:val="none"/>
        </w:rPr>
        <w:t>提供复印件，并加盖公章；</w:t>
      </w:r>
    </w:p>
    <w:p>
      <w:pPr>
        <w:ind w:firstLine="960" w:firstLineChars="400"/>
        <w:rPr>
          <w:rFonts w:ascii="宋体" w:hAnsi="宋体"/>
          <w:sz w:val="24"/>
          <w:highlight w:val="none"/>
        </w:rPr>
      </w:pPr>
      <w:r>
        <w:rPr>
          <w:rFonts w:hint="eastAsia" w:ascii="宋体" w:hAnsi="宋体"/>
          <w:sz w:val="24"/>
          <w:highlight w:val="none"/>
        </w:rPr>
        <w:t>2、业绩证明材料提供合同扫描件，并逐页加盖公章。</w:t>
      </w:r>
    </w:p>
    <w:p>
      <w:pPr>
        <w:rPr>
          <w:rFonts w:ascii="宋体" w:hAnsi="宋体"/>
          <w:sz w:val="22"/>
          <w:highlight w:val="none"/>
        </w:rPr>
      </w:pPr>
    </w:p>
    <w:p>
      <w:pPr>
        <w:rPr>
          <w:rFonts w:ascii="宋体" w:hAnsi="宋体"/>
          <w:sz w:val="22"/>
          <w:highlight w:val="none"/>
        </w:rPr>
      </w:pPr>
    </w:p>
    <w:p>
      <w:pPr>
        <w:rPr>
          <w:rFonts w:ascii="宋体" w:hAnsi="宋体"/>
          <w:sz w:val="22"/>
          <w:highlight w:val="none"/>
        </w:rPr>
      </w:pPr>
    </w:p>
    <w:p>
      <w:pPr>
        <w:widowControl/>
        <w:spacing w:line="420" w:lineRule="atLeast"/>
        <w:jc w:val="left"/>
        <w:rPr>
          <w:rFonts w:ascii="微软雅黑" w:hAnsi="微软雅黑" w:eastAsia="微软雅黑" w:cs="宋体"/>
          <w:kern w:val="0"/>
          <w:sz w:val="24"/>
          <w:szCs w:val="24"/>
          <w:highlight w:val="none"/>
        </w:rPr>
      </w:pPr>
    </w:p>
    <w:p>
      <w:pPr>
        <w:pStyle w:val="13"/>
        <w:rPr>
          <w:rFonts w:ascii="微软雅黑" w:hAnsi="微软雅黑" w:eastAsia="微软雅黑" w:cs="宋体"/>
          <w:highlight w:val="none"/>
        </w:rPr>
      </w:pPr>
    </w:p>
    <w:p>
      <w:pPr>
        <w:pStyle w:val="13"/>
        <w:rPr>
          <w:rFonts w:ascii="微软雅黑" w:hAnsi="微软雅黑" w:eastAsia="微软雅黑" w:cs="宋体"/>
          <w:highlight w:val="none"/>
        </w:rPr>
      </w:pPr>
    </w:p>
    <w:p>
      <w:pPr>
        <w:pStyle w:val="13"/>
        <w:rPr>
          <w:rFonts w:ascii="微软雅黑" w:hAnsi="微软雅黑" w:eastAsia="微软雅黑" w:cs="宋体"/>
          <w:highlight w:val="none"/>
        </w:rPr>
      </w:pPr>
    </w:p>
    <w:p>
      <w:pPr>
        <w:pStyle w:val="13"/>
        <w:rPr>
          <w:rFonts w:ascii="微软雅黑" w:hAnsi="微软雅黑" w:eastAsia="微软雅黑" w:cs="宋体"/>
          <w:highlight w:val="none"/>
        </w:rPr>
      </w:pPr>
    </w:p>
    <w:p>
      <w:pPr>
        <w:pStyle w:val="13"/>
        <w:rPr>
          <w:rFonts w:ascii="微软雅黑" w:hAnsi="微软雅黑" w:eastAsia="微软雅黑" w:cs="宋体"/>
          <w:highlight w:val="none"/>
        </w:rPr>
      </w:pPr>
    </w:p>
    <w:p>
      <w:pPr>
        <w:pStyle w:val="13"/>
        <w:rPr>
          <w:rFonts w:ascii="微软雅黑" w:hAnsi="微软雅黑" w:eastAsia="微软雅黑" w:cs="宋体"/>
          <w:highlight w:val="none"/>
        </w:rPr>
      </w:pPr>
    </w:p>
    <w:p>
      <w:pPr>
        <w:pStyle w:val="13"/>
        <w:rPr>
          <w:rFonts w:ascii="微软雅黑" w:hAnsi="微软雅黑" w:eastAsia="微软雅黑" w:cs="宋体"/>
          <w:highlight w:val="none"/>
        </w:rPr>
      </w:pPr>
    </w:p>
    <w:p>
      <w:pPr>
        <w:pStyle w:val="13"/>
        <w:rPr>
          <w:rFonts w:ascii="微软雅黑" w:hAnsi="微软雅黑" w:eastAsia="微软雅黑" w:cs="宋体"/>
          <w:highlight w:val="none"/>
        </w:rPr>
      </w:pPr>
    </w:p>
    <w:p>
      <w:pPr>
        <w:pStyle w:val="13"/>
        <w:rPr>
          <w:rFonts w:ascii="微软雅黑" w:hAnsi="微软雅黑" w:eastAsia="微软雅黑" w:cs="宋体"/>
          <w:highlight w:val="none"/>
        </w:rPr>
      </w:pPr>
    </w:p>
    <w:p>
      <w:pPr>
        <w:pStyle w:val="13"/>
        <w:rPr>
          <w:rFonts w:ascii="微软雅黑" w:hAnsi="微软雅黑" w:eastAsia="微软雅黑" w:cs="宋体"/>
          <w:highlight w:val="none"/>
        </w:rPr>
      </w:pPr>
    </w:p>
    <w:p>
      <w:pPr>
        <w:pStyle w:val="13"/>
        <w:rPr>
          <w:rFonts w:ascii="微软雅黑" w:hAnsi="微软雅黑" w:eastAsia="微软雅黑" w:cs="宋体"/>
          <w:highlight w:val="none"/>
        </w:rPr>
      </w:pPr>
    </w:p>
    <w:p>
      <w:pPr>
        <w:pStyle w:val="13"/>
        <w:rPr>
          <w:rFonts w:ascii="微软雅黑" w:hAnsi="微软雅黑" w:eastAsia="微软雅黑" w:cs="宋体"/>
          <w:highlight w:val="none"/>
        </w:rPr>
      </w:pPr>
    </w:p>
    <w:p>
      <w:pPr>
        <w:pStyle w:val="13"/>
        <w:rPr>
          <w:rFonts w:ascii="微软雅黑" w:hAnsi="微软雅黑" w:eastAsia="微软雅黑" w:cs="宋体"/>
          <w:highlight w:val="none"/>
        </w:rPr>
      </w:pPr>
    </w:p>
    <w:p>
      <w:pPr>
        <w:widowControl/>
        <w:spacing w:before="156" w:beforeLines="50" w:after="156" w:afterLines="50" w:line="400" w:lineRule="exact"/>
        <w:jc w:val="both"/>
        <w:rPr>
          <w:rFonts w:hint="eastAsia" w:ascii="宋体" w:hAnsi="宋体" w:eastAsia="宋体" w:cs="宋体"/>
          <w:b/>
          <w:bCs/>
          <w:sz w:val="24"/>
          <w:szCs w:val="24"/>
          <w:highlight w:val="none"/>
        </w:rPr>
      </w:pPr>
    </w:p>
    <w:p>
      <w:pPr>
        <w:keepNext w:val="0"/>
        <w:keepLines w:val="0"/>
        <w:pageBreakBefore w:val="0"/>
        <w:widowControl/>
        <w:kinsoku/>
        <w:wordWrap/>
        <w:overflowPunct/>
        <w:topLinePunct w:val="0"/>
        <w:bidi w:val="0"/>
        <w:snapToGrid/>
        <w:spacing w:before="156" w:beforeLines="50" w:after="156" w:afterLines="50" w:line="460" w:lineRule="exact"/>
        <w:jc w:val="center"/>
        <w:rPr>
          <w:rFonts w:ascii="宋体" w:hAnsi="宋体" w:eastAsia="宋体" w:cs="宋体"/>
          <w:b/>
          <w:bCs/>
          <w:sz w:val="24"/>
          <w:szCs w:val="24"/>
          <w:highlight w:val="none"/>
        </w:rPr>
      </w:pPr>
      <w:r>
        <w:rPr>
          <w:rFonts w:hint="eastAsia" w:ascii="宋体" w:hAnsi="宋体" w:eastAsia="宋体" w:cs="宋体"/>
          <w:b/>
          <w:bCs/>
          <w:sz w:val="24"/>
          <w:szCs w:val="24"/>
          <w:highlight w:val="none"/>
        </w:rPr>
        <w:t>合同范本</w:t>
      </w:r>
    </w:p>
    <w:p>
      <w:pPr>
        <w:spacing w:line="470" w:lineRule="exact"/>
        <w:jc w:val="center"/>
        <w:rPr>
          <w:rFonts w:ascii="黑体" w:hAnsi="楷体" w:eastAsia="黑体"/>
          <w:sz w:val="44"/>
          <w:szCs w:val="44"/>
          <w:highlight w:val="none"/>
        </w:rPr>
      </w:pPr>
      <w:r>
        <w:rPr>
          <w:rFonts w:hint="eastAsia" w:ascii="黑体" w:hAnsi="楷体" w:eastAsia="黑体"/>
          <w:sz w:val="44"/>
          <w:szCs w:val="44"/>
          <w:highlight w:val="none"/>
        </w:rPr>
        <w:t>赣州高速公路有限责任公司</w:t>
      </w:r>
    </w:p>
    <w:p>
      <w:pPr>
        <w:spacing w:line="470" w:lineRule="exact"/>
        <w:jc w:val="center"/>
        <w:rPr>
          <w:rFonts w:ascii="黑体" w:hAnsi="楷体" w:eastAsia="黑体"/>
          <w:sz w:val="44"/>
          <w:szCs w:val="44"/>
          <w:highlight w:val="none"/>
        </w:rPr>
      </w:pPr>
      <w:r>
        <w:rPr>
          <w:rFonts w:hint="eastAsia" w:ascii="黑体" w:hAnsi="楷体" w:eastAsia="黑体"/>
          <w:sz w:val="44"/>
          <w:szCs w:val="44"/>
          <w:highlight w:val="none"/>
        </w:rPr>
        <w:t>机关大院绿化日常管养项目绿化管养合同</w:t>
      </w:r>
    </w:p>
    <w:p>
      <w:pPr>
        <w:spacing w:line="470" w:lineRule="exact"/>
        <w:jc w:val="left"/>
        <w:rPr>
          <w:rFonts w:hint="eastAsia" w:eastAsia="仿宋_GB2312"/>
          <w:sz w:val="30"/>
          <w:szCs w:val="30"/>
          <w:highlight w:val="none"/>
        </w:rPr>
      </w:pPr>
    </w:p>
    <w:p>
      <w:pPr>
        <w:spacing w:line="460" w:lineRule="exact"/>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 赣州高速公路有限责任公司</w:t>
      </w:r>
      <w:r>
        <w:rPr>
          <w:rFonts w:hint="eastAsia" w:ascii="仿宋_GB2312" w:hAnsi="仿宋_GB2312" w:eastAsia="仿宋_GB2312" w:cs="仿宋_GB2312"/>
          <w:sz w:val="28"/>
          <w:szCs w:val="28"/>
          <w:highlight w:val="none"/>
        </w:rPr>
        <w:cr/>
      </w:r>
      <w:r>
        <w:rPr>
          <w:rFonts w:hint="eastAsia" w:ascii="仿宋_GB2312" w:hAnsi="仿宋_GB2312" w:eastAsia="仿宋_GB2312" w:cs="仿宋_GB2312"/>
          <w:sz w:val="28"/>
          <w:szCs w:val="28"/>
          <w:highlight w:val="none"/>
        </w:rPr>
        <w:t xml:space="preserve">乙方: </w:t>
      </w:r>
    </w:p>
    <w:p>
      <w:pPr>
        <w:spacing w:line="460" w:lineRule="exact"/>
        <w:jc w:val="lef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 xml:space="preserve"> </w:t>
      </w:r>
      <w:r>
        <w:rPr>
          <w:rFonts w:hint="eastAsia" w:ascii="仿宋_GB2312" w:hAnsi="仿宋_GB2312" w:eastAsia="仿宋_GB2312" w:cs="仿宋_GB2312"/>
          <w:sz w:val="28"/>
          <w:szCs w:val="28"/>
          <w:highlight w:val="none"/>
        </w:rPr>
        <w:t xml:space="preserve">   为提高赣州高速公路有限责任公司机关大院绿化水平，创造良好的办公生活环境，甲方将赣州高速公路有限责任公司机关大院绿化日常管养项目整体承包给乙方管养。双方本着平等互利、诚实守信的原则共同达成如下合同条款。</w:t>
      </w:r>
    </w:p>
    <w:p>
      <w:pPr>
        <w:pStyle w:val="20"/>
        <w:numPr>
          <w:ilvl w:val="0"/>
          <w:numId w:val="1"/>
        </w:numPr>
        <w:spacing w:line="460" w:lineRule="exact"/>
        <w:ind w:firstLineChars="0"/>
        <w:jc w:val="lef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绿化管养范围和期限</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管养区域概况:公司机关大院绿化总面积17446m2,其中草皮6673 m2、停车位草籽2272 m2，小灌木8176 m2，，餐厅屋顶绿化面积325 m2，其间种植有乔木、大灌木5561株。</w:t>
      </w:r>
    </w:p>
    <w:p>
      <w:pPr>
        <w:spacing w:line="460" w:lineRule="exact"/>
        <w:ind w:firstLine="700" w:firstLineChars="25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乙方负责对赣州高速公路有限责任公司机关大院绿化花木进行管养，应按照园林绿化管养操作规程及质量标准执行，工作范围包括公司机关大院绿化场区内苗木的浇灌、修剪、施肥、防治病虫害、松土、除草、防灾、补植、土质改良及清理绿化场区内垃圾等工作。确保所有绿化花木长势良好，绿化成活面积达95%以上，乔木、大灌木成活率达98%以上，小灌木成活面积达95%以上。</w:t>
      </w:r>
    </w:p>
    <w:p>
      <w:pPr>
        <w:spacing w:line="46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2、化肥、有机肥料的验收标准应依据相关质量标准，满足</w:t>
      </w:r>
      <w:r>
        <w:rPr>
          <w:rFonts w:hint="eastAsia" w:ascii="仿宋_GB2312" w:hAnsi="仿宋_GB2312" w:eastAsia="仿宋_GB2312" w:cs="仿宋_GB2312"/>
          <w:sz w:val="28"/>
          <w:szCs w:val="28"/>
          <w:highlight w:val="none"/>
          <w:lang w:eastAsia="zh-CN"/>
        </w:rPr>
        <w:t>询价</w:t>
      </w:r>
      <w:r>
        <w:rPr>
          <w:rFonts w:hint="eastAsia" w:ascii="仿宋_GB2312" w:hAnsi="仿宋_GB2312" w:eastAsia="仿宋_GB2312" w:cs="仿宋_GB2312"/>
          <w:sz w:val="28"/>
          <w:szCs w:val="28"/>
          <w:highlight w:val="none"/>
        </w:rPr>
        <w:t>人要求，依据管养情况进行数量和质量的验收，且每年不少于4次。</w:t>
      </w:r>
    </w:p>
    <w:p>
      <w:pPr>
        <w:spacing w:line="460" w:lineRule="exact"/>
        <w:ind w:firstLine="700" w:firstLineChars="25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3、绿化管养期限为24个月，自合同签订日起计算。</w:t>
      </w:r>
    </w:p>
    <w:p>
      <w:pPr>
        <w:spacing w:line="460" w:lineRule="exact"/>
        <w:ind w:firstLine="557" w:firstLineChars="198"/>
        <w:jc w:val="lef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二、乙方绿化管养职责</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总体要求：在绿化管养期内，乙方应按照园林绿化管养操作规程及质量标准，保质保量完成赣州高速公路有限责任公司机关大院绿化管养任务。在实施绿化管养工作时，乙方应提前通知甲方，并接受甲方的监督检查、服从甲方的管理。对实施本绿化管养合同所用的一切劳动力、材料设备和服务由乙方自行组织，由此产生的人工费、肥料及材料费、设备及燃油费、苗木补植费、土质改良费、运费、住宿、餐费、通行费、税金、利润等一切费用由乙方承担。</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景观：乙方根据设计意图体现植物造景，管养精细，生长茂盛，景观良好，绿地无黄土裸露。确保所有绿化花木长势良好，绿化成活面积达95%以上，乔木、大灌木成活率达98%以上，小灌木成活面积达95%以上。树木修剪美观、绿地内无残留枝叶，苗木与草坪衔接流畅，乙方应及时很好的解决树木与电线、建筑物、交通等之间的矛盾。</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3、浇灌：一年四季根据天气情况适时对花木和绿地进行浇水，保持植物良好长势，不出现干旱。</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4、修剪：根据各类植物的生长特点、立地环境、景观要求，按照操作规程适时进行。花木修剪、造型应根据花木长势情况给予修剪整形。树木做到树冠基本完整。</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5、施肥：根据土壤环境、各类植物的生长特点及对肥料的需要施肥，做到施肥均匀、充足、适度，以保证绿化植物生长旺盛、枝叶繁茂，达到一定的景观效果。科学、正确使用肥料，使用的肥料由乙方购买。</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防治病虫害：一年最少做到四次检查，做到以防为主，及时防治花木病虫害，保持花木正常生长。一旦发现病虫，要及时除治。保证一年四次，定期检查。农药由乙方购买，使用农药防治病虫害要做到不对环境造成污染。</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7、除草：各类绿地、树穴、绿带等要求一年之中最少清理四次各类杂草，清理后的垃圾及时清运。</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防灾：遇暴风雨或台风，乙方应及时排涝、提前采取措施加固树木，防止花木受损。遇冰冻雨雪天气，乙方应及时做好树木防冻保护措施。若人为疏忽造成损失由乙方负责赔偿。因不可抗拒的自然灾害原因造成植物死亡，甲方不予追究。灾后，乙方要及时清除倒树断枝、疏通道路、清理扶植，以尽快恢复绿地原状。</w:t>
      </w:r>
    </w:p>
    <w:p>
      <w:pPr>
        <w:spacing w:line="460" w:lineRule="exact"/>
        <w:ind w:firstLine="700" w:firstLineChars="25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9、补植：因乙方管养不当造成植物死亡，乙方要负责进行补植，并自行承担所需费用。合同期满时，确保所有绿化花木长势良好，绿化成活面积达95%以上，乔木、大灌木成活率达98%以上，小灌木成活面积达95%以上，高度、直径、冠幅、树形等参数必须不低于原有绿化花木的技术质量参数。</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10、土质改良：乙方应严格按照改良流程，确保清除土壤上的杂草、清除土壤中的石块，人工撒铺有机肥料，保证土质的改良利于苗木成活率的提升。</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11、垃圾清运：乙方应对绿化场区内垃圾进行收集、运输、转运和场区内清运后打扫，保证场区内整洁、干净、美观。</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12、人员考勤：常驻大院的绿化管养工人（至少不少于3人），在管养期限内，对人员进行打卡考勤制度（每月人员现场绿化管养打卡天数不少于22天，且每日指纹考勤打卡4次），并在保安室做好考勤打卡书面记录，随时备查。</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其它工作：借助公路施工、养护的便利，对土质较差或土壤流失严重地段的植物要进行必要的培土。所有花草和树木的移植，按甲方指定的地点进行移植，保证移植后花木正常生长。产生的费用由甲乙双方进行洽谈，对甲方日常检查或考评中发现问题，乙方可及时进行整改。</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14、安全生产：乙方必须高度重视安全生产，及时消除安全隐患，确保绿化管养期内不出安全责任事故。若发生工伤事故及其相关费用，完全由乙方自行负责,甲方概不负责。</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15、乙方及乙方聘请或雇佣人员与甲方无任何劳动、劳务或雇佣关系，乙方人员在完成承揽工作过程中发生的一切责任、事故、人事伤害等均由乙方自行负责，与甲方无关。</w:t>
      </w:r>
    </w:p>
    <w:p>
      <w:pPr>
        <w:spacing w:line="460" w:lineRule="exact"/>
        <w:ind w:firstLine="557" w:firstLineChars="198"/>
        <w:jc w:val="lef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三、甲方管理协调职责</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1、甲方安排赣州高速公路有限责任公司党委办公室不定时对赣州高速公路有限责任公司机关大院的绿化管养工作进行监督和协调，发现问题及时处理。</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2、甲方负责无偿提供乙方绿化管养所需用的水源，乙方在做好绿化管养的前提下要节约用水。甲方应做好绿化水管检修工作，若因乙方导致水管坏损，乙方需重新铺设，维修费用由乙方承担。</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3、根据本合同有关条款，甲方组织人员会同乙方现场检查考评，评分结果作为支付绿化管养费的依据。</w:t>
      </w:r>
    </w:p>
    <w:p>
      <w:pPr>
        <w:spacing w:line="460" w:lineRule="exact"/>
        <w:ind w:firstLine="557" w:firstLineChars="198"/>
        <w:jc w:val="lef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四、管养费用及付款方式</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1、赣州高速公路有限责任公司机关大院绿驻地24个月绿化管养费共计人民币（大写）</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元）（含税）。</w:t>
      </w:r>
    </w:p>
    <w:p>
      <w:pPr>
        <w:spacing w:line="460" w:lineRule="exact"/>
        <w:ind w:firstLine="560" w:firstLineChars="200"/>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2、本合同24个月绿化管养期分4次考评验收，每6个月一次,分4次支付绿化管养费</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支付阶段如下：</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自合同签订之日起每</w:t>
      </w:r>
      <w:r>
        <w:rPr>
          <w:rFonts w:hint="eastAsia" w:ascii="仿宋_GB2312" w:hAnsi="仿宋_GB2312" w:eastAsia="仿宋_GB2312" w:cs="仿宋_GB2312"/>
          <w:sz w:val="28"/>
          <w:szCs w:val="28"/>
          <w:highlight w:val="none"/>
        </w:rPr>
        <w:t>半年进行一次考核验收，</w:t>
      </w:r>
      <w:r>
        <w:rPr>
          <w:rFonts w:hint="eastAsia" w:ascii="仿宋_GB2312" w:hAnsi="仿宋_GB2312" w:eastAsia="仿宋_GB2312" w:cs="仿宋_GB2312"/>
          <w:sz w:val="28"/>
          <w:szCs w:val="28"/>
          <w:highlight w:val="none"/>
          <w:lang w:val="en-US" w:eastAsia="zh-CN"/>
        </w:rPr>
        <w:t>经甲方考核验收后，按现场检查评分进行计量支付</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每次</w:t>
      </w:r>
      <w:r>
        <w:rPr>
          <w:rFonts w:hint="eastAsia" w:ascii="仿宋_GB2312" w:hAnsi="仿宋_GB2312" w:eastAsia="仿宋_GB2312" w:cs="仿宋_GB2312"/>
          <w:sz w:val="28"/>
          <w:szCs w:val="28"/>
          <w:highlight w:val="none"/>
        </w:rPr>
        <w:t>支付不超过合同价的25%作为当次绿化管养费用，</w:t>
      </w:r>
      <w:r>
        <w:rPr>
          <w:rFonts w:hint="eastAsia" w:ascii="仿宋_GB2312" w:hAnsi="仿宋_GB2312" w:eastAsia="仿宋_GB2312" w:cs="仿宋_GB2312"/>
          <w:sz w:val="28"/>
          <w:szCs w:val="28"/>
          <w:highlight w:val="none"/>
          <w:lang w:val="en-US" w:eastAsia="zh-CN"/>
        </w:rPr>
        <w:t>具体支付标准</w:t>
      </w:r>
      <w:r>
        <w:rPr>
          <w:rFonts w:hint="eastAsia" w:ascii="仿宋_GB2312" w:hAnsi="仿宋_GB2312" w:eastAsia="仿宋_GB2312" w:cs="仿宋_GB2312"/>
          <w:sz w:val="28"/>
          <w:szCs w:val="28"/>
          <w:highlight w:val="none"/>
        </w:rPr>
        <w:t>按下述第</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款</w:t>
      </w:r>
      <w:r>
        <w:rPr>
          <w:rFonts w:hint="eastAsia" w:ascii="仿宋_GB2312" w:hAnsi="仿宋_GB2312" w:eastAsia="仿宋_GB2312" w:cs="仿宋_GB2312"/>
          <w:sz w:val="28"/>
          <w:szCs w:val="28"/>
          <w:highlight w:val="none"/>
          <w:lang w:val="en-US" w:eastAsia="zh-CN"/>
        </w:rPr>
        <w:t>执行</w:t>
      </w:r>
      <w:r>
        <w:rPr>
          <w:rFonts w:hint="eastAsia" w:ascii="仿宋_GB2312" w:hAnsi="仿宋_GB2312" w:eastAsia="仿宋_GB2312" w:cs="仿宋_GB2312"/>
          <w:sz w:val="28"/>
          <w:szCs w:val="28"/>
          <w:highlight w:val="none"/>
        </w:rPr>
        <w:t>。具体考核标准详见（附表《赣州高速公路有限责任公司机关大院绿化日常管养项目绿化管养检查评分表》）。</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、每次绿化管养费根据双方现场检查评分进行计算，若考评得分在100分-90分（含），则</w:t>
      </w:r>
      <w:r>
        <w:rPr>
          <w:rFonts w:hint="eastAsia" w:ascii="仿宋_GB2312" w:hAnsi="仿宋_GB2312" w:eastAsia="仿宋_GB2312" w:cs="仿宋_GB2312"/>
          <w:sz w:val="28"/>
          <w:szCs w:val="28"/>
          <w:highlight w:val="none"/>
          <w:lang w:val="en-US" w:eastAsia="zh-CN"/>
        </w:rPr>
        <w:t>支付当次全部</w:t>
      </w:r>
      <w:r>
        <w:rPr>
          <w:rFonts w:hint="eastAsia" w:ascii="仿宋_GB2312" w:hAnsi="仿宋_GB2312" w:eastAsia="仿宋_GB2312" w:cs="仿宋_GB2312"/>
          <w:sz w:val="28"/>
          <w:szCs w:val="28"/>
          <w:highlight w:val="none"/>
        </w:rPr>
        <w:t>绿化管养</w:t>
      </w:r>
      <w:r>
        <w:rPr>
          <w:rFonts w:hint="eastAsia" w:ascii="仿宋_GB2312" w:hAnsi="仿宋_GB2312" w:eastAsia="仿宋_GB2312" w:cs="仿宋_GB2312"/>
          <w:sz w:val="28"/>
          <w:szCs w:val="28"/>
          <w:highlight w:val="none"/>
          <w:lang w:val="en-US" w:eastAsia="zh-CN"/>
        </w:rPr>
        <w:t>费用</w:t>
      </w:r>
      <w:r>
        <w:rPr>
          <w:rFonts w:hint="eastAsia" w:ascii="仿宋_GB2312" w:hAnsi="仿宋_GB2312" w:eastAsia="仿宋_GB2312" w:cs="仿宋_GB2312"/>
          <w:sz w:val="28"/>
          <w:szCs w:val="28"/>
          <w:highlight w:val="none"/>
        </w:rPr>
        <w:t>；若考评得分在90分（不含）-80分（含），</w:t>
      </w:r>
      <w:r>
        <w:rPr>
          <w:rFonts w:hint="eastAsia" w:ascii="仿宋_GB2312" w:hAnsi="仿宋_GB2312" w:eastAsia="仿宋_GB2312" w:cs="仿宋_GB2312"/>
          <w:sz w:val="28"/>
          <w:szCs w:val="28"/>
          <w:highlight w:val="none"/>
          <w:lang w:val="en-US" w:eastAsia="zh-CN"/>
        </w:rPr>
        <w:t>甲方</w:t>
      </w:r>
      <w:r>
        <w:rPr>
          <w:rFonts w:hint="eastAsia" w:ascii="仿宋_GB2312" w:hAnsi="仿宋_GB2312" w:eastAsia="仿宋_GB2312" w:cs="仿宋_GB2312"/>
          <w:sz w:val="28"/>
          <w:szCs w:val="28"/>
          <w:highlight w:val="none"/>
        </w:rPr>
        <w:t>从</w:t>
      </w:r>
      <w:r>
        <w:rPr>
          <w:rFonts w:hint="eastAsia" w:ascii="仿宋_GB2312" w:hAnsi="仿宋_GB2312" w:eastAsia="仿宋_GB2312" w:cs="仿宋_GB2312"/>
          <w:sz w:val="28"/>
          <w:szCs w:val="28"/>
          <w:highlight w:val="none"/>
          <w:lang w:val="en-US" w:eastAsia="zh-CN"/>
        </w:rPr>
        <w:t>乙方</w:t>
      </w:r>
      <w:r>
        <w:rPr>
          <w:rFonts w:hint="eastAsia" w:ascii="仿宋_GB2312" w:hAnsi="仿宋_GB2312" w:eastAsia="仿宋_GB2312" w:cs="仿宋_GB2312"/>
          <w:sz w:val="28"/>
          <w:szCs w:val="28"/>
          <w:highlight w:val="none"/>
        </w:rPr>
        <w:t>当次绿化管养费中扣除10%的当次绿化管养费作为</w:t>
      </w:r>
      <w:r>
        <w:rPr>
          <w:rFonts w:hint="eastAsia" w:ascii="仿宋_GB2312" w:hAnsi="仿宋_GB2312" w:eastAsia="仿宋_GB2312" w:cs="仿宋_GB2312"/>
          <w:sz w:val="28"/>
          <w:szCs w:val="28"/>
          <w:highlight w:val="none"/>
          <w:lang w:val="en-US" w:eastAsia="zh-CN"/>
        </w:rPr>
        <w:t>乙方</w:t>
      </w:r>
      <w:r>
        <w:rPr>
          <w:rFonts w:hint="eastAsia" w:ascii="仿宋_GB2312" w:hAnsi="仿宋_GB2312" w:eastAsia="仿宋_GB2312" w:cs="仿宋_GB2312"/>
          <w:sz w:val="28"/>
          <w:szCs w:val="28"/>
          <w:highlight w:val="none"/>
        </w:rPr>
        <w:t>违约处罚金；考评得分在80分（不含）-70分（含），</w:t>
      </w:r>
      <w:r>
        <w:rPr>
          <w:rFonts w:hint="eastAsia" w:ascii="仿宋_GB2312" w:hAnsi="仿宋_GB2312" w:eastAsia="仿宋_GB2312" w:cs="仿宋_GB2312"/>
          <w:sz w:val="28"/>
          <w:szCs w:val="28"/>
          <w:highlight w:val="none"/>
          <w:lang w:val="en-US" w:eastAsia="zh-CN"/>
        </w:rPr>
        <w:t>甲方</w:t>
      </w:r>
      <w:r>
        <w:rPr>
          <w:rFonts w:hint="eastAsia" w:ascii="仿宋_GB2312" w:hAnsi="仿宋_GB2312" w:eastAsia="仿宋_GB2312" w:cs="仿宋_GB2312"/>
          <w:sz w:val="28"/>
          <w:szCs w:val="28"/>
          <w:highlight w:val="none"/>
        </w:rPr>
        <w:t>从</w:t>
      </w:r>
      <w:r>
        <w:rPr>
          <w:rFonts w:hint="eastAsia" w:ascii="仿宋_GB2312" w:hAnsi="仿宋_GB2312" w:eastAsia="仿宋_GB2312" w:cs="仿宋_GB2312"/>
          <w:sz w:val="28"/>
          <w:szCs w:val="28"/>
          <w:highlight w:val="none"/>
          <w:lang w:val="en-US" w:eastAsia="zh-CN"/>
        </w:rPr>
        <w:t>乙方</w:t>
      </w:r>
      <w:r>
        <w:rPr>
          <w:rFonts w:hint="eastAsia" w:ascii="仿宋_GB2312" w:hAnsi="仿宋_GB2312" w:eastAsia="仿宋_GB2312" w:cs="仿宋_GB2312"/>
          <w:sz w:val="28"/>
          <w:szCs w:val="28"/>
          <w:highlight w:val="none"/>
        </w:rPr>
        <w:t>当次绿化管养费中扣除20%的当次绿化管养费作为</w:t>
      </w:r>
      <w:r>
        <w:rPr>
          <w:rFonts w:hint="eastAsia" w:ascii="仿宋_GB2312" w:hAnsi="仿宋_GB2312" w:eastAsia="仿宋_GB2312" w:cs="仿宋_GB2312"/>
          <w:sz w:val="28"/>
          <w:szCs w:val="28"/>
          <w:highlight w:val="none"/>
          <w:lang w:val="en-US" w:eastAsia="zh-CN"/>
        </w:rPr>
        <w:t>乙方</w:t>
      </w:r>
      <w:r>
        <w:rPr>
          <w:rFonts w:hint="eastAsia" w:ascii="仿宋_GB2312" w:hAnsi="仿宋_GB2312" w:eastAsia="仿宋_GB2312" w:cs="仿宋_GB2312"/>
          <w:sz w:val="28"/>
          <w:szCs w:val="28"/>
          <w:highlight w:val="none"/>
        </w:rPr>
        <w:t>违约处罚金；</w:t>
      </w:r>
      <w:r>
        <w:rPr>
          <w:rFonts w:hint="eastAsia" w:ascii="仿宋_GB2312" w:hAnsi="仿宋_GB2312" w:eastAsia="仿宋_GB2312" w:cs="仿宋_GB2312"/>
          <w:sz w:val="28"/>
          <w:szCs w:val="28"/>
          <w:highlight w:val="none"/>
          <w:lang w:val="en-US" w:eastAsia="zh-CN"/>
        </w:rPr>
        <w:t>乙方</w:t>
      </w:r>
      <w:r>
        <w:rPr>
          <w:rFonts w:hint="eastAsia" w:ascii="仿宋_GB2312" w:hAnsi="仿宋_GB2312" w:eastAsia="仿宋_GB2312" w:cs="仿宋_GB2312"/>
          <w:sz w:val="28"/>
          <w:szCs w:val="28"/>
          <w:highlight w:val="none"/>
        </w:rPr>
        <w:t>违约处罚金，以此类推扣除违约处罚金，当考评得分小于60分时，</w:t>
      </w:r>
      <w:r>
        <w:rPr>
          <w:rFonts w:hint="eastAsia" w:ascii="仿宋_GB2312" w:hAnsi="仿宋_GB2312" w:eastAsia="仿宋_GB2312" w:cs="仿宋_GB2312"/>
          <w:sz w:val="28"/>
          <w:szCs w:val="28"/>
          <w:highlight w:val="none"/>
          <w:lang w:val="en-US" w:eastAsia="zh-CN"/>
        </w:rPr>
        <w:t>甲方</w:t>
      </w:r>
      <w:r>
        <w:rPr>
          <w:rFonts w:hint="eastAsia" w:ascii="仿宋_GB2312" w:hAnsi="仿宋_GB2312" w:eastAsia="仿宋_GB2312" w:cs="仿宋_GB2312"/>
          <w:sz w:val="28"/>
          <w:szCs w:val="28"/>
          <w:highlight w:val="none"/>
        </w:rPr>
        <w:t>有权终止合同</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且拒绝支付当次绿化管养费</w:t>
      </w:r>
      <w:r>
        <w:rPr>
          <w:rFonts w:hint="eastAsia" w:ascii="仿宋_GB2312" w:hAnsi="仿宋_GB2312" w:eastAsia="仿宋_GB2312" w:cs="仿宋_GB2312"/>
          <w:sz w:val="28"/>
          <w:szCs w:val="28"/>
          <w:highlight w:val="none"/>
        </w:rPr>
        <w:t>。</w:t>
      </w:r>
    </w:p>
    <w:p>
      <w:pPr>
        <w:spacing w:line="4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4、每次绿化管养考评验收后，乙方开具相应金额的绿化管养费税票据</w:t>
      </w:r>
      <w:r>
        <w:rPr>
          <w:rFonts w:hint="eastAsia" w:ascii="仿宋_GB2312" w:hAnsi="仿宋_GB2312" w:eastAsia="仿宋_GB2312" w:cs="仿宋_GB2312"/>
          <w:sz w:val="28"/>
          <w:szCs w:val="28"/>
          <w:highlight w:val="none"/>
          <w:lang w:val="en-US" w:eastAsia="zh-CN"/>
        </w:rPr>
        <w:t>提交</w:t>
      </w:r>
      <w:r>
        <w:rPr>
          <w:rFonts w:hint="eastAsia" w:ascii="仿宋_GB2312" w:hAnsi="仿宋_GB2312" w:eastAsia="仿宋_GB2312" w:cs="仿宋_GB2312"/>
          <w:sz w:val="28"/>
          <w:szCs w:val="28"/>
          <w:highlight w:val="none"/>
        </w:rPr>
        <w:t>甲方（赣州高速公路有限责任公司党委办公室收集票据</w:t>
      </w:r>
      <w:r>
        <w:rPr>
          <w:rFonts w:hint="eastAsia" w:ascii="仿宋_GB2312" w:hAnsi="仿宋_GB2312" w:eastAsia="仿宋_GB2312" w:cs="仿宋_GB2312"/>
          <w:sz w:val="28"/>
          <w:szCs w:val="28"/>
          <w:highlight w:val="none"/>
          <w:lang w:val="en-US" w:eastAsia="zh-CN"/>
        </w:rPr>
        <w:t>及</w:t>
      </w:r>
      <w:r>
        <w:rPr>
          <w:rFonts w:hint="eastAsia" w:ascii="仿宋_GB2312" w:hAnsi="仿宋_GB2312" w:eastAsia="仿宋_GB2312" w:cs="仿宋_GB2312"/>
          <w:sz w:val="28"/>
          <w:szCs w:val="28"/>
          <w:highlight w:val="none"/>
        </w:rPr>
        <w:t>汇总相关资料）。甲方在30个工作日内，按财务制度规定程序审批后将绿化管养费以转账方式支付给乙方。</w:t>
      </w:r>
    </w:p>
    <w:p>
      <w:pPr>
        <w:spacing w:line="460" w:lineRule="exact"/>
        <w:ind w:firstLine="557" w:firstLineChars="198"/>
        <w:jc w:val="lef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五、其他事项</w:t>
      </w:r>
    </w:p>
    <w:p>
      <w:pPr>
        <w:spacing w:line="460" w:lineRule="exact"/>
        <w:ind w:firstLine="554" w:firstLineChars="198"/>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1、本合同一式四份，甲乙双方各执二份，双方代表签字并盖章后生效。附表《赣州高速公路有限责任公司机关大院绿化日常管养项目绿化管养检查评分表》与正文具有同等法律效力。</w:t>
      </w:r>
    </w:p>
    <w:p>
      <w:pPr>
        <w:spacing w:line="460" w:lineRule="exact"/>
        <w:ind w:firstLine="554" w:firstLineChars="198"/>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2、未尽事宜由甲乙双方协调解决，若协商不成，双方均有权向甲方所在地人民法院提起诉讼。</w:t>
      </w:r>
    </w:p>
    <w:p>
      <w:pPr>
        <w:spacing w:line="460" w:lineRule="exact"/>
        <w:jc w:val="left"/>
        <w:rPr>
          <w:rFonts w:hint="eastAsia" w:ascii="仿宋_GB2312" w:hAnsi="仿宋_GB2312" w:eastAsia="仿宋_GB2312" w:cs="仿宋_GB2312"/>
          <w:sz w:val="28"/>
          <w:szCs w:val="28"/>
          <w:highlight w:val="none"/>
        </w:rPr>
      </w:pPr>
    </w:p>
    <w:p>
      <w:pPr>
        <w:pStyle w:val="2"/>
        <w:rPr>
          <w:rFonts w:hint="eastAsia" w:ascii="仿宋_GB2312" w:hAnsi="仿宋_GB2312" w:eastAsia="仿宋_GB2312" w:cs="仿宋_GB2312"/>
          <w:sz w:val="28"/>
          <w:szCs w:val="28"/>
          <w:highlight w:val="none"/>
        </w:rPr>
      </w:pPr>
    </w:p>
    <w:p>
      <w:pPr>
        <w:rPr>
          <w:rFonts w:hint="eastAsia"/>
          <w:highlight w:val="none"/>
        </w:rPr>
      </w:pPr>
    </w:p>
    <w:p>
      <w:pPr>
        <w:spacing w:line="460" w:lineRule="exact"/>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甲方（盖章）:                     乙方（盖章)：</w:t>
      </w:r>
    </w:p>
    <w:p>
      <w:pPr>
        <w:spacing w:line="460" w:lineRule="exact"/>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代表签字:                         代表签字：</w:t>
      </w:r>
    </w:p>
    <w:p>
      <w:pPr>
        <w:spacing w:line="460" w:lineRule="exact"/>
        <w:jc w:val="left"/>
        <w:rPr>
          <w:rFonts w:hint="eastAsia" w:ascii="仿宋_GB2312" w:hAnsi="仿宋_GB2312" w:eastAsia="仿宋_GB2312" w:cs="仿宋_GB2312"/>
          <w:sz w:val="28"/>
          <w:szCs w:val="28"/>
          <w:highlight w:val="none"/>
        </w:rPr>
      </w:pPr>
    </w:p>
    <w:p>
      <w:pPr>
        <w:spacing w:line="460" w:lineRule="exact"/>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签订日期:   年  月  日           签订日期:  年  月  日</w:t>
      </w:r>
    </w:p>
    <w:p>
      <w:pPr>
        <w:spacing w:line="400" w:lineRule="exact"/>
        <w:jc w:val="left"/>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附表：</w:t>
      </w:r>
    </w:p>
    <w:p>
      <w:pPr>
        <w:spacing w:line="400" w:lineRule="exact"/>
        <w:jc w:val="center"/>
        <w:rPr>
          <w:rFonts w:hint="eastAsia" w:ascii="Calibri" w:hAnsi="Calibri" w:eastAsia="Calibri"/>
          <w:b/>
          <w:sz w:val="30"/>
          <w:szCs w:val="30"/>
          <w:highlight w:val="none"/>
        </w:rPr>
      </w:pPr>
    </w:p>
    <w:p>
      <w:pPr>
        <w:spacing w:line="400" w:lineRule="exact"/>
        <w:jc w:val="center"/>
        <w:rPr>
          <w:rFonts w:hint="eastAsia" w:ascii="Calibri" w:hAnsi="Calibri" w:eastAsia="Calibri"/>
          <w:b/>
          <w:sz w:val="30"/>
          <w:szCs w:val="30"/>
          <w:highlight w:val="none"/>
        </w:rPr>
      </w:pPr>
    </w:p>
    <w:p>
      <w:pPr>
        <w:spacing w:line="400" w:lineRule="exact"/>
        <w:jc w:val="center"/>
        <w:rPr>
          <w:rFonts w:hint="eastAsia" w:ascii="Calibri" w:hAnsi="Calibri" w:eastAsia="Calibri"/>
          <w:b/>
          <w:sz w:val="30"/>
          <w:szCs w:val="30"/>
          <w:highlight w:val="none"/>
        </w:rPr>
      </w:pPr>
    </w:p>
    <w:p>
      <w:pPr>
        <w:spacing w:line="400" w:lineRule="exact"/>
        <w:jc w:val="center"/>
        <w:rPr>
          <w:rFonts w:hint="eastAsia" w:ascii="Calibri" w:hAnsi="Calibri" w:eastAsia="Calibri"/>
          <w:b/>
          <w:sz w:val="30"/>
          <w:szCs w:val="30"/>
          <w:highlight w:val="none"/>
        </w:rPr>
      </w:pPr>
    </w:p>
    <w:p>
      <w:pPr>
        <w:spacing w:line="400" w:lineRule="exact"/>
        <w:jc w:val="center"/>
        <w:rPr>
          <w:rFonts w:hint="eastAsia" w:eastAsia="Calibri"/>
          <w:b/>
          <w:sz w:val="30"/>
          <w:szCs w:val="30"/>
          <w:highlight w:val="none"/>
        </w:rPr>
      </w:pPr>
      <w:r>
        <w:rPr>
          <w:rFonts w:hint="eastAsia" w:ascii="Calibri" w:hAnsi="Calibri" w:eastAsia="Calibri"/>
          <w:b/>
          <w:sz w:val="30"/>
          <w:szCs w:val="30"/>
          <w:highlight w:val="none"/>
        </w:rPr>
        <w:t>赣州高速公路有限责任公司机关大院绿化日常管养项目</w:t>
      </w:r>
    </w:p>
    <w:p>
      <w:pPr>
        <w:spacing w:line="400" w:lineRule="exact"/>
        <w:jc w:val="center"/>
        <w:rPr>
          <w:rFonts w:eastAsia="Calibri"/>
          <w:b/>
          <w:sz w:val="30"/>
          <w:szCs w:val="30"/>
          <w:highlight w:val="none"/>
        </w:rPr>
      </w:pPr>
      <w:r>
        <w:rPr>
          <w:rFonts w:hint="eastAsia" w:eastAsia="Calibri"/>
          <w:b/>
          <w:sz w:val="30"/>
          <w:szCs w:val="30"/>
          <w:highlight w:val="none"/>
        </w:rPr>
        <w:t>绿化管养检查评分表</w:t>
      </w:r>
    </w:p>
    <w:tbl>
      <w:tblPr>
        <w:tblStyle w:val="9"/>
        <w:tblW w:w="50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3"/>
        <w:gridCol w:w="7568"/>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pct"/>
            <w:noWrap w:val="0"/>
            <w:vAlign w:val="top"/>
          </w:tcPr>
          <w:p>
            <w:pPr>
              <w:jc w:val="center"/>
              <w:rPr>
                <w:rFonts w:ascii="楷体" w:hAnsi="楷体" w:eastAsia="楷体"/>
                <w:b/>
                <w:sz w:val="18"/>
                <w:szCs w:val="18"/>
                <w:highlight w:val="none"/>
              </w:rPr>
            </w:pPr>
            <w:r>
              <w:rPr>
                <w:rFonts w:hint="eastAsia" w:ascii="楷体" w:hAnsi="楷体" w:eastAsia="楷体"/>
                <w:b/>
                <w:sz w:val="18"/>
                <w:szCs w:val="18"/>
                <w:highlight w:val="none"/>
              </w:rPr>
              <w:t>责任部门</w:t>
            </w:r>
          </w:p>
        </w:tc>
        <w:tc>
          <w:tcPr>
            <w:tcW w:w="4102" w:type="pct"/>
            <w:gridSpan w:val="2"/>
            <w:noWrap w:val="0"/>
            <w:vAlign w:val="top"/>
          </w:tcPr>
          <w:p>
            <w:pPr>
              <w:jc w:val="left"/>
              <w:rPr>
                <w:rFonts w:ascii="楷体" w:hAnsi="楷体" w:eastAsia="楷体"/>
                <w:b/>
                <w:sz w:val="18"/>
                <w:szCs w:val="18"/>
                <w:highlight w:val="none"/>
              </w:rPr>
            </w:pPr>
            <w:r>
              <w:rPr>
                <w:rFonts w:hint="eastAsia" w:ascii="楷体" w:hAnsi="楷体" w:eastAsia="楷体"/>
                <w:b/>
                <w:sz w:val="18"/>
                <w:szCs w:val="18"/>
                <w:highlight w:val="none"/>
              </w:rPr>
              <w:t>赣州高速公路有限责任公司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pct"/>
            <w:noWrap w:val="0"/>
            <w:vAlign w:val="top"/>
          </w:tcPr>
          <w:p>
            <w:pPr>
              <w:jc w:val="center"/>
              <w:rPr>
                <w:rFonts w:ascii="楷体" w:hAnsi="楷体" w:eastAsia="楷体"/>
                <w:b/>
                <w:sz w:val="18"/>
                <w:szCs w:val="18"/>
                <w:highlight w:val="none"/>
              </w:rPr>
            </w:pPr>
            <w:r>
              <w:rPr>
                <w:rFonts w:hint="eastAsia" w:ascii="楷体" w:hAnsi="楷体" w:eastAsia="楷体"/>
                <w:b/>
                <w:sz w:val="18"/>
                <w:szCs w:val="18"/>
                <w:highlight w:val="none"/>
              </w:rPr>
              <w:t>管养单位</w:t>
            </w:r>
          </w:p>
        </w:tc>
        <w:tc>
          <w:tcPr>
            <w:tcW w:w="4102" w:type="pct"/>
            <w:gridSpan w:val="2"/>
            <w:noWrap w:val="0"/>
            <w:vAlign w:val="top"/>
          </w:tcPr>
          <w:p>
            <w:pPr>
              <w:jc w:val="left"/>
              <w:rPr>
                <w:rFonts w:ascii="楷体" w:hAnsi="楷体" w:eastAsia="楷体"/>
                <w:b/>
                <w:sz w:val="18"/>
                <w:szCs w:val="18"/>
                <w:highlight w:val="none"/>
              </w:rPr>
            </w:pPr>
            <w:r>
              <w:rPr>
                <w:rFonts w:hint="eastAsia" w:ascii="楷体" w:hAnsi="楷体" w:eastAsia="楷体"/>
                <w:b/>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pct"/>
            <w:noWrap w:val="0"/>
            <w:vAlign w:val="top"/>
          </w:tcPr>
          <w:p>
            <w:pPr>
              <w:jc w:val="center"/>
              <w:rPr>
                <w:rFonts w:ascii="楷体" w:hAnsi="楷体" w:eastAsia="楷体"/>
                <w:b/>
                <w:sz w:val="18"/>
                <w:szCs w:val="18"/>
                <w:highlight w:val="none"/>
              </w:rPr>
            </w:pPr>
            <w:r>
              <w:rPr>
                <w:rFonts w:hint="eastAsia" w:ascii="楷体" w:hAnsi="楷体" w:eastAsia="楷体"/>
                <w:b/>
                <w:sz w:val="18"/>
                <w:szCs w:val="18"/>
                <w:highlight w:val="none"/>
              </w:rPr>
              <w:t>检查项目</w:t>
            </w:r>
          </w:p>
        </w:tc>
        <w:tc>
          <w:tcPr>
            <w:tcW w:w="4102" w:type="pct"/>
            <w:gridSpan w:val="2"/>
            <w:noWrap w:val="0"/>
            <w:vAlign w:val="top"/>
          </w:tcPr>
          <w:p>
            <w:pPr>
              <w:jc w:val="left"/>
              <w:rPr>
                <w:rFonts w:ascii="楷体" w:hAnsi="楷体" w:eastAsia="楷体"/>
                <w:b/>
                <w:sz w:val="18"/>
                <w:szCs w:val="18"/>
                <w:highlight w:val="none"/>
              </w:rPr>
            </w:pPr>
            <w:r>
              <w:rPr>
                <w:rFonts w:hint="eastAsia" w:ascii="楷体" w:hAnsi="楷体" w:eastAsia="楷体"/>
                <w:b/>
                <w:sz w:val="18"/>
                <w:szCs w:val="18"/>
                <w:highlight w:val="none"/>
              </w:rPr>
              <w:t>赣州高速公路有限责任公司机关大院绿化日常管养项目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pct"/>
            <w:noWrap w:val="0"/>
            <w:vAlign w:val="top"/>
          </w:tcPr>
          <w:p>
            <w:pPr>
              <w:jc w:val="center"/>
              <w:rPr>
                <w:rFonts w:ascii="楷体" w:hAnsi="楷体" w:eastAsia="楷体"/>
                <w:b/>
                <w:sz w:val="18"/>
                <w:szCs w:val="18"/>
                <w:highlight w:val="none"/>
              </w:rPr>
            </w:pPr>
            <w:r>
              <w:rPr>
                <w:rFonts w:hint="eastAsia" w:ascii="楷体" w:hAnsi="楷体" w:eastAsia="楷体"/>
                <w:b/>
                <w:sz w:val="18"/>
                <w:szCs w:val="18"/>
                <w:highlight w:val="none"/>
              </w:rPr>
              <w:t>检查次数</w:t>
            </w:r>
          </w:p>
        </w:tc>
        <w:tc>
          <w:tcPr>
            <w:tcW w:w="4102" w:type="pct"/>
            <w:gridSpan w:val="2"/>
            <w:noWrap w:val="0"/>
            <w:vAlign w:val="top"/>
          </w:tcPr>
          <w:p>
            <w:pPr>
              <w:jc w:val="left"/>
              <w:rPr>
                <w:rFonts w:ascii="楷体" w:hAnsi="楷体" w:eastAsia="楷体"/>
                <w:b/>
                <w:sz w:val="18"/>
                <w:szCs w:val="18"/>
                <w:highlight w:val="none"/>
              </w:rPr>
            </w:pPr>
            <w:r>
              <w:rPr>
                <w:rFonts w:hint="eastAsia" w:ascii="楷体" w:hAnsi="楷体" w:eastAsia="楷体"/>
                <w:b/>
                <w:sz w:val="18"/>
                <w:szCs w:val="18"/>
                <w:highlight w:val="none"/>
              </w:rPr>
              <w:t>第</w:t>
            </w:r>
            <w:r>
              <w:rPr>
                <w:rFonts w:hint="eastAsia" w:ascii="楷体" w:hAnsi="楷体" w:eastAsia="楷体"/>
                <w:b/>
                <w:sz w:val="18"/>
                <w:szCs w:val="18"/>
                <w:highlight w:val="none"/>
                <w:u w:val="single"/>
              </w:rPr>
              <w:t xml:space="preserve"> </w:t>
            </w:r>
            <w:r>
              <w:rPr>
                <w:rFonts w:ascii="楷体" w:hAnsi="楷体" w:eastAsia="楷体"/>
                <w:b/>
                <w:sz w:val="18"/>
                <w:szCs w:val="18"/>
                <w:highlight w:val="none"/>
                <w:u w:val="single"/>
              </w:rPr>
              <w:t xml:space="preserve">  </w:t>
            </w:r>
            <w:r>
              <w:rPr>
                <w:rFonts w:hint="eastAsia" w:ascii="楷体" w:hAnsi="楷体" w:eastAsia="楷体"/>
                <w:b/>
                <w:sz w:val="18"/>
                <w:szCs w:val="18"/>
                <w:highlight w:val="none"/>
                <w:u w:val="single"/>
              </w:rPr>
              <w:t xml:space="preserve"> </w:t>
            </w:r>
            <w:r>
              <w:rPr>
                <w:rFonts w:hint="eastAsia" w:ascii="楷体" w:hAnsi="楷体" w:eastAsia="楷体"/>
                <w:b/>
                <w:sz w:val="18"/>
                <w:szCs w:val="18"/>
                <w:highlight w:val="none"/>
              </w:rPr>
              <w:t>次绿化管养检查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98" w:type="pct"/>
            <w:tcBorders>
              <w:bottom w:val="single" w:color="auto" w:sz="4" w:space="0"/>
            </w:tcBorders>
            <w:noWrap w:val="0"/>
            <w:vAlign w:val="top"/>
          </w:tcPr>
          <w:p>
            <w:pPr>
              <w:jc w:val="center"/>
              <w:rPr>
                <w:rFonts w:ascii="楷体" w:hAnsi="楷体" w:eastAsia="楷体"/>
                <w:b/>
                <w:sz w:val="18"/>
                <w:szCs w:val="18"/>
                <w:highlight w:val="none"/>
              </w:rPr>
            </w:pPr>
            <w:r>
              <w:rPr>
                <w:rFonts w:hint="eastAsia" w:ascii="楷体" w:hAnsi="楷体" w:eastAsia="楷体"/>
                <w:b/>
                <w:sz w:val="18"/>
                <w:szCs w:val="18"/>
                <w:highlight w:val="none"/>
              </w:rPr>
              <w:t>管养时段</w:t>
            </w:r>
          </w:p>
        </w:tc>
        <w:tc>
          <w:tcPr>
            <w:tcW w:w="3727" w:type="pct"/>
            <w:noWrap w:val="0"/>
            <w:vAlign w:val="top"/>
          </w:tcPr>
          <w:p>
            <w:pPr>
              <w:ind w:firstLine="420"/>
              <w:jc w:val="left"/>
              <w:rPr>
                <w:rFonts w:ascii="楷体" w:hAnsi="楷体" w:eastAsia="楷体"/>
                <w:b/>
                <w:sz w:val="18"/>
                <w:szCs w:val="18"/>
                <w:highlight w:val="none"/>
              </w:rPr>
            </w:pPr>
            <w:r>
              <w:rPr>
                <w:rFonts w:hint="eastAsia" w:ascii="楷体" w:hAnsi="楷体" w:eastAsia="楷体"/>
                <w:b/>
                <w:sz w:val="18"/>
                <w:szCs w:val="18"/>
                <w:highlight w:val="none"/>
              </w:rPr>
              <w:t xml:space="preserve">年  </w:t>
            </w:r>
            <w:r>
              <w:rPr>
                <w:rFonts w:ascii="楷体" w:hAnsi="楷体" w:eastAsia="楷体"/>
                <w:b/>
                <w:sz w:val="18"/>
                <w:szCs w:val="18"/>
                <w:highlight w:val="none"/>
              </w:rPr>
              <w:t xml:space="preserve"> </w:t>
            </w:r>
            <w:r>
              <w:rPr>
                <w:rFonts w:hint="eastAsia" w:ascii="楷体" w:hAnsi="楷体" w:eastAsia="楷体"/>
                <w:b/>
                <w:sz w:val="18"/>
                <w:szCs w:val="18"/>
                <w:highlight w:val="none"/>
              </w:rPr>
              <w:t xml:space="preserve">月  </w:t>
            </w:r>
            <w:r>
              <w:rPr>
                <w:rFonts w:ascii="楷体" w:hAnsi="楷体" w:eastAsia="楷体"/>
                <w:b/>
                <w:sz w:val="18"/>
                <w:szCs w:val="18"/>
                <w:highlight w:val="none"/>
              </w:rPr>
              <w:t xml:space="preserve"> </w:t>
            </w:r>
            <w:r>
              <w:rPr>
                <w:rFonts w:hint="eastAsia" w:ascii="楷体" w:hAnsi="楷体" w:eastAsia="楷体"/>
                <w:b/>
                <w:sz w:val="18"/>
                <w:szCs w:val="18"/>
                <w:highlight w:val="none"/>
              </w:rPr>
              <w:t xml:space="preserve">日起至 </w:t>
            </w:r>
            <w:r>
              <w:rPr>
                <w:rFonts w:ascii="楷体" w:hAnsi="楷体" w:eastAsia="楷体"/>
                <w:b/>
                <w:sz w:val="18"/>
                <w:szCs w:val="18"/>
                <w:highlight w:val="none"/>
              </w:rPr>
              <w:t xml:space="preserve"> </w:t>
            </w:r>
            <w:r>
              <w:rPr>
                <w:rFonts w:hint="eastAsia" w:ascii="楷体" w:hAnsi="楷体" w:eastAsia="楷体"/>
                <w:b/>
                <w:sz w:val="18"/>
                <w:szCs w:val="18"/>
                <w:highlight w:val="none"/>
              </w:rPr>
              <w:t xml:space="preserve"> </w:t>
            </w:r>
            <w:r>
              <w:rPr>
                <w:rFonts w:ascii="楷体" w:hAnsi="楷体" w:eastAsia="楷体"/>
                <w:b/>
                <w:sz w:val="18"/>
                <w:szCs w:val="18"/>
                <w:highlight w:val="none"/>
              </w:rPr>
              <w:t xml:space="preserve">  </w:t>
            </w:r>
            <w:r>
              <w:rPr>
                <w:rFonts w:hint="eastAsia" w:ascii="楷体" w:hAnsi="楷体" w:eastAsia="楷体"/>
                <w:b/>
                <w:sz w:val="18"/>
                <w:szCs w:val="18"/>
                <w:highlight w:val="none"/>
              </w:rPr>
              <w:t xml:space="preserve">年  </w:t>
            </w:r>
            <w:r>
              <w:rPr>
                <w:rFonts w:ascii="楷体" w:hAnsi="楷体" w:eastAsia="楷体"/>
                <w:b/>
                <w:sz w:val="18"/>
                <w:szCs w:val="18"/>
                <w:highlight w:val="none"/>
              </w:rPr>
              <w:t xml:space="preserve"> </w:t>
            </w:r>
            <w:r>
              <w:rPr>
                <w:rFonts w:hint="eastAsia" w:ascii="楷体" w:hAnsi="楷体" w:eastAsia="楷体"/>
                <w:b/>
                <w:sz w:val="18"/>
                <w:szCs w:val="18"/>
                <w:highlight w:val="none"/>
              </w:rPr>
              <w:t xml:space="preserve">月  </w:t>
            </w:r>
            <w:r>
              <w:rPr>
                <w:rFonts w:ascii="楷体" w:hAnsi="楷体" w:eastAsia="楷体"/>
                <w:b/>
                <w:sz w:val="18"/>
                <w:szCs w:val="18"/>
                <w:highlight w:val="none"/>
              </w:rPr>
              <w:t xml:space="preserve"> </w:t>
            </w:r>
            <w:r>
              <w:rPr>
                <w:rFonts w:hint="eastAsia" w:ascii="楷体" w:hAnsi="楷体" w:eastAsia="楷体"/>
                <w:b/>
                <w:sz w:val="18"/>
                <w:szCs w:val="18"/>
                <w:highlight w:val="none"/>
              </w:rPr>
              <w:t>日</w:t>
            </w:r>
          </w:p>
        </w:tc>
        <w:tc>
          <w:tcPr>
            <w:tcW w:w="375" w:type="pct"/>
            <w:noWrap w:val="0"/>
            <w:vAlign w:val="top"/>
          </w:tcPr>
          <w:p>
            <w:pPr>
              <w:jc w:val="center"/>
              <w:rPr>
                <w:rFonts w:ascii="楷体" w:hAnsi="楷体" w:eastAsia="楷体"/>
                <w:b/>
                <w:sz w:val="18"/>
                <w:szCs w:val="18"/>
                <w:highlight w:val="none"/>
              </w:rPr>
            </w:pPr>
            <w:r>
              <w:rPr>
                <w:rFonts w:hint="eastAsia" w:ascii="楷体" w:hAnsi="楷体" w:eastAsia="楷体"/>
                <w:b/>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98" w:type="pct"/>
            <w:vMerge w:val="restart"/>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1、景观（20分）</w:t>
            </w:r>
          </w:p>
        </w:tc>
        <w:tc>
          <w:tcPr>
            <w:tcW w:w="3727" w:type="pct"/>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1</w:t>
            </w:r>
            <w:r>
              <w:rPr>
                <w:rFonts w:ascii="楷体" w:hAnsi="楷体" w:eastAsia="楷体"/>
                <w:sz w:val="18"/>
                <w:szCs w:val="18"/>
                <w:highlight w:val="none"/>
              </w:rPr>
              <w:t>.1</w:t>
            </w:r>
            <w:r>
              <w:rPr>
                <w:rFonts w:hint="eastAsia" w:ascii="楷体" w:hAnsi="楷体" w:eastAsia="楷体"/>
                <w:sz w:val="18"/>
                <w:szCs w:val="18"/>
                <w:highlight w:val="none"/>
              </w:rPr>
              <w:t>根据设计意图体现植物造景，管养精细，生长茂盛，景观良好，绿地无黄土裸露。（8分）</w:t>
            </w:r>
          </w:p>
        </w:tc>
        <w:tc>
          <w:tcPr>
            <w:tcW w:w="375" w:type="pct"/>
            <w:noWrap w:val="0"/>
            <w:vAlign w:val="top"/>
          </w:tcPr>
          <w:p>
            <w:pPr>
              <w:jc w:val="left"/>
              <w:rPr>
                <w:rFonts w:ascii="楷体" w:hAnsi="楷体" w:eastAsia="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98" w:type="pct"/>
            <w:vMerge w:val="continue"/>
            <w:noWrap w:val="0"/>
            <w:vAlign w:val="center"/>
          </w:tcPr>
          <w:p>
            <w:pPr>
              <w:jc w:val="center"/>
              <w:rPr>
                <w:rFonts w:ascii="楷体" w:hAnsi="楷体" w:eastAsia="楷体"/>
                <w:sz w:val="18"/>
                <w:szCs w:val="18"/>
                <w:highlight w:val="none"/>
              </w:rPr>
            </w:pPr>
          </w:p>
        </w:tc>
        <w:tc>
          <w:tcPr>
            <w:tcW w:w="3727" w:type="pct"/>
            <w:tcBorders>
              <w:bottom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1</w:t>
            </w:r>
            <w:r>
              <w:rPr>
                <w:rFonts w:ascii="楷体" w:hAnsi="楷体" w:eastAsia="楷体"/>
                <w:sz w:val="18"/>
                <w:szCs w:val="18"/>
                <w:highlight w:val="none"/>
              </w:rPr>
              <w:t>.</w:t>
            </w:r>
            <w:r>
              <w:rPr>
                <w:rFonts w:hint="eastAsia" w:ascii="楷体" w:hAnsi="楷体" w:eastAsia="楷体"/>
                <w:sz w:val="18"/>
                <w:szCs w:val="18"/>
                <w:highlight w:val="none"/>
              </w:rPr>
              <w:t>2确保所有绿化花木长势良好，绿化成活面积达95%以上，乔木、大灌木成活率达98%以上，小灌木成活面积达95%以上。（8分）</w:t>
            </w:r>
          </w:p>
        </w:tc>
        <w:tc>
          <w:tcPr>
            <w:tcW w:w="375" w:type="pct"/>
            <w:tcBorders>
              <w:bottom w:val="single" w:color="auto" w:sz="4" w:space="0"/>
            </w:tcBorders>
            <w:noWrap w:val="0"/>
            <w:vAlign w:val="top"/>
          </w:tcPr>
          <w:p>
            <w:pPr>
              <w:jc w:val="left"/>
              <w:rPr>
                <w:rFonts w:ascii="楷体" w:hAnsi="楷体" w:eastAsia="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98" w:type="pct"/>
            <w:vMerge w:val="continue"/>
            <w:noWrap w:val="0"/>
            <w:vAlign w:val="center"/>
          </w:tcPr>
          <w:p>
            <w:pPr>
              <w:jc w:val="center"/>
              <w:rPr>
                <w:rFonts w:ascii="楷体" w:hAnsi="楷体" w:eastAsia="楷体"/>
                <w:sz w:val="18"/>
                <w:szCs w:val="18"/>
                <w:highlight w:val="none"/>
              </w:rPr>
            </w:pPr>
          </w:p>
        </w:tc>
        <w:tc>
          <w:tcPr>
            <w:tcW w:w="3727" w:type="pct"/>
            <w:tcBorders>
              <w:bottom w:val="single" w:color="auto" w:sz="4" w:space="0"/>
            </w:tcBorders>
            <w:noWrap w:val="0"/>
            <w:vAlign w:val="top"/>
          </w:tcPr>
          <w:p>
            <w:pPr>
              <w:jc w:val="left"/>
              <w:rPr>
                <w:rFonts w:hint="eastAsia" w:ascii="楷体" w:hAnsi="楷体" w:eastAsia="楷体"/>
                <w:sz w:val="18"/>
                <w:szCs w:val="18"/>
                <w:highlight w:val="none"/>
              </w:rPr>
            </w:pPr>
            <w:r>
              <w:rPr>
                <w:rFonts w:hint="eastAsia" w:ascii="楷体" w:hAnsi="楷体" w:eastAsia="楷体"/>
                <w:sz w:val="18"/>
                <w:szCs w:val="18"/>
                <w:highlight w:val="none"/>
              </w:rPr>
              <w:t>1.3树木修剪美观、绿地内无残留枝叶，苗木与草坪衔接流畅，能及时很好的解决树木与电线、建筑物、交通等之间的矛盾。（4分）</w:t>
            </w:r>
          </w:p>
        </w:tc>
        <w:tc>
          <w:tcPr>
            <w:tcW w:w="375" w:type="pct"/>
            <w:tcBorders>
              <w:bottom w:val="single" w:color="auto" w:sz="4" w:space="0"/>
            </w:tcBorders>
            <w:noWrap w:val="0"/>
            <w:vAlign w:val="top"/>
          </w:tcPr>
          <w:p>
            <w:pPr>
              <w:jc w:val="left"/>
              <w:rPr>
                <w:rFonts w:ascii="楷体" w:hAnsi="楷体" w:eastAsia="楷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98" w:type="pct"/>
            <w:tcBorders>
              <w:bottom w:val="single" w:color="auto" w:sz="4" w:space="0"/>
            </w:tcBorders>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2、浇溉（1</w:t>
            </w:r>
            <w:r>
              <w:rPr>
                <w:rFonts w:ascii="楷体" w:hAnsi="楷体" w:eastAsia="楷体"/>
                <w:sz w:val="18"/>
                <w:szCs w:val="18"/>
                <w:highlight w:val="none"/>
              </w:rPr>
              <w:t>0</w:t>
            </w:r>
            <w:r>
              <w:rPr>
                <w:rFonts w:hint="eastAsia" w:ascii="楷体" w:hAnsi="楷体" w:eastAsia="楷体"/>
                <w:sz w:val="18"/>
                <w:szCs w:val="18"/>
                <w:highlight w:val="none"/>
              </w:rPr>
              <w:t>分）</w:t>
            </w:r>
          </w:p>
        </w:tc>
        <w:tc>
          <w:tcPr>
            <w:tcW w:w="3727" w:type="pct"/>
            <w:tcBorders>
              <w:bottom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2</w:t>
            </w:r>
            <w:r>
              <w:rPr>
                <w:rFonts w:ascii="楷体" w:hAnsi="楷体" w:eastAsia="楷体"/>
                <w:sz w:val="18"/>
                <w:szCs w:val="18"/>
                <w:highlight w:val="none"/>
              </w:rPr>
              <w:t>.1</w:t>
            </w:r>
            <w:r>
              <w:rPr>
                <w:rFonts w:hint="eastAsia" w:ascii="楷体" w:hAnsi="楷体" w:eastAsia="楷体"/>
                <w:sz w:val="18"/>
                <w:szCs w:val="18"/>
                <w:highlight w:val="none"/>
              </w:rPr>
              <w:t>适时浇灌花草、树木和绿地，植物长势良好，不出现干旱、水涝引发大面积枯萎或死亡现象。（1</w:t>
            </w:r>
            <w:r>
              <w:rPr>
                <w:rFonts w:ascii="楷体" w:hAnsi="楷体" w:eastAsia="楷体"/>
                <w:sz w:val="18"/>
                <w:szCs w:val="18"/>
                <w:highlight w:val="none"/>
              </w:rPr>
              <w:t>0</w:t>
            </w:r>
            <w:r>
              <w:rPr>
                <w:rFonts w:hint="eastAsia" w:ascii="楷体" w:hAnsi="楷体" w:eastAsia="楷体"/>
                <w:sz w:val="18"/>
                <w:szCs w:val="18"/>
                <w:highlight w:val="none"/>
              </w:rPr>
              <w:t>分）</w:t>
            </w:r>
          </w:p>
        </w:tc>
        <w:tc>
          <w:tcPr>
            <w:tcW w:w="375" w:type="pct"/>
            <w:tcBorders>
              <w:bottom w:val="single" w:color="auto" w:sz="4" w:space="0"/>
            </w:tcBorders>
            <w:noWrap w:val="0"/>
            <w:vAlign w:val="top"/>
          </w:tcPr>
          <w:p>
            <w:pPr>
              <w:jc w:val="left"/>
              <w:rPr>
                <w:rFonts w:ascii="楷体" w:hAnsi="楷体" w:eastAsia="楷体"/>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18"/>
                <w:szCs w:val="18"/>
                <w:highlight w:val="none"/>
              </w:rPr>
            </w:pPr>
            <w:r>
              <w:rPr>
                <w:rFonts w:ascii="楷体" w:hAnsi="楷体" w:eastAsia="楷体"/>
                <w:sz w:val="18"/>
                <w:szCs w:val="18"/>
                <w:highlight w:val="none"/>
              </w:rPr>
              <w:t>3</w:t>
            </w:r>
            <w:r>
              <w:rPr>
                <w:rFonts w:hint="eastAsia" w:ascii="楷体" w:hAnsi="楷体" w:eastAsia="楷体"/>
                <w:sz w:val="18"/>
                <w:szCs w:val="18"/>
                <w:highlight w:val="none"/>
              </w:rPr>
              <w:t>、施肥（10分）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ascii="楷体" w:hAnsi="楷体" w:eastAsia="楷体"/>
                <w:sz w:val="18"/>
                <w:szCs w:val="18"/>
                <w:highlight w:val="none"/>
              </w:rPr>
              <w:t xml:space="preserve">3.1 </w:t>
            </w:r>
            <w:r>
              <w:rPr>
                <w:rFonts w:hint="eastAsia" w:ascii="楷体" w:hAnsi="楷体" w:eastAsia="楷体"/>
                <w:sz w:val="18"/>
                <w:szCs w:val="18"/>
                <w:highlight w:val="none"/>
              </w:rPr>
              <w:t>根据土壤环境，各类植物的生长特点施肥，草坪每年施肥2-</w:t>
            </w:r>
            <w:r>
              <w:rPr>
                <w:rFonts w:ascii="楷体" w:hAnsi="楷体" w:eastAsia="楷体"/>
                <w:sz w:val="18"/>
                <w:szCs w:val="18"/>
                <w:highlight w:val="none"/>
              </w:rPr>
              <w:t>3</w:t>
            </w:r>
            <w:r>
              <w:rPr>
                <w:rFonts w:hint="eastAsia" w:ascii="楷体" w:hAnsi="楷体" w:eastAsia="楷体"/>
                <w:sz w:val="18"/>
                <w:szCs w:val="18"/>
                <w:highlight w:val="none"/>
              </w:rPr>
              <w:t>次，花木每年施肥3-</w:t>
            </w:r>
            <w:r>
              <w:rPr>
                <w:rFonts w:ascii="楷体" w:hAnsi="楷体" w:eastAsia="楷体"/>
                <w:sz w:val="18"/>
                <w:szCs w:val="18"/>
                <w:highlight w:val="none"/>
              </w:rPr>
              <w:t>4</w:t>
            </w:r>
            <w:r>
              <w:rPr>
                <w:rFonts w:hint="eastAsia" w:ascii="楷体" w:hAnsi="楷体" w:eastAsia="楷体"/>
                <w:sz w:val="18"/>
                <w:szCs w:val="18"/>
                <w:highlight w:val="none"/>
              </w:rPr>
              <w:t>次，施肥均匀，充足，适度，绿化植物生长旺盛，枝叶茂盛。（10分）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18"/>
                <w:szCs w:val="18"/>
                <w:highlight w:val="none"/>
              </w:rPr>
            </w:pPr>
            <w:r>
              <w:rPr>
                <w:rFonts w:hint="eastAsia" w:ascii="楷体" w:hAnsi="楷体" w:eastAsia="楷体"/>
                <w:sz w:val="18"/>
                <w:szCs w:val="18"/>
                <w:highlight w:val="none"/>
              </w:rPr>
              <w:t>4、防治病虫（5分）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4</w:t>
            </w:r>
            <w:r>
              <w:rPr>
                <w:rFonts w:ascii="楷体" w:hAnsi="楷体" w:eastAsia="楷体"/>
                <w:sz w:val="18"/>
                <w:szCs w:val="18"/>
                <w:highlight w:val="none"/>
              </w:rPr>
              <w:t>.1</w:t>
            </w:r>
            <w:r>
              <w:rPr>
                <w:rFonts w:hint="eastAsia" w:ascii="楷体" w:hAnsi="楷体" w:eastAsia="楷体"/>
                <w:sz w:val="18"/>
                <w:szCs w:val="18"/>
                <w:highlight w:val="none"/>
              </w:rPr>
              <w:t>做好病虫害防治，以防为主，及时控制病虫危害，不影响观赏效果。（5分）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vMerge w:val="restart"/>
            <w:tcBorders>
              <w:top w:val="single" w:color="auto" w:sz="4" w:space="0"/>
              <w:left w:val="single" w:color="auto" w:sz="4" w:space="0"/>
              <w:right w:val="single" w:color="auto" w:sz="4" w:space="0"/>
            </w:tcBorders>
            <w:noWrap w:val="0"/>
            <w:vAlign w:val="center"/>
          </w:tcPr>
          <w:p>
            <w:pPr>
              <w:rPr>
                <w:rFonts w:ascii="楷体" w:hAnsi="楷体" w:eastAsia="楷体"/>
                <w:sz w:val="18"/>
                <w:szCs w:val="18"/>
                <w:highlight w:val="none"/>
              </w:rPr>
            </w:pPr>
            <w:r>
              <w:rPr>
                <w:rFonts w:ascii="楷体" w:hAnsi="楷体" w:eastAsia="楷体"/>
                <w:sz w:val="18"/>
                <w:szCs w:val="18"/>
                <w:highlight w:val="none"/>
              </w:rPr>
              <w:t>5</w:t>
            </w:r>
            <w:r>
              <w:rPr>
                <w:rFonts w:hint="eastAsia" w:ascii="楷体" w:hAnsi="楷体" w:eastAsia="楷体"/>
                <w:sz w:val="18"/>
                <w:szCs w:val="18"/>
                <w:highlight w:val="none"/>
              </w:rPr>
              <w:t>、修剪（15分）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ascii="楷体" w:hAnsi="楷体" w:eastAsia="楷体"/>
                <w:sz w:val="18"/>
                <w:szCs w:val="18"/>
                <w:highlight w:val="none"/>
              </w:rPr>
              <w:t>5.1</w:t>
            </w:r>
            <w:r>
              <w:rPr>
                <w:rFonts w:hint="eastAsia" w:ascii="楷体" w:hAnsi="楷体" w:eastAsia="楷体"/>
                <w:sz w:val="18"/>
                <w:szCs w:val="18"/>
                <w:highlight w:val="none"/>
              </w:rPr>
              <w:t>树木树冠基本完整，主侧枝分布均称，通风透光，造型美观。（5分）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898" w:type="pct"/>
            <w:vMerge w:val="continue"/>
            <w:tcBorders>
              <w:left w:val="single" w:color="auto" w:sz="4" w:space="0"/>
              <w:right w:val="single" w:color="auto" w:sz="4" w:space="0"/>
            </w:tcBorders>
            <w:noWrap w:val="0"/>
            <w:vAlign w:val="center"/>
          </w:tcPr>
          <w:p>
            <w:pPr>
              <w:jc w:val="center"/>
              <w:rPr>
                <w:rFonts w:ascii="楷体" w:hAnsi="楷体" w:eastAsia="楷体"/>
                <w:sz w:val="18"/>
                <w:szCs w:val="18"/>
                <w:highlight w:val="none"/>
              </w:rPr>
            </w:pP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6"/>
                <w:szCs w:val="16"/>
                <w:highlight w:val="none"/>
              </w:rPr>
            </w:pPr>
            <w:r>
              <w:rPr>
                <w:rFonts w:ascii="楷体" w:hAnsi="楷体" w:eastAsia="楷体"/>
                <w:sz w:val="16"/>
                <w:szCs w:val="16"/>
                <w:highlight w:val="none"/>
              </w:rPr>
              <w:t>5.2</w:t>
            </w:r>
            <w:r>
              <w:rPr>
                <w:rFonts w:hint="eastAsia" w:ascii="楷体" w:hAnsi="楷体" w:eastAsia="楷体"/>
                <w:sz w:val="16"/>
                <w:szCs w:val="16"/>
                <w:highlight w:val="none"/>
              </w:rPr>
              <w:t>绿篱要求离地高度一致，上、下线要求平行，方形块，圆形，弧形等图形要修整美观。（5分）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vMerge w:val="continue"/>
            <w:tcBorders>
              <w:left w:val="single" w:color="auto" w:sz="4" w:space="0"/>
              <w:bottom w:val="single" w:color="auto" w:sz="4" w:space="0"/>
              <w:right w:val="single" w:color="auto" w:sz="4" w:space="0"/>
            </w:tcBorders>
            <w:noWrap w:val="0"/>
            <w:vAlign w:val="center"/>
          </w:tcPr>
          <w:p>
            <w:pPr>
              <w:jc w:val="center"/>
              <w:rPr>
                <w:rFonts w:ascii="楷体" w:hAnsi="楷体" w:eastAsia="楷体"/>
                <w:sz w:val="18"/>
                <w:szCs w:val="18"/>
                <w:highlight w:val="none"/>
              </w:rPr>
            </w:pP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ascii="楷体" w:hAnsi="楷体" w:eastAsia="楷体"/>
                <w:sz w:val="18"/>
                <w:szCs w:val="18"/>
                <w:highlight w:val="none"/>
              </w:rPr>
              <w:t>5.3</w:t>
            </w:r>
            <w:r>
              <w:rPr>
                <w:rFonts w:hint="eastAsia" w:ascii="楷体" w:hAnsi="楷体" w:eastAsia="楷体"/>
                <w:sz w:val="18"/>
                <w:szCs w:val="18"/>
                <w:highlight w:val="none"/>
              </w:rPr>
              <w:t>草地要求草的高度一致，整齐美观，无疯长，无连续空白0</w:t>
            </w:r>
            <w:r>
              <w:rPr>
                <w:rFonts w:ascii="楷体" w:hAnsi="楷体" w:eastAsia="楷体"/>
                <w:sz w:val="18"/>
                <w:szCs w:val="18"/>
                <w:highlight w:val="none"/>
              </w:rPr>
              <w:t>.5</w:t>
            </w:r>
            <w:r>
              <w:rPr>
                <w:rFonts w:hint="eastAsia" w:ascii="楷体" w:hAnsi="楷体" w:eastAsia="楷体"/>
                <w:sz w:val="18"/>
                <w:szCs w:val="18"/>
                <w:highlight w:val="none"/>
              </w:rPr>
              <w:t>㎡以上现象。（</w:t>
            </w:r>
            <w:r>
              <w:rPr>
                <w:rFonts w:ascii="楷体" w:hAnsi="楷体" w:eastAsia="楷体"/>
                <w:sz w:val="18"/>
                <w:szCs w:val="18"/>
                <w:highlight w:val="none"/>
              </w:rPr>
              <w:t>5</w:t>
            </w:r>
            <w:r>
              <w:rPr>
                <w:rFonts w:hint="eastAsia" w:ascii="楷体" w:hAnsi="楷体" w:eastAsia="楷体"/>
                <w:sz w:val="18"/>
                <w:szCs w:val="18"/>
                <w:highlight w:val="none"/>
              </w:rPr>
              <w:t>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6、除草（5分）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6</w:t>
            </w:r>
            <w:r>
              <w:rPr>
                <w:rFonts w:ascii="楷体" w:hAnsi="楷体" w:eastAsia="楷体"/>
                <w:sz w:val="18"/>
                <w:szCs w:val="18"/>
                <w:highlight w:val="none"/>
              </w:rPr>
              <w:t>.1</w:t>
            </w:r>
            <w:r>
              <w:rPr>
                <w:rFonts w:hint="eastAsia" w:ascii="楷体" w:hAnsi="楷体" w:eastAsia="楷体"/>
                <w:sz w:val="18"/>
                <w:szCs w:val="18"/>
                <w:highlight w:val="none"/>
              </w:rPr>
              <w:t>做好所有绿化地、草坪表面内外杂草清除干净和松土工作，平面上不露任何杂草，垃圾当天运送。（5分）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7、防灾（5分）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7</w:t>
            </w:r>
            <w:r>
              <w:rPr>
                <w:rFonts w:ascii="楷体" w:hAnsi="楷体" w:eastAsia="楷体"/>
                <w:sz w:val="18"/>
                <w:szCs w:val="18"/>
                <w:highlight w:val="none"/>
              </w:rPr>
              <w:t>.1</w:t>
            </w:r>
            <w:r>
              <w:rPr>
                <w:rFonts w:hint="eastAsia" w:ascii="楷体" w:hAnsi="楷体" w:eastAsia="楷体"/>
                <w:sz w:val="18"/>
                <w:szCs w:val="18"/>
                <w:highlight w:val="none"/>
              </w:rPr>
              <w:t>有防暴风雨，台风，冰冻雨措施，及时排涝，对危树及时修枝，加固或申报更换等措施遇灾及时组织进行抢扶。（5分）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18"/>
                <w:szCs w:val="18"/>
                <w:highlight w:val="none"/>
              </w:rPr>
            </w:pPr>
            <w:r>
              <w:rPr>
                <w:rFonts w:ascii="楷体" w:hAnsi="楷体" w:eastAsia="楷体"/>
                <w:sz w:val="18"/>
                <w:szCs w:val="18"/>
                <w:highlight w:val="none"/>
              </w:rPr>
              <w:t>8</w:t>
            </w:r>
            <w:r>
              <w:rPr>
                <w:rFonts w:hint="eastAsia" w:ascii="楷体" w:hAnsi="楷体" w:eastAsia="楷体"/>
                <w:sz w:val="18"/>
                <w:szCs w:val="18"/>
                <w:highlight w:val="none"/>
              </w:rPr>
              <w:t>、补植（5分）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8</w:t>
            </w:r>
            <w:r>
              <w:rPr>
                <w:rFonts w:ascii="楷体" w:hAnsi="楷体" w:eastAsia="楷体"/>
                <w:sz w:val="18"/>
                <w:szCs w:val="18"/>
                <w:highlight w:val="none"/>
              </w:rPr>
              <w:t>.1</w:t>
            </w:r>
            <w:r>
              <w:rPr>
                <w:rFonts w:hint="eastAsia" w:ascii="楷体" w:hAnsi="楷体" w:eastAsia="楷体"/>
                <w:sz w:val="18"/>
                <w:szCs w:val="18"/>
                <w:highlight w:val="none"/>
              </w:rPr>
              <w:t>对管理、营养不当造成的死亡植物，能够及时进行补植。（5分）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9、土质改良（5分）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楷体" w:hAnsi="楷体" w:eastAsia="楷体"/>
                <w:sz w:val="18"/>
                <w:szCs w:val="18"/>
                <w:highlight w:val="none"/>
              </w:rPr>
            </w:pPr>
            <w:r>
              <w:rPr>
                <w:rFonts w:hint="eastAsia" w:ascii="楷体" w:hAnsi="楷体" w:eastAsia="楷体"/>
                <w:sz w:val="18"/>
                <w:szCs w:val="18"/>
                <w:highlight w:val="none"/>
              </w:rPr>
              <w:t>9.1确保清除土壤上的杂草、清除土壤中的石块，人工撒铺有机肥料，保证土质的改良利于苗木成活率的提升。</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10.垃圾清运（5分）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楷体" w:hAnsi="楷体" w:eastAsia="楷体"/>
                <w:sz w:val="18"/>
                <w:szCs w:val="18"/>
                <w:highlight w:val="none"/>
              </w:rPr>
            </w:pPr>
            <w:r>
              <w:rPr>
                <w:rFonts w:hint="eastAsia" w:ascii="楷体" w:hAnsi="楷体" w:eastAsia="楷体"/>
                <w:sz w:val="18"/>
                <w:szCs w:val="18"/>
                <w:highlight w:val="none"/>
              </w:rPr>
              <w:t>10.1对绿化场区内垃圾进行收集、运输、转运和场区内清运后打扫，保证场区内整洁、干净、美观。（5分）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98" w:type="pct"/>
            <w:tcBorders>
              <w:top w:val="single" w:color="auto" w:sz="4" w:space="0"/>
              <w:left w:val="single" w:color="auto" w:sz="4" w:space="0"/>
              <w:bottom w:val="single" w:color="auto" w:sz="4" w:space="0"/>
              <w:right w:val="single" w:color="auto" w:sz="4" w:space="0"/>
            </w:tcBorders>
            <w:noWrap w:val="0"/>
            <w:vAlign w:val="center"/>
          </w:tcPr>
          <w:p>
            <w:pPr>
              <w:rPr>
                <w:rFonts w:hint="eastAsia" w:ascii="楷体" w:hAnsi="楷体" w:eastAsia="楷体"/>
                <w:sz w:val="18"/>
                <w:szCs w:val="18"/>
                <w:highlight w:val="none"/>
              </w:rPr>
            </w:pPr>
            <w:r>
              <w:rPr>
                <w:rFonts w:hint="eastAsia" w:ascii="楷体" w:hAnsi="楷体" w:eastAsia="楷体"/>
                <w:sz w:val="18"/>
                <w:szCs w:val="18"/>
                <w:highlight w:val="none"/>
              </w:rPr>
              <w:t>11.人员考勤（10分）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楷体" w:hAnsi="楷体" w:eastAsia="楷体"/>
                <w:sz w:val="18"/>
                <w:szCs w:val="18"/>
                <w:highlight w:val="none"/>
              </w:rPr>
            </w:pPr>
            <w:r>
              <w:rPr>
                <w:rFonts w:hint="eastAsia" w:ascii="楷体" w:hAnsi="楷体" w:eastAsia="楷体"/>
                <w:sz w:val="18"/>
                <w:szCs w:val="18"/>
                <w:highlight w:val="none"/>
              </w:rPr>
              <w:t>11.1常驻至少3名绿化管养工人，并在管养期限对人员进行打卡考勤制度（每月人员现场绿化管养打卡天数不少于22天，且每日指纹考勤打卡4次）。（10分）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vMerge w:val="restart"/>
            <w:tcBorders>
              <w:top w:val="single" w:color="auto" w:sz="4" w:space="0"/>
              <w:left w:val="single" w:color="auto" w:sz="4" w:space="0"/>
              <w:right w:val="single" w:color="auto" w:sz="4" w:space="0"/>
            </w:tcBorders>
            <w:noWrap w:val="0"/>
            <w:vAlign w:val="center"/>
          </w:tcPr>
          <w:p>
            <w:pPr>
              <w:rPr>
                <w:rFonts w:ascii="楷体" w:hAnsi="楷体" w:eastAsia="楷体"/>
                <w:sz w:val="18"/>
                <w:szCs w:val="18"/>
                <w:highlight w:val="none"/>
              </w:rPr>
            </w:pPr>
            <w:r>
              <w:rPr>
                <w:rFonts w:hint="eastAsia" w:ascii="楷体" w:hAnsi="楷体" w:eastAsia="楷体"/>
                <w:sz w:val="18"/>
                <w:szCs w:val="18"/>
                <w:highlight w:val="none"/>
              </w:rPr>
              <w:t>12、其他（5分）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12</w:t>
            </w:r>
            <w:r>
              <w:rPr>
                <w:rFonts w:ascii="楷体" w:hAnsi="楷体" w:eastAsia="楷体"/>
                <w:sz w:val="18"/>
                <w:szCs w:val="18"/>
                <w:highlight w:val="none"/>
              </w:rPr>
              <w:t>.1</w:t>
            </w:r>
            <w:r>
              <w:rPr>
                <w:rFonts w:hint="eastAsia" w:ascii="楷体" w:hAnsi="楷体" w:eastAsia="楷体"/>
                <w:sz w:val="18"/>
                <w:szCs w:val="18"/>
                <w:highlight w:val="none"/>
              </w:rPr>
              <w:t>管养人员必须按规范作业，并设置必要的安全防护措施，做到安全，文明作业。绿化辅助设施分布合理、放置整齐、安全、平整、完好、美观。（2.5分）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vMerge w:val="continue"/>
            <w:tcBorders>
              <w:left w:val="single" w:color="auto" w:sz="4" w:space="0"/>
              <w:right w:val="single" w:color="auto" w:sz="4" w:space="0"/>
            </w:tcBorders>
            <w:noWrap w:val="0"/>
            <w:vAlign w:val="top"/>
          </w:tcPr>
          <w:p>
            <w:pPr>
              <w:jc w:val="center"/>
              <w:rPr>
                <w:rFonts w:ascii="楷体" w:hAnsi="楷体" w:eastAsia="楷体"/>
                <w:sz w:val="18"/>
                <w:szCs w:val="18"/>
                <w:highlight w:val="none"/>
              </w:rPr>
            </w:pP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r>
              <w:rPr>
                <w:rFonts w:hint="eastAsia" w:ascii="楷体" w:hAnsi="楷体" w:eastAsia="楷体"/>
                <w:sz w:val="18"/>
                <w:szCs w:val="18"/>
                <w:highlight w:val="none"/>
              </w:rPr>
              <w:t>12</w:t>
            </w:r>
            <w:r>
              <w:rPr>
                <w:rFonts w:ascii="楷体" w:hAnsi="楷体" w:eastAsia="楷体"/>
                <w:sz w:val="18"/>
                <w:szCs w:val="18"/>
                <w:highlight w:val="none"/>
              </w:rPr>
              <w:t>.2</w:t>
            </w:r>
            <w:r>
              <w:rPr>
                <w:rFonts w:hint="eastAsia" w:ascii="楷体" w:hAnsi="楷体" w:eastAsia="楷体"/>
                <w:sz w:val="18"/>
                <w:szCs w:val="18"/>
                <w:highlight w:val="none"/>
              </w:rPr>
              <w:t>做好对土质较差或土壤流失严重的植物进行必要的培土。（2.5分）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 w:val="24"/>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top"/>
          </w:tcPr>
          <w:p>
            <w:pPr>
              <w:jc w:val="center"/>
              <w:rPr>
                <w:rFonts w:ascii="楷体" w:hAnsi="楷体" w:eastAsia="楷体"/>
                <w:b/>
                <w:sz w:val="15"/>
                <w:szCs w:val="15"/>
                <w:highlight w:val="none"/>
              </w:rPr>
            </w:pPr>
            <w:r>
              <w:rPr>
                <w:rFonts w:hint="eastAsia" w:ascii="楷体" w:hAnsi="楷体" w:eastAsia="楷体"/>
                <w:b/>
                <w:sz w:val="15"/>
                <w:szCs w:val="15"/>
                <w:highlight w:val="none"/>
              </w:rPr>
              <w:t>总体评价及总得分</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Cs w:val="21"/>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8" w:type="pct"/>
            <w:tcBorders>
              <w:top w:val="single" w:color="auto" w:sz="4" w:space="0"/>
              <w:left w:val="single" w:color="auto" w:sz="4" w:space="0"/>
              <w:bottom w:val="single" w:color="auto" w:sz="4" w:space="0"/>
              <w:right w:val="single" w:color="auto" w:sz="4" w:space="0"/>
            </w:tcBorders>
            <w:noWrap w:val="0"/>
            <w:vAlign w:val="top"/>
          </w:tcPr>
          <w:p>
            <w:pPr>
              <w:rPr>
                <w:rFonts w:ascii="楷体" w:hAnsi="楷体" w:eastAsia="楷体"/>
                <w:b/>
                <w:sz w:val="15"/>
                <w:szCs w:val="15"/>
                <w:highlight w:val="none"/>
              </w:rPr>
            </w:pPr>
            <w:r>
              <w:rPr>
                <w:rFonts w:hint="eastAsia" w:ascii="楷体" w:hAnsi="楷体" w:eastAsia="楷体"/>
                <w:b/>
                <w:sz w:val="15"/>
                <w:szCs w:val="15"/>
                <w:highlight w:val="none"/>
              </w:rPr>
              <w:t>本次支付的管理费用</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Cs w:val="21"/>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898" w:type="pct"/>
            <w:tcBorders>
              <w:top w:val="single" w:color="auto" w:sz="4" w:space="0"/>
              <w:left w:val="single" w:color="auto" w:sz="4" w:space="0"/>
              <w:bottom w:val="single" w:color="auto" w:sz="4" w:space="0"/>
              <w:right w:val="single" w:color="auto" w:sz="4" w:space="0"/>
            </w:tcBorders>
            <w:noWrap w:val="0"/>
            <w:vAlign w:val="top"/>
          </w:tcPr>
          <w:p>
            <w:pPr>
              <w:jc w:val="center"/>
              <w:rPr>
                <w:rFonts w:ascii="楷体" w:hAnsi="楷体" w:eastAsia="楷体"/>
                <w:b/>
                <w:sz w:val="15"/>
                <w:szCs w:val="15"/>
                <w:highlight w:val="none"/>
              </w:rPr>
            </w:pPr>
            <w:r>
              <w:rPr>
                <w:rFonts w:hint="eastAsia" w:ascii="楷体" w:hAnsi="楷体" w:eastAsia="楷体"/>
                <w:b/>
                <w:sz w:val="15"/>
                <w:szCs w:val="15"/>
                <w:highlight w:val="none"/>
              </w:rPr>
              <w:t>参加检查人员签字</w:t>
            </w:r>
          </w:p>
        </w:tc>
        <w:tc>
          <w:tcPr>
            <w:tcW w:w="3727"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sz w:val="18"/>
                <w:szCs w:val="18"/>
                <w:highlight w:val="none"/>
              </w:rPr>
            </w:pPr>
          </w:p>
        </w:tc>
        <w:tc>
          <w:tcPr>
            <w:tcW w:w="375" w:type="pct"/>
            <w:tcBorders>
              <w:top w:val="single" w:color="auto" w:sz="4" w:space="0"/>
              <w:left w:val="single" w:color="auto" w:sz="4" w:space="0"/>
              <w:bottom w:val="single" w:color="auto" w:sz="4" w:space="0"/>
              <w:right w:val="single" w:color="auto" w:sz="4" w:space="0"/>
            </w:tcBorders>
            <w:noWrap w:val="0"/>
            <w:vAlign w:val="top"/>
          </w:tcPr>
          <w:p>
            <w:pPr>
              <w:jc w:val="left"/>
              <w:rPr>
                <w:rFonts w:ascii="楷体" w:hAnsi="楷体" w:eastAsia="楷体"/>
                <w:b/>
                <w:szCs w:val="21"/>
                <w:highlight w:val="none"/>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898" w:type="pct"/>
            <w:tcBorders>
              <w:top w:val="single" w:color="auto" w:sz="4" w:space="0"/>
              <w:left w:val="single" w:color="auto" w:sz="4" w:space="0"/>
              <w:bottom w:val="single" w:color="auto" w:sz="4" w:space="0"/>
              <w:right w:val="single" w:color="auto" w:sz="4" w:space="0"/>
            </w:tcBorders>
            <w:noWrap w:val="0"/>
            <w:vAlign w:val="top"/>
          </w:tcPr>
          <w:p>
            <w:pPr>
              <w:jc w:val="center"/>
              <w:rPr>
                <w:rFonts w:ascii="楷体" w:hAnsi="楷体" w:eastAsia="楷体"/>
                <w:b/>
                <w:szCs w:val="21"/>
                <w:highlight w:val="none"/>
              </w:rPr>
            </w:pPr>
          </w:p>
        </w:tc>
        <w:tc>
          <w:tcPr>
            <w:tcW w:w="4102" w:type="pct"/>
            <w:gridSpan w:val="2"/>
            <w:tcBorders>
              <w:top w:val="single" w:color="auto" w:sz="4" w:space="0"/>
              <w:left w:val="single" w:color="auto" w:sz="4" w:space="0"/>
              <w:bottom w:val="single" w:color="auto" w:sz="4" w:space="0"/>
              <w:right w:val="single" w:color="auto" w:sz="4" w:space="0"/>
            </w:tcBorders>
            <w:noWrap w:val="0"/>
            <w:vAlign w:val="top"/>
          </w:tcPr>
          <w:p>
            <w:pPr>
              <w:jc w:val="right"/>
              <w:rPr>
                <w:rFonts w:ascii="楷体" w:hAnsi="楷体" w:eastAsia="楷体"/>
                <w:b/>
                <w:szCs w:val="21"/>
                <w:highlight w:val="none"/>
              </w:rPr>
            </w:pPr>
            <w:r>
              <w:rPr>
                <w:rFonts w:hint="eastAsia" w:ascii="楷体" w:hAnsi="楷体" w:eastAsia="楷体"/>
                <w:b/>
                <w:szCs w:val="21"/>
                <w:highlight w:val="none"/>
              </w:rPr>
              <w:t xml:space="preserve">检查日期：  </w:t>
            </w:r>
            <w:r>
              <w:rPr>
                <w:rFonts w:ascii="楷体" w:hAnsi="楷体" w:eastAsia="楷体"/>
                <w:b/>
                <w:szCs w:val="21"/>
                <w:highlight w:val="none"/>
              </w:rPr>
              <w:t xml:space="preserve"> </w:t>
            </w:r>
            <w:r>
              <w:rPr>
                <w:rFonts w:hint="eastAsia" w:ascii="楷体" w:hAnsi="楷体" w:eastAsia="楷体"/>
                <w:b/>
                <w:szCs w:val="21"/>
                <w:highlight w:val="none"/>
              </w:rPr>
              <w:t xml:space="preserve"> 年   月  </w:t>
            </w:r>
            <w:r>
              <w:rPr>
                <w:rFonts w:ascii="楷体" w:hAnsi="楷体" w:eastAsia="楷体"/>
                <w:b/>
                <w:szCs w:val="21"/>
                <w:highlight w:val="none"/>
              </w:rPr>
              <w:t xml:space="preserve"> </w:t>
            </w:r>
            <w:r>
              <w:rPr>
                <w:rFonts w:hint="eastAsia" w:ascii="楷体" w:hAnsi="楷体" w:eastAsia="楷体"/>
                <w:b/>
                <w:szCs w:val="21"/>
                <w:highlight w:val="none"/>
              </w:rPr>
              <w:t>日</w:t>
            </w:r>
            <w:r>
              <w:rPr>
                <w:rFonts w:ascii="楷体" w:hAnsi="楷体" w:eastAsia="楷体"/>
                <w:b/>
                <w:szCs w:val="21"/>
                <w:highlight w:val="none"/>
              </w:rPr>
              <w:t xml:space="preserve"> </w:t>
            </w:r>
          </w:p>
        </w:tc>
      </w:tr>
    </w:tbl>
    <w:p>
      <w:pPr>
        <w:jc w:val="left"/>
        <w:rPr>
          <w:rFonts w:ascii="楷体" w:hAnsi="楷体" w:eastAsia="楷体"/>
          <w:szCs w:val="21"/>
          <w:highlight w:val="none"/>
        </w:rPr>
      </w:pPr>
      <w:r>
        <w:rPr>
          <w:rFonts w:hint="eastAsia" w:ascii="楷体" w:hAnsi="楷体" w:eastAsia="楷体"/>
          <w:b/>
          <w:szCs w:val="21"/>
          <w:highlight w:val="none"/>
        </w:rPr>
        <w:t>备注</w:t>
      </w:r>
      <w:r>
        <w:rPr>
          <w:rFonts w:hint="eastAsia" w:ascii="楷体" w:hAnsi="楷体" w:eastAsia="楷体"/>
          <w:b/>
          <w:sz w:val="22"/>
          <w:highlight w:val="none"/>
        </w:rPr>
        <w:t>：</w:t>
      </w:r>
      <w:r>
        <w:rPr>
          <w:rFonts w:hint="eastAsia" w:ascii="楷体" w:hAnsi="楷体" w:eastAsia="楷体"/>
          <w:szCs w:val="21"/>
          <w:highlight w:val="none"/>
        </w:rPr>
        <w:t>1、本表适用于对赣州高速公路有限责任公司机关大院绿化日常管养项目绿化管养单位的考评，满分为1</w:t>
      </w:r>
      <w:r>
        <w:rPr>
          <w:rFonts w:ascii="楷体" w:hAnsi="楷体" w:eastAsia="楷体"/>
          <w:szCs w:val="21"/>
          <w:highlight w:val="none"/>
        </w:rPr>
        <w:t>00</w:t>
      </w:r>
      <w:r>
        <w:rPr>
          <w:rFonts w:hint="eastAsia" w:ascii="楷体" w:hAnsi="楷体" w:eastAsia="楷体"/>
          <w:szCs w:val="21"/>
          <w:highlight w:val="none"/>
        </w:rPr>
        <w:t>分。</w:t>
      </w:r>
    </w:p>
    <w:p>
      <w:pPr>
        <w:ind w:firstLine="630" w:firstLineChars="300"/>
        <w:jc w:val="left"/>
        <w:rPr>
          <w:rFonts w:hint="eastAsia" w:ascii="楷体" w:hAnsi="楷体" w:eastAsia="楷体"/>
          <w:szCs w:val="21"/>
          <w:highlight w:val="none"/>
        </w:rPr>
      </w:pPr>
      <w:r>
        <w:rPr>
          <w:rFonts w:ascii="楷体" w:hAnsi="楷体" w:eastAsia="楷体"/>
          <w:szCs w:val="21"/>
          <w:highlight w:val="none"/>
        </w:rPr>
        <w:t>2</w:t>
      </w:r>
      <w:r>
        <w:rPr>
          <w:rFonts w:hint="eastAsia" w:ascii="楷体" w:hAnsi="楷体" w:eastAsia="楷体"/>
          <w:szCs w:val="21"/>
          <w:highlight w:val="none"/>
        </w:rPr>
        <w:t>、各分项分值扣完为止，不计负分。</w:t>
      </w:r>
    </w:p>
    <w:p>
      <w:pPr>
        <w:ind w:firstLine="630" w:firstLineChars="300"/>
        <w:jc w:val="left"/>
        <w:rPr>
          <w:highlight w:val="none"/>
        </w:rPr>
      </w:pPr>
      <w:r>
        <w:rPr>
          <w:rFonts w:hint="eastAsia" w:ascii="楷体" w:hAnsi="楷体" w:eastAsia="楷体"/>
          <w:szCs w:val="21"/>
          <w:highlight w:val="none"/>
        </w:rPr>
        <w:t>3、每次考评及验收，风控审计部、招投标管理部、党委办办公室需共同参与。</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ED1EF5"/>
    <w:multiLevelType w:val="multilevel"/>
    <w:tmpl w:val="0FED1EF5"/>
    <w:lvl w:ilvl="0" w:tentative="0">
      <w:start w:val="1"/>
      <w:numFmt w:val="japaneseCounting"/>
      <w:lvlText w:val="%1、"/>
      <w:lvlJc w:val="left"/>
      <w:pPr>
        <w:ind w:left="1467" w:hanging="720"/>
      </w:pPr>
      <w:rPr>
        <w:rFonts w:hint="default"/>
      </w:rPr>
    </w:lvl>
    <w:lvl w:ilvl="1" w:tentative="0">
      <w:start w:val="1"/>
      <w:numFmt w:val="lowerLetter"/>
      <w:lvlText w:val="%2)"/>
      <w:lvlJc w:val="left"/>
      <w:pPr>
        <w:ind w:left="1587" w:hanging="420"/>
      </w:pPr>
    </w:lvl>
    <w:lvl w:ilvl="2" w:tentative="0">
      <w:start w:val="1"/>
      <w:numFmt w:val="lowerRoman"/>
      <w:lvlText w:val="%3."/>
      <w:lvlJc w:val="right"/>
      <w:pPr>
        <w:ind w:left="2007" w:hanging="420"/>
      </w:pPr>
    </w:lvl>
    <w:lvl w:ilvl="3" w:tentative="0">
      <w:start w:val="1"/>
      <w:numFmt w:val="decimal"/>
      <w:lvlText w:val="%4."/>
      <w:lvlJc w:val="left"/>
      <w:pPr>
        <w:ind w:left="2427" w:hanging="420"/>
      </w:pPr>
    </w:lvl>
    <w:lvl w:ilvl="4" w:tentative="0">
      <w:start w:val="1"/>
      <w:numFmt w:val="lowerLetter"/>
      <w:lvlText w:val="%5)"/>
      <w:lvlJc w:val="left"/>
      <w:pPr>
        <w:ind w:left="2847" w:hanging="420"/>
      </w:pPr>
    </w:lvl>
    <w:lvl w:ilvl="5" w:tentative="0">
      <w:start w:val="1"/>
      <w:numFmt w:val="lowerRoman"/>
      <w:lvlText w:val="%6."/>
      <w:lvlJc w:val="right"/>
      <w:pPr>
        <w:ind w:left="3267" w:hanging="420"/>
      </w:pPr>
    </w:lvl>
    <w:lvl w:ilvl="6" w:tentative="0">
      <w:start w:val="1"/>
      <w:numFmt w:val="decimal"/>
      <w:lvlText w:val="%7."/>
      <w:lvlJc w:val="left"/>
      <w:pPr>
        <w:ind w:left="3687" w:hanging="420"/>
      </w:pPr>
    </w:lvl>
    <w:lvl w:ilvl="7" w:tentative="0">
      <w:start w:val="1"/>
      <w:numFmt w:val="lowerLetter"/>
      <w:lvlText w:val="%8)"/>
      <w:lvlJc w:val="left"/>
      <w:pPr>
        <w:ind w:left="4107" w:hanging="420"/>
      </w:pPr>
    </w:lvl>
    <w:lvl w:ilvl="8" w:tentative="0">
      <w:start w:val="1"/>
      <w:numFmt w:val="lowerRoman"/>
      <w:lvlText w:val="%9."/>
      <w:lvlJc w:val="right"/>
      <w:pPr>
        <w:ind w:left="45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4M2UyNmY0ZGRjMzE3NzRkMDI4ZTAyZGE4ZjkzNDUifQ=="/>
    <w:docVar w:name="KSO_WPS_MARK_KEY" w:val="e424a997-de42-40ce-a695-5e1b1f1cd6b4"/>
  </w:docVars>
  <w:rsids>
    <w:rsidRoot w:val="00660D75"/>
    <w:rsid w:val="000051D2"/>
    <w:rsid w:val="000065D8"/>
    <w:rsid w:val="0002161B"/>
    <w:rsid w:val="00033225"/>
    <w:rsid w:val="00037DA5"/>
    <w:rsid w:val="00046823"/>
    <w:rsid w:val="00051AEE"/>
    <w:rsid w:val="00063F73"/>
    <w:rsid w:val="000716FB"/>
    <w:rsid w:val="00074479"/>
    <w:rsid w:val="000815CB"/>
    <w:rsid w:val="00083DB8"/>
    <w:rsid w:val="00084CBB"/>
    <w:rsid w:val="00085C71"/>
    <w:rsid w:val="0008750F"/>
    <w:rsid w:val="00091CC6"/>
    <w:rsid w:val="000928FF"/>
    <w:rsid w:val="00097A38"/>
    <w:rsid w:val="000B1B4B"/>
    <w:rsid w:val="000C650F"/>
    <w:rsid w:val="000D0968"/>
    <w:rsid w:val="000D2318"/>
    <w:rsid w:val="000F1072"/>
    <w:rsid w:val="001069CA"/>
    <w:rsid w:val="001176EC"/>
    <w:rsid w:val="00120B34"/>
    <w:rsid w:val="00135715"/>
    <w:rsid w:val="00141812"/>
    <w:rsid w:val="00142B43"/>
    <w:rsid w:val="0014425F"/>
    <w:rsid w:val="00145F26"/>
    <w:rsid w:val="001467A3"/>
    <w:rsid w:val="00160053"/>
    <w:rsid w:val="00160DDF"/>
    <w:rsid w:val="00172AD7"/>
    <w:rsid w:val="00186DC6"/>
    <w:rsid w:val="00192FB6"/>
    <w:rsid w:val="0019303D"/>
    <w:rsid w:val="001A44DA"/>
    <w:rsid w:val="001C0DE5"/>
    <w:rsid w:val="001C4D66"/>
    <w:rsid w:val="001C5D23"/>
    <w:rsid w:val="001D52D2"/>
    <w:rsid w:val="001D7365"/>
    <w:rsid w:val="001D7BE3"/>
    <w:rsid w:val="001E7826"/>
    <w:rsid w:val="002005AF"/>
    <w:rsid w:val="00203E30"/>
    <w:rsid w:val="002068CE"/>
    <w:rsid w:val="0021649C"/>
    <w:rsid w:val="002264A3"/>
    <w:rsid w:val="00232045"/>
    <w:rsid w:val="00235544"/>
    <w:rsid w:val="0025016B"/>
    <w:rsid w:val="00257717"/>
    <w:rsid w:val="0026059E"/>
    <w:rsid w:val="00260BC7"/>
    <w:rsid w:val="002630E2"/>
    <w:rsid w:val="00267734"/>
    <w:rsid w:val="00273E6A"/>
    <w:rsid w:val="00275AC2"/>
    <w:rsid w:val="00280591"/>
    <w:rsid w:val="002814C8"/>
    <w:rsid w:val="00285493"/>
    <w:rsid w:val="0028707C"/>
    <w:rsid w:val="00293B2F"/>
    <w:rsid w:val="0029538E"/>
    <w:rsid w:val="002C4C44"/>
    <w:rsid w:val="002C515D"/>
    <w:rsid w:val="002D23E1"/>
    <w:rsid w:val="002E2A07"/>
    <w:rsid w:val="002F23EE"/>
    <w:rsid w:val="002F54D0"/>
    <w:rsid w:val="002F7278"/>
    <w:rsid w:val="003031BA"/>
    <w:rsid w:val="00304605"/>
    <w:rsid w:val="00322C40"/>
    <w:rsid w:val="003333E0"/>
    <w:rsid w:val="003369D7"/>
    <w:rsid w:val="00345588"/>
    <w:rsid w:val="00353DD4"/>
    <w:rsid w:val="003966F0"/>
    <w:rsid w:val="00397F62"/>
    <w:rsid w:val="003A16EF"/>
    <w:rsid w:val="003A44EA"/>
    <w:rsid w:val="003B32C2"/>
    <w:rsid w:val="003B4F0E"/>
    <w:rsid w:val="003D57CB"/>
    <w:rsid w:val="003E61B2"/>
    <w:rsid w:val="003F1ABE"/>
    <w:rsid w:val="003F381C"/>
    <w:rsid w:val="004030C6"/>
    <w:rsid w:val="00404D05"/>
    <w:rsid w:val="00411C57"/>
    <w:rsid w:val="004261A1"/>
    <w:rsid w:val="0047053F"/>
    <w:rsid w:val="004736C8"/>
    <w:rsid w:val="0048667E"/>
    <w:rsid w:val="004908FC"/>
    <w:rsid w:val="004A4014"/>
    <w:rsid w:val="004A6B23"/>
    <w:rsid w:val="004A7C58"/>
    <w:rsid w:val="004B55BC"/>
    <w:rsid w:val="004C4F86"/>
    <w:rsid w:val="004E4021"/>
    <w:rsid w:val="005161CF"/>
    <w:rsid w:val="00525EF6"/>
    <w:rsid w:val="00542279"/>
    <w:rsid w:val="00545340"/>
    <w:rsid w:val="00547D13"/>
    <w:rsid w:val="00553BF1"/>
    <w:rsid w:val="00566DC9"/>
    <w:rsid w:val="0057406F"/>
    <w:rsid w:val="005812C2"/>
    <w:rsid w:val="00584C48"/>
    <w:rsid w:val="00586C4E"/>
    <w:rsid w:val="00587645"/>
    <w:rsid w:val="00593C09"/>
    <w:rsid w:val="005A19A0"/>
    <w:rsid w:val="005A451C"/>
    <w:rsid w:val="005B033D"/>
    <w:rsid w:val="005B399C"/>
    <w:rsid w:val="005B5A95"/>
    <w:rsid w:val="005C461C"/>
    <w:rsid w:val="005C6D79"/>
    <w:rsid w:val="005D2665"/>
    <w:rsid w:val="005D7505"/>
    <w:rsid w:val="005E0F1B"/>
    <w:rsid w:val="005E164F"/>
    <w:rsid w:val="00601356"/>
    <w:rsid w:val="00603A08"/>
    <w:rsid w:val="00621E87"/>
    <w:rsid w:val="00635EB8"/>
    <w:rsid w:val="006408B2"/>
    <w:rsid w:val="00640925"/>
    <w:rsid w:val="00645D94"/>
    <w:rsid w:val="006502F9"/>
    <w:rsid w:val="00660D75"/>
    <w:rsid w:val="00666BB6"/>
    <w:rsid w:val="00672390"/>
    <w:rsid w:val="00674737"/>
    <w:rsid w:val="00677F80"/>
    <w:rsid w:val="00683715"/>
    <w:rsid w:val="0068453E"/>
    <w:rsid w:val="00690783"/>
    <w:rsid w:val="00692814"/>
    <w:rsid w:val="0069659B"/>
    <w:rsid w:val="006A4971"/>
    <w:rsid w:val="006A713A"/>
    <w:rsid w:val="006B7A44"/>
    <w:rsid w:val="006D0CAB"/>
    <w:rsid w:val="006D1CD9"/>
    <w:rsid w:val="006D3847"/>
    <w:rsid w:val="006D4908"/>
    <w:rsid w:val="006F1EDF"/>
    <w:rsid w:val="006F2321"/>
    <w:rsid w:val="0072387D"/>
    <w:rsid w:val="0072714E"/>
    <w:rsid w:val="00727370"/>
    <w:rsid w:val="0074081E"/>
    <w:rsid w:val="0074624B"/>
    <w:rsid w:val="007463B9"/>
    <w:rsid w:val="0076074D"/>
    <w:rsid w:val="00763B4E"/>
    <w:rsid w:val="007736CB"/>
    <w:rsid w:val="00777854"/>
    <w:rsid w:val="00780289"/>
    <w:rsid w:val="0078413E"/>
    <w:rsid w:val="007845E6"/>
    <w:rsid w:val="00784839"/>
    <w:rsid w:val="00785E60"/>
    <w:rsid w:val="007931EC"/>
    <w:rsid w:val="00793C21"/>
    <w:rsid w:val="00796991"/>
    <w:rsid w:val="007A75FB"/>
    <w:rsid w:val="007D6643"/>
    <w:rsid w:val="007E7138"/>
    <w:rsid w:val="007F2A35"/>
    <w:rsid w:val="00802094"/>
    <w:rsid w:val="0082456C"/>
    <w:rsid w:val="00825B51"/>
    <w:rsid w:val="00836719"/>
    <w:rsid w:val="00851A37"/>
    <w:rsid w:val="00861DA5"/>
    <w:rsid w:val="008625F0"/>
    <w:rsid w:val="00874CC2"/>
    <w:rsid w:val="00891978"/>
    <w:rsid w:val="00896144"/>
    <w:rsid w:val="008961A0"/>
    <w:rsid w:val="008B679A"/>
    <w:rsid w:val="008C57FA"/>
    <w:rsid w:val="008D0F2F"/>
    <w:rsid w:val="008E5688"/>
    <w:rsid w:val="008E6E76"/>
    <w:rsid w:val="008E71CA"/>
    <w:rsid w:val="008F3CDF"/>
    <w:rsid w:val="008F6F7B"/>
    <w:rsid w:val="00902CE2"/>
    <w:rsid w:val="00914028"/>
    <w:rsid w:val="00914CE1"/>
    <w:rsid w:val="00927730"/>
    <w:rsid w:val="00935720"/>
    <w:rsid w:val="00936073"/>
    <w:rsid w:val="00946C24"/>
    <w:rsid w:val="00953DE4"/>
    <w:rsid w:val="009757AF"/>
    <w:rsid w:val="00976F82"/>
    <w:rsid w:val="00980D03"/>
    <w:rsid w:val="00A00F7F"/>
    <w:rsid w:val="00A06EC7"/>
    <w:rsid w:val="00A21ADF"/>
    <w:rsid w:val="00A2301E"/>
    <w:rsid w:val="00A25ED9"/>
    <w:rsid w:val="00A3384B"/>
    <w:rsid w:val="00A50861"/>
    <w:rsid w:val="00A52CCD"/>
    <w:rsid w:val="00A53055"/>
    <w:rsid w:val="00A55747"/>
    <w:rsid w:val="00A617A9"/>
    <w:rsid w:val="00A741C8"/>
    <w:rsid w:val="00A761CC"/>
    <w:rsid w:val="00A769F8"/>
    <w:rsid w:val="00A80085"/>
    <w:rsid w:val="00A81087"/>
    <w:rsid w:val="00A910C0"/>
    <w:rsid w:val="00AC4477"/>
    <w:rsid w:val="00AC5D23"/>
    <w:rsid w:val="00AD0985"/>
    <w:rsid w:val="00AD0AB7"/>
    <w:rsid w:val="00AD72B6"/>
    <w:rsid w:val="00AE75FF"/>
    <w:rsid w:val="00AF4A96"/>
    <w:rsid w:val="00B002DD"/>
    <w:rsid w:val="00B02BBC"/>
    <w:rsid w:val="00B06C35"/>
    <w:rsid w:val="00B11322"/>
    <w:rsid w:val="00B13719"/>
    <w:rsid w:val="00B17A76"/>
    <w:rsid w:val="00B257F3"/>
    <w:rsid w:val="00B334AA"/>
    <w:rsid w:val="00B337CA"/>
    <w:rsid w:val="00B43919"/>
    <w:rsid w:val="00B64EC6"/>
    <w:rsid w:val="00B87502"/>
    <w:rsid w:val="00B95A77"/>
    <w:rsid w:val="00B95ABC"/>
    <w:rsid w:val="00BA4A38"/>
    <w:rsid w:val="00BB30DC"/>
    <w:rsid w:val="00BB3420"/>
    <w:rsid w:val="00BB4661"/>
    <w:rsid w:val="00BB7FAC"/>
    <w:rsid w:val="00BF05C9"/>
    <w:rsid w:val="00C05CDB"/>
    <w:rsid w:val="00C24DC0"/>
    <w:rsid w:val="00C35BC5"/>
    <w:rsid w:val="00C44C98"/>
    <w:rsid w:val="00C45D87"/>
    <w:rsid w:val="00C76F30"/>
    <w:rsid w:val="00C77AB1"/>
    <w:rsid w:val="00C82346"/>
    <w:rsid w:val="00C878C8"/>
    <w:rsid w:val="00CA2269"/>
    <w:rsid w:val="00CA23FC"/>
    <w:rsid w:val="00CA2DD5"/>
    <w:rsid w:val="00CA3F9A"/>
    <w:rsid w:val="00CB0469"/>
    <w:rsid w:val="00CB275B"/>
    <w:rsid w:val="00CB550C"/>
    <w:rsid w:val="00CC0BD4"/>
    <w:rsid w:val="00CC5372"/>
    <w:rsid w:val="00CD20A2"/>
    <w:rsid w:val="00CD3FAA"/>
    <w:rsid w:val="00CE1AAA"/>
    <w:rsid w:val="00CE3A83"/>
    <w:rsid w:val="00CF4082"/>
    <w:rsid w:val="00D0184C"/>
    <w:rsid w:val="00D35B4A"/>
    <w:rsid w:val="00D36BF1"/>
    <w:rsid w:val="00D478A5"/>
    <w:rsid w:val="00D62F7B"/>
    <w:rsid w:val="00D63F3B"/>
    <w:rsid w:val="00D770C4"/>
    <w:rsid w:val="00D809B0"/>
    <w:rsid w:val="00D810C2"/>
    <w:rsid w:val="00D865B8"/>
    <w:rsid w:val="00D95F3F"/>
    <w:rsid w:val="00DB64FC"/>
    <w:rsid w:val="00DC6980"/>
    <w:rsid w:val="00DE14A5"/>
    <w:rsid w:val="00DF0344"/>
    <w:rsid w:val="00DF4A89"/>
    <w:rsid w:val="00E1497B"/>
    <w:rsid w:val="00E2078E"/>
    <w:rsid w:val="00E24CB5"/>
    <w:rsid w:val="00E34646"/>
    <w:rsid w:val="00E51F5E"/>
    <w:rsid w:val="00E57F27"/>
    <w:rsid w:val="00E67B5B"/>
    <w:rsid w:val="00E73171"/>
    <w:rsid w:val="00E763AF"/>
    <w:rsid w:val="00E802F6"/>
    <w:rsid w:val="00E90528"/>
    <w:rsid w:val="00EA04C1"/>
    <w:rsid w:val="00ED45A0"/>
    <w:rsid w:val="00EE2C16"/>
    <w:rsid w:val="00EE5C2F"/>
    <w:rsid w:val="00EF2FB8"/>
    <w:rsid w:val="00F01391"/>
    <w:rsid w:val="00F02F1F"/>
    <w:rsid w:val="00F02FFD"/>
    <w:rsid w:val="00F072C0"/>
    <w:rsid w:val="00F12FEE"/>
    <w:rsid w:val="00F414A5"/>
    <w:rsid w:val="00F5047B"/>
    <w:rsid w:val="00F56050"/>
    <w:rsid w:val="00F5775F"/>
    <w:rsid w:val="00F60809"/>
    <w:rsid w:val="00F73AB6"/>
    <w:rsid w:val="00F80584"/>
    <w:rsid w:val="00F9136C"/>
    <w:rsid w:val="00F92F3C"/>
    <w:rsid w:val="00F97712"/>
    <w:rsid w:val="00FA5AF6"/>
    <w:rsid w:val="00FB1E68"/>
    <w:rsid w:val="00FB4418"/>
    <w:rsid w:val="00FB7BA4"/>
    <w:rsid w:val="00FC42A5"/>
    <w:rsid w:val="00FC43B0"/>
    <w:rsid w:val="00FE34B2"/>
    <w:rsid w:val="00FE41A4"/>
    <w:rsid w:val="00FE5DF4"/>
    <w:rsid w:val="00FF4817"/>
    <w:rsid w:val="00FF66BB"/>
    <w:rsid w:val="17CF0EF0"/>
    <w:rsid w:val="18E542A5"/>
    <w:rsid w:val="18FA5DE5"/>
    <w:rsid w:val="1A7F3E9A"/>
    <w:rsid w:val="232F305B"/>
    <w:rsid w:val="274A4557"/>
    <w:rsid w:val="2D097B91"/>
    <w:rsid w:val="2FED777D"/>
    <w:rsid w:val="395820A7"/>
    <w:rsid w:val="3DA8579C"/>
    <w:rsid w:val="3F3C44B0"/>
    <w:rsid w:val="49CB7B08"/>
    <w:rsid w:val="57B20AC6"/>
    <w:rsid w:val="58153258"/>
    <w:rsid w:val="5A652896"/>
    <w:rsid w:val="5F143927"/>
    <w:rsid w:val="61BC28EC"/>
    <w:rsid w:val="69E03C41"/>
    <w:rsid w:val="6C0A5986"/>
    <w:rsid w:val="6E564254"/>
    <w:rsid w:val="6F1613E5"/>
    <w:rsid w:val="70D16E21"/>
    <w:rsid w:val="7A5E6670"/>
    <w:rsid w:val="7AD7153F"/>
    <w:rsid w:val="7E8B4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semiHidden/>
    <w:unhideWhenUsed/>
    <w:qFormat/>
    <w:uiPriority w:val="0"/>
    <w:pPr>
      <w:adjustRightInd w:val="0"/>
      <w:snapToGrid w:val="0"/>
      <w:spacing w:line="360" w:lineRule="auto"/>
      <w:ind w:firstLine="200" w:firstLineChars="200"/>
    </w:pPr>
    <w:rPr>
      <w:rFonts w:ascii="Calibri" w:hAnsi="Calibri" w:eastAsia="宋体" w:cs="Times New Roman"/>
      <w:kern w:val="0"/>
      <w:sz w:val="24"/>
      <w:szCs w:val="20"/>
    </w:r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semiHidden/>
    <w:unhideWhenUsed/>
    <w:qFormat/>
    <w:uiPriority w:val="99"/>
    <w:rPr>
      <w:color w:val="0000FF" w:themeColor="hyperlink"/>
      <w:u w:val="single"/>
      <w14:textFill>
        <w14:solidFill>
          <w14:schemeClr w14:val="hlink"/>
        </w14:solidFill>
      </w14:textFill>
    </w:r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正文文本 Char"/>
    <w:basedOn w:val="11"/>
    <w:link w:val="4"/>
    <w:semiHidden/>
    <w:qFormat/>
    <w:uiPriority w:val="0"/>
    <w:rPr>
      <w:rFonts w:ascii="Calibri" w:hAnsi="Calibri" w:eastAsia="宋体" w:cs="Times New Roman"/>
      <w:kern w:val="0"/>
      <w:sz w:val="24"/>
      <w:szCs w:val="20"/>
    </w:rPr>
  </w:style>
  <w:style w:type="character" w:customStyle="1" w:styleId="17">
    <w:name w:val="标题 2 Char1"/>
    <w:qFormat/>
    <w:uiPriority w:val="0"/>
    <w:rPr>
      <w:rFonts w:hint="default" w:ascii="Arial" w:hAnsi="Arial" w:eastAsia="黑体" w:cs="Times New Roman"/>
      <w:bCs/>
      <w:kern w:val="0"/>
      <w:sz w:val="28"/>
      <w:szCs w:val="32"/>
    </w:rPr>
  </w:style>
  <w:style w:type="character" w:customStyle="1" w:styleId="18">
    <w:name w:val="批注框文本 Char"/>
    <w:basedOn w:val="11"/>
    <w:link w:val="5"/>
    <w:semiHidden/>
    <w:qFormat/>
    <w:uiPriority w:val="99"/>
    <w:rPr>
      <w:sz w:val="18"/>
      <w:szCs w:val="18"/>
    </w:rPr>
  </w:style>
  <w:style w:type="paragraph" w:styleId="19">
    <w:name w:val="No Spacing"/>
    <w:qFormat/>
    <w:uiPriority w:val="1"/>
    <w:pPr>
      <w:widowControl w:val="0"/>
      <w:adjustRightInd w:val="0"/>
      <w:snapToGrid w:val="0"/>
      <w:spacing w:line="240" w:lineRule="atLeast"/>
    </w:pPr>
    <w:rPr>
      <w:rFonts w:ascii="Calibri" w:hAnsi="Calibri" w:eastAsia="微软雅黑" w:cs="Times New Roman"/>
      <w:kern w:val="2"/>
      <w:sz w:val="21"/>
      <w:szCs w:val="22"/>
      <w:lang w:val="en-US" w:eastAsia="zh-CN" w:bidi="ar-SA"/>
    </w:rPr>
  </w:style>
  <w:style w:type="paragraph" w:styleId="20">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10576</Words>
  <Characters>11158</Characters>
  <Lines>61</Lines>
  <Paragraphs>17</Paragraphs>
  <TotalTime>23</TotalTime>
  <ScaleCrop>false</ScaleCrop>
  <LinksUpToDate>false</LinksUpToDate>
  <CharactersWithSpaces>11607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2023-04-23T08:54:00Z</dcterms:created>
  <dc:creator>Administrator</dc:creator>
  <cp:lastModifiedBy>Administrator</cp:lastModifiedBy>
  <cp:lastPrinted>2024-03-28T03:11:13Z</cp:lastPrinted>
  <dcterms:modified xsi:type="dcterms:W3CDTF">2024-03-28T03:12:17Z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eyJoZGlkIjoiY2UxYWM5YTdjMzVhNWUzYWI0ZDY1OTRmYjMyOThhOGQifQ==</vt:lpwstr>
  </property>
  <property fmtid="{D5CDD505-2E9C-101B-9397-08002B2CF9AE}" pid="3" name="KSOProductBuildVer">
    <vt:lpwstr>2052-11.1.0.14309</vt:lpwstr>
  </property>
  <property fmtid="{D5CDD505-2E9C-101B-9397-08002B2CF9AE}" pid="4" name="ICV">
    <vt:lpwstr>9D0BC2BDFEDB4DCABAED0830972EA0DE</vt:lpwstr>
  </property>
</Properties>
</file>