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黑体" w:eastAsia="黑体"/>
          <w:bCs/>
          <w:sz w:val="44"/>
          <w:szCs w:val="44"/>
        </w:rPr>
      </w:pPr>
      <w:r>
        <w:rPr>
          <w:rFonts w:hint="eastAsia" w:hAnsi="黑体" w:eastAsia="黑体"/>
          <w:bCs/>
          <w:sz w:val="44"/>
          <w:szCs w:val="44"/>
        </w:rPr>
        <w:t>江西联兴公路工程有限公司</w:t>
      </w:r>
    </w:p>
    <w:p>
      <w:pPr>
        <w:jc w:val="center"/>
        <w:rPr>
          <w:b/>
          <w:sz w:val="40"/>
          <w:szCs w:val="40"/>
        </w:rPr>
      </w:pPr>
      <w:r>
        <w:rPr>
          <w:rFonts w:hint="eastAsia" w:ascii="宋体" w:hAnsi="宋体"/>
          <w:b/>
          <w:sz w:val="40"/>
          <w:szCs w:val="40"/>
        </w:rPr>
        <w:t>龙杨高速省界收费站改建停车区项目土建工程一切险</w:t>
      </w:r>
      <w:r>
        <w:rPr>
          <w:rFonts w:hint="eastAsia" w:ascii="宋体" w:hAnsi="宋体"/>
          <w:b/>
          <w:sz w:val="40"/>
          <w:szCs w:val="40"/>
          <w:lang w:eastAsia="zh-CN"/>
        </w:rPr>
        <w:t>、</w:t>
      </w:r>
      <w:r>
        <w:rPr>
          <w:rFonts w:hint="eastAsia" w:ascii="宋体" w:hAnsi="宋体"/>
          <w:b/>
          <w:sz w:val="40"/>
          <w:szCs w:val="40"/>
          <w:lang w:val="en-US" w:eastAsia="zh-CN"/>
        </w:rPr>
        <w:t>第三者责任险</w:t>
      </w:r>
      <w:r>
        <w:rPr>
          <w:rFonts w:hint="eastAsia" w:ascii="宋体" w:hAnsi="宋体"/>
          <w:b/>
          <w:sz w:val="40"/>
          <w:szCs w:val="40"/>
        </w:rPr>
        <w:t>等相关保险</w:t>
      </w:r>
      <w:r>
        <w:rPr>
          <w:rFonts w:hint="eastAsia" w:ascii="宋体" w:hAnsi="宋体"/>
          <w:b/>
          <w:sz w:val="40"/>
          <w:szCs w:val="40"/>
          <w:lang w:val="en-US" w:eastAsia="zh-CN"/>
        </w:rPr>
        <w:t>采购项目</w:t>
      </w:r>
    </w:p>
    <w:p>
      <w:pPr>
        <w:jc w:val="center"/>
        <w:rPr>
          <w:b/>
          <w:sz w:val="72"/>
          <w:szCs w:val="72"/>
        </w:rPr>
      </w:pPr>
    </w:p>
    <w:p>
      <w:pPr>
        <w:pStyle w:val="2"/>
      </w:pPr>
    </w:p>
    <w:p>
      <w:pPr>
        <w:jc w:val="center"/>
        <w:rPr>
          <w:b/>
          <w:sz w:val="72"/>
          <w:szCs w:val="72"/>
        </w:rPr>
      </w:pPr>
      <w:r>
        <w:rPr>
          <w:rFonts w:hint="eastAsia"/>
          <w:b/>
          <w:sz w:val="96"/>
          <w:szCs w:val="96"/>
        </w:rPr>
        <w:t>询价文件</w:t>
      </w:r>
    </w:p>
    <w:p>
      <w:pPr>
        <w:jc w:val="center"/>
        <w:rPr>
          <w:b/>
          <w:sz w:val="36"/>
          <w:szCs w:val="36"/>
        </w:rPr>
      </w:pPr>
    </w:p>
    <w:p>
      <w:pPr>
        <w:jc w:val="center"/>
        <w:rPr>
          <w:b/>
          <w:sz w:val="36"/>
          <w:szCs w:val="36"/>
        </w:rPr>
      </w:pPr>
    </w:p>
    <w:p>
      <w:pPr>
        <w:jc w:val="center"/>
        <w:rPr>
          <w:b/>
          <w:sz w:val="36"/>
          <w:szCs w:val="36"/>
        </w:rPr>
      </w:pPr>
    </w:p>
    <w:p>
      <w:pPr>
        <w:pStyle w:val="2"/>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b/>
          <w:sz w:val="36"/>
          <w:szCs w:val="36"/>
        </w:rPr>
      </w:pPr>
      <w:r>
        <w:rPr>
          <w:rFonts w:hint="eastAsia"/>
          <w:b/>
          <w:sz w:val="36"/>
          <w:szCs w:val="36"/>
        </w:rPr>
        <w:drawing>
          <wp:inline distT="0" distB="0" distL="0" distR="0">
            <wp:extent cx="304800" cy="285750"/>
            <wp:effectExtent l="0" t="0" r="0" b="0"/>
            <wp:docPr id="3" name="图片 3"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交控司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4800" cy="285750"/>
                    </a:xfrm>
                    <a:prstGeom prst="rect">
                      <a:avLst/>
                    </a:prstGeom>
                    <a:noFill/>
                    <a:ln>
                      <a:noFill/>
                    </a:ln>
                  </pic:spPr>
                </pic:pic>
              </a:graphicData>
            </a:graphic>
          </wp:inline>
        </w:drawing>
      </w:r>
      <w:r>
        <w:rPr>
          <w:rFonts w:hint="eastAsia"/>
          <w:b/>
          <w:sz w:val="36"/>
          <w:szCs w:val="36"/>
        </w:rPr>
        <w:t>江西联兴公路工程有限公司</w:t>
      </w:r>
    </w:p>
    <w:p>
      <w:pPr>
        <w:jc w:val="center"/>
        <w:rPr>
          <w:b/>
          <w:sz w:val="36"/>
          <w:szCs w:val="36"/>
        </w:rPr>
      </w:pPr>
      <w:r>
        <w:rPr>
          <w:rFonts w:hint="eastAsia"/>
          <w:b/>
          <w:sz w:val="36"/>
          <w:szCs w:val="36"/>
        </w:rPr>
        <w:t>二O二</w:t>
      </w:r>
      <w:r>
        <w:rPr>
          <w:rFonts w:hint="eastAsia"/>
          <w:b/>
          <w:sz w:val="36"/>
          <w:szCs w:val="36"/>
          <w:lang w:val="en-US" w:eastAsia="zh-CN"/>
        </w:rPr>
        <w:t>四</w:t>
      </w:r>
      <w:r>
        <w:rPr>
          <w:rFonts w:hint="eastAsia"/>
          <w:b/>
          <w:sz w:val="36"/>
          <w:szCs w:val="36"/>
        </w:rPr>
        <w:t>年</w:t>
      </w:r>
      <w:r>
        <w:rPr>
          <w:rFonts w:hint="eastAsia"/>
          <w:b/>
          <w:sz w:val="36"/>
          <w:szCs w:val="36"/>
          <w:lang w:val="en-US" w:eastAsia="zh-CN"/>
        </w:rPr>
        <w:t>二</w:t>
      </w:r>
      <w:r>
        <w:rPr>
          <w:rFonts w:hint="eastAsia"/>
          <w:b/>
          <w:sz w:val="36"/>
          <w:szCs w:val="36"/>
        </w:rPr>
        <w:t>月</w:t>
      </w:r>
    </w:p>
    <w:p>
      <w:pPr>
        <w:pStyle w:val="2"/>
        <w:rPr>
          <w:sz w:val="36"/>
          <w:szCs w:val="36"/>
        </w:rPr>
      </w:pPr>
    </w:p>
    <w:p>
      <w:pPr>
        <w:rPr>
          <w:b/>
          <w:sz w:val="36"/>
          <w:szCs w:val="36"/>
        </w:rPr>
      </w:pPr>
    </w:p>
    <w:p>
      <w:pPr>
        <w:jc w:val="center"/>
        <w:rPr>
          <w:rFonts w:hint="eastAsia" w:ascii="仿宋" w:hAnsi="仿宋" w:eastAsia="仿宋" w:cs="仿宋"/>
          <w:b/>
          <w:bCs/>
          <w:sz w:val="28"/>
          <w:szCs w:val="28"/>
        </w:rPr>
      </w:pPr>
      <w:bookmarkStart w:id="0" w:name="_Toc27127"/>
      <w:bookmarkStart w:id="1" w:name="_Toc32020"/>
      <w:bookmarkStart w:id="2" w:name="_Toc9732"/>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目  录</w:t>
      </w:r>
    </w:p>
    <w:p>
      <w:pPr>
        <w:pStyle w:val="18"/>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TOC \o "1-2" \h \u </w:instrText>
      </w:r>
      <w:r>
        <w:rPr>
          <w:rFonts w:hint="eastAsia" w:ascii="仿宋" w:hAnsi="仿宋" w:eastAsia="仿宋" w:cs="仿宋"/>
          <w:b/>
          <w:bCs/>
          <w:sz w:val="24"/>
        </w:rPr>
        <w:fldChar w:fldCharType="separate"/>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_Toc28027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第一章 询价公告</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_Toc2741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一、</w:t>
      </w:r>
      <w:r>
        <w:rPr>
          <w:rFonts w:hint="eastAsia" w:ascii="仿宋" w:hAnsi="仿宋" w:eastAsia="仿宋" w:cs="仿宋"/>
          <w:b/>
          <w:bCs/>
          <w:sz w:val="24"/>
          <w:szCs w:val="24"/>
          <w:lang w:val="en-US" w:eastAsia="zh-CN"/>
        </w:rPr>
        <w:t>工程概况</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_Toc26182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询价条件</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_Toc24780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三、</w:t>
      </w:r>
      <w:r>
        <w:rPr>
          <w:rFonts w:hint="eastAsia" w:ascii="仿宋" w:hAnsi="仿宋" w:eastAsia="仿宋" w:cs="仿宋"/>
          <w:b/>
          <w:bCs/>
          <w:sz w:val="24"/>
          <w:szCs w:val="24"/>
          <w:lang w:val="en-US" w:eastAsia="zh-CN"/>
        </w:rPr>
        <w:t>询价内容及要求</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2"/>
          <w:szCs w:val="22"/>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_Toc5310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四、</w:t>
      </w:r>
      <w:r>
        <w:rPr>
          <w:rFonts w:hint="eastAsia" w:ascii="仿宋" w:hAnsi="仿宋" w:eastAsia="仿宋" w:cs="仿宋"/>
          <w:b/>
          <w:bCs/>
          <w:sz w:val="24"/>
          <w:szCs w:val="24"/>
          <w:lang w:val="en-US" w:eastAsia="zh-CN"/>
        </w:rPr>
        <w:t>本次询价的控制价上限及要求</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_Toc27847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五、</w:t>
      </w:r>
      <w:r>
        <w:rPr>
          <w:rFonts w:hint="eastAsia" w:ascii="仿宋" w:hAnsi="仿宋" w:eastAsia="仿宋" w:cs="仿宋"/>
          <w:b/>
          <w:bCs/>
          <w:sz w:val="24"/>
          <w:szCs w:val="24"/>
          <w:lang w:eastAsia="zh-CN"/>
        </w:rPr>
        <w:t>报价方</w:t>
      </w:r>
      <w:r>
        <w:rPr>
          <w:rFonts w:hint="eastAsia" w:ascii="仿宋" w:hAnsi="仿宋" w:eastAsia="仿宋" w:cs="仿宋"/>
          <w:b/>
          <w:bCs/>
          <w:sz w:val="24"/>
          <w:szCs w:val="24"/>
        </w:rPr>
        <w:t>资格要求</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_Toc11704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六、报价文件组成</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8</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_Toc25011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七、</w:t>
      </w:r>
      <w:r>
        <w:rPr>
          <w:rFonts w:hint="eastAsia" w:ascii="仿宋" w:hAnsi="仿宋" w:eastAsia="仿宋" w:cs="仿宋"/>
          <w:b/>
          <w:bCs/>
          <w:sz w:val="24"/>
          <w:szCs w:val="24"/>
          <w:lang w:eastAsia="zh-CN"/>
        </w:rPr>
        <w:t>费用的支付</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9</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公告媒介、采购文件获取时间及方式：</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_Toc11149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九</w:t>
      </w:r>
      <w:r>
        <w:rPr>
          <w:rFonts w:hint="eastAsia" w:ascii="仿宋" w:hAnsi="仿宋" w:eastAsia="仿宋" w:cs="仿宋"/>
          <w:b/>
          <w:bCs/>
          <w:sz w:val="24"/>
          <w:szCs w:val="24"/>
        </w:rPr>
        <w:t>、报价文件的</w:t>
      </w:r>
      <w:r>
        <w:rPr>
          <w:rFonts w:hint="eastAsia" w:ascii="仿宋" w:hAnsi="仿宋" w:eastAsia="仿宋" w:cs="仿宋"/>
          <w:b/>
          <w:bCs/>
          <w:sz w:val="24"/>
          <w:szCs w:val="24"/>
          <w:lang w:eastAsia="zh-CN"/>
        </w:rPr>
        <w:t>形式</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_Toc32272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十</w:t>
      </w:r>
      <w:r>
        <w:rPr>
          <w:rFonts w:hint="eastAsia" w:ascii="仿宋" w:hAnsi="仿宋" w:eastAsia="仿宋" w:cs="仿宋"/>
          <w:b/>
          <w:bCs/>
          <w:sz w:val="24"/>
          <w:szCs w:val="24"/>
        </w:rPr>
        <w:t>、报价文件的递交及相关事宜</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10</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十一、</w:t>
      </w:r>
      <w:r>
        <w:rPr>
          <w:rFonts w:hint="eastAsia" w:ascii="仿宋" w:hAnsi="仿宋" w:eastAsia="仿宋" w:cs="仿宋"/>
          <w:b/>
          <w:bCs/>
          <w:sz w:val="24"/>
          <w:szCs w:val="24"/>
          <w:lang w:val="en-US" w:eastAsia="zh-CN"/>
        </w:rPr>
        <w:t>询价保证金</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0</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_Toc4606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十</w:t>
      </w:r>
      <w:r>
        <w:rPr>
          <w:rFonts w:hint="eastAsia" w:ascii="仿宋" w:hAnsi="仿宋" w:eastAsia="仿宋" w:cs="仿宋"/>
          <w:b/>
          <w:bCs/>
          <w:sz w:val="24"/>
          <w:szCs w:val="24"/>
          <w:lang w:eastAsia="zh-CN"/>
        </w:rPr>
        <w:t>二</w:t>
      </w:r>
      <w:r>
        <w:rPr>
          <w:rFonts w:hint="eastAsia" w:ascii="仿宋" w:hAnsi="仿宋" w:eastAsia="仿宋" w:cs="仿宋"/>
          <w:b/>
          <w:bCs/>
          <w:sz w:val="24"/>
          <w:szCs w:val="24"/>
        </w:rPr>
        <w:t>、报价文件的开启程序</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0</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_Toc8386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十</w:t>
      </w:r>
      <w:r>
        <w:rPr>
          <w:rFonts w:hint="eastAsia" w:ascii="仿宋" w:hAnsi="仿宋" w:eastAsia="仿宋" w:cs="仿宋"/>
          <w:b/>
          <w:bCs/>
          <w:sz w:val="24"/>
          <w:szCs w:val="24"/>
          <w:lang w:eastAsia="zh-CN"/>
        </w:rPr>
        <w:t>三</w:t>
      </w:r>
      <w:r>
        <w:rPr>
          <w:rFonts w:hint="eastAsia" w:ascii="仿宋" w:hAnsi="仿宋" w:eastAsia="仿宋" w:cs="仿宋"/>
          <w:b/>
          <w:bCs/>
          <w:sz w:val="24"/>
          <w:szCs w:val="24"/>
        </w:rPr>
        <w:t>、公示</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0</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_Toc3582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十</w:t>
      </w:r>
      <w:r>
        <w:rPr>
          <w:rFonts w:hint="eastAsia" w:ascii="仿宋" w:hAnsi="仿宋" w:eastAsia="仿宋" w:cs="仿宋"/>
          <w:b/>
          <w:bCs/>
          <w:sz w:val="24"/>
          <w:szCs w:val="24"/>
          <w:lang w:eastAsia="zh-CN"/>
        </w:rPr>
        <w:t>四</w:t>
      </w:r>
      <w:r>
        <w:rPr>
          <w:rFonts w:hint="eastAsia" w:ascii="仿宋" w:hAnsi="仿宋" w:eastAsia="仿宋" w:cs="仿宋"/>
          <w:b/>
          <w:bCs/>
          <w:sz w:val="24"/>
          <w:szCs w:val="24"/>
        </w:rPr>
        <w:t>、联系方式</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0</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_Toc19995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十</w:t>
      </w:r>
      <w:r>
        <w:rPr>
          <w:rFonts w:hint="eastAsia" w:ascii="仿宋" w:hAnsi="仿宋" w:eastAsia="仿宋" w:cs="仿宋"/>
          <w:b/>
          <w:bCs/>
          <w:sz w:val="24"/>
          <w:szCs w:val="24"/>
          <w:lang w:eastAsia="zh-CN"/>
        </w:rPr>
        <w:t>五</w:t>
      </w:r>
      <w:r>
        <w:rPr>
          <w:rFonts w:hint="eastAsia" w:ascii="仿宋" w:hAnsi="仿宋" w:eastAsia="仿宋" w:cs="仿宋"/>
          <w:b/>
          <w:bCs/>
          <w:sz w:val="24"/>
          <w:szCs w:val="24"/>
        </w:rPr>
        <w:t>、监督部门及联系方式</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1</w:t>
      </w:r>
    </w:p>
    <w:p>
      <w:pPr>
        <w:pStyle w:val="18"/>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_Toc14594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第二章 评审办法</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2</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_Toc28294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一、评审方法</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2</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_Toc17281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二、形式、响应及资格评审标准</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2</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_Toc7019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三、评审程序</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2</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_Toc7019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sz w:val="24"/>
          <w:szCs w:val="24"/>
          <w:lang w:eastAsia="zh-CN"/>
        </w:rPr>
        <w:t>评分标准</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eastAsia="仿宋"/>
          <w:sz w:val="21"/>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_Toc10444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 xml:space="preserve">章 </w:t>
      </w:r>
      <w:r>
        <w:rPr>
          <w:rFonts w:hint="eastAsia" w:ascii="仿宋" w:hAnsi="仿宋" w:eastAsia="仿宋" w:cs="仿宋"/>
          <w:b/>
          <w:bCs/>
          <w:sz w:val="24"/>
          <w:szCs w:val="24"/>
          <w:lang w:val="en-US" w:eastAsia="zh-CN"/>
        </w:rPr>
        <w:t>保险条件.</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.........................................................17</w:t>
      </w:r>
    </w:p>
    <w:p>
      <w:pPr>
        <w:pStyle w:val="18"/>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_Toc10444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 xml:space="preserve">章 </w:t>
      </w:r>
      <w:r>
        <w:rPr>
          <w:rFonts w:hint="eastAsia" w:ascii="仿宋" w:hAnsi="仿宋" w:eastAsia="仿宋" w:cs="仿宋"/>
          <w:b/>
          <w:bCs/>
          <w:sz w:val="24"/>
          <w:szCs w:val="24"/>
          <w:lang w:eastAsia="zh-CN"/>
        </w:rPr>
        <w:t>报价</w:t>
      </w:r>
      <w:r>
        <w:rPr>
          <w:rFonts w:hint="eastAsia" w:ascii="仿宋" w:hAnsi="仿宋" w:eastAsia="仿宋" w:cs="仿宋"/>
          <w:b/>
          <w:bCs/>
          <w:sz w:val="24"/>
          <w:szCs w:val="24"/>
        </w:rPr>
        <w:t>文件格式</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4</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_Toc13370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授权委托书</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4</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_Toc24176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报  价  函</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55</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_Toc17328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基本情况</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56</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default"/>
          <w:sz w:val="21"/>
          <w:szCs w:val="24"/>
          <w:lang w:val="en-US" w:eastAsia="zh-CN"/>
        </w:rPr>
      </w:pPr>
      <w:r>
        <w:rPr>
          <w:rFonts w:hint="eastAsia" w:ascii="仿宋" w:hAnsi="仿宋" w:eastAsia="仿宋" w:cs="仿宋"/>
          <w:b/>
          <w:bCs/>
          <w:sz w:val="24"/>
          <w:szCs w:val="24"/>
          <w:lang w:val="en-US" w:eastAsia="zh-CN"/>
        </w:rPr>
        <w:t>信誉承诺表</w:t>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_Toc17328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基本情况</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57</w:t>
      </w:r>
      <w:r>
        <w:rPr>
          <w:rFonts w:hint="eastAsia" w:ascii="仿宋" w:hAnsi="仿宋" w:eastAsia="仿宋" w:cs="仿宋"/>
          <w:b/>
          <w:bCs/>
          <w:sz w:val="24"/>
          <w:szCs w:val="24"/>
        </w:rPr>
        <w:fldChar w:fldCharType="end"/>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_Toc20272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商务文件</w:t>
      </w:r>
      <w:r>
        <w:rPr>
          <w:rFonts w:hint="eastAsia" w:ascii="仿宋" w:hAnsi="仿宋" w:eastAsia="仿宋" w:cs="仿宋"/>
          <w:b/>
          <w:bCs/>
          <w:sz w:val="24"/>
          <w:szCs w:val="24"/>
        </w:rPr>
        <w:tab/>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58</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sz w:val="21"/>
          <w:szCs w:val="24"/>
          <w:lang w:val="en-US" w:eastAsia="zh-CN"/>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_Toc20272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技术文件</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9</w:t>
      </w:r>
    </w:p>
    <w:p>
      <w:pPr>
        <w:pStyle w:val="19"/>
        <w:keepNext w:val="0"/>
        <w:keepLines w:val="0"/>
        <w:pageBreakBefore w:val="0"/>
        <w:widowControl w:val="0"/>
        <w:tabs>
          <w:tab w:val="right" w:leader="dot" w:pos="9070"/>
        </w:tabs>
        <w:kinsoku/>
        <w:wordWrap/>
        <w:overflowPunct/>
        <w:topLinePunct w:val="0"/>
        <w:autoSpaceDE/>
        <w:autoSpaceDN/>
        <w:bidi w:val="0"/>
        <w:adjustRightInd/>
        <w:snapToGrid/>
        <w:spacing w:line="312" w:lineRule="auto"/>
        <w:jc w:val="both"/>
        <w:textAlignment w:val="auto"/>
        <w:rPr>
          <w:rFonts w:hint="eastAsia" w:ascii="仿宋" w:hAnsi="仿宋" w:eastAsia="仿宋" w:cs="仿宋"/>
          <w:b/>
          <w:bCs/>
          <w:lang w:val="en-US" w:eastAsia="zh-CN"/>
        </w:rPr>
        <w:sectPr>
          <w:footerReference r:id="rId3" w:type="default"/>
          <w:pgSz w:w="11906" w:h="16838"/>
          <w:pgMar w:top="1418" w:right="1418" w:bottom="1021"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_Toc20272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eastAsia="zh-CN"/>
        </w:rPr>
        <w:t>其他</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fldChar w:fldCharType="end"/>
      </w:r>
      <w:r>
        <w:rPr>
          <w:rFonts w:hint="eastAsia" w:ascii="仿宋" w:hAnsi="仿宋" w:eastAsia="仿宋" w:cs="仿宋"/>
          <w:b/>
          <w:bCs/>
          <w:sz w:val="24"/>
          <w:szCs w:val="24"/>
          <w:lang w:val="en-US" w:eastAsia="zh-CN"/>
        </w:rPr>
        <w:t>1</w:t>
      </w:r>
    </w:p>
    <w:p>
      <w:pPr>
        <w:pStyle w:val="2"/>
        <w:spacing w:line="360" w:lineRule="auto"/>
        <w:jc w:val="center"/>
        <w:rPr>
          <w:b/>
          <w:sz w:val="36"/>
          <w:szCs w:val="36"/>
        </w:rPr>
      </w:pPr>
      <w:r>
        <w:rPr>
          <w:rFonts w:hint="eastAsia" w:ascii="仿宋" w:hAnsi="仿宋" w:eastAsia="仿宋" w:cs="仿宋"/>
          <w:b/>
          <w:bCs/>
          <w:sz w:val="24"/>
        </w:rPr>
        <w:fldChar w:fldCharType="end"/>
      </w:r>
      <w:r>
        <w:rPr>
          <w:rFonts w:hint="eastAsia"/>
          <w:b/>
          <w:sz w:val="36"/>
          <w:szCs w:val="36"/>
        </w:rPr>
        <w:t xml:space="preserve"> </w:t>
      </w:r>
      <w:bookmarkStart w:id="3" w:name="_Toc11893"/>
      <w:r>
        <w:rPr>
          <w:rFonts w:hint="eastAsia"/>
          <w:b/>
          <w:sz w:val="36"/>
          <w:szCs w:val="36"/>
        </w:rPr>
        <w:t xml:space="preserve">第一章 </w:t>
      </w:r>
      <w:bookmarkEnd w:id="0"/>
      <w:bookmarkEnd w:id="1"/>
      <w:bookmarkEnd w:id="2"/>
      <w:r>
        <w:rPr>
          <w:rFonts w:hint="eastAsia"/>
          <w:b/>
          <w:sz w:val="36"/>
          <w:szCs w:val="36"/>
          <w:lang w:eastAsia="zh-CN"/>
        </w:rPr>
        <w:t>询价</w:t>
      </w:r>
      <w:r>
        <w:rPr>
          <w:rFonts w:hint="eastAsia"/>
          <w:b/>
          <w:sz w:val="36"/>
          <w:szCs w:val="36"/>
        </w:rPr>
        <w:t>公告</w:t>
      </w:r>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6"/>
          <w:szCs w:val="36"/>
        </w:rPr>
      </w:pPr>
      <w:bookmarkStart w:id="4" w:name="_Toc7965"/>
      <w:bookmarkStart w:id="5" w:name="_Toc13534"/>
      <w:r>
        <w:rPr>
          <w:rFonts w:hint="eastAsia"/>
          <w:b/>
          <w:sz w:val="36"/>
          <w:szCs w:val="36"/>
        </w:rPr>
        <w:t>江西联兴公路工程有限公司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sz w:val="24"/>
        </w:rPr>
      </w:pPr>
      <w:r>
        <w:rPr>
          <w:rFonts w:hint="eastAsia" w:ascii="宋体" w:hAnsi="宋体"/>
          <w:b/>
          <w:sz w:val="36"/>
          <w:szCs w:val="36"/>
        </w:rPr>
        <w:t>龙杨高速省界收费站改建停车区项目土建工程一切险</w:t>
      </w:r>
      <w:r>
        <w:rPr>
          <w:rFonts w:hint="eastAsia" w:ascii="宋体" w:hAnsi="宋体"/>
          <w:b/>
          <w:sz w:val="36"/>
          <w:szCs w:val="36"/>
          <w:lang w:eastAsia="zh-CN"/>
        </w:rPr>
        <w:t>、</w:t>
      </w:r>
      <w:r>
        <w:rPr>
          <w:rFonts w:hint="eastAsia" w:ascii="宋体" w:hAnsi="宋体"/>
          <w:b/>
          <w:sz w:val="36"/>
          <w:szCs w:val="36"/>
          <w:lang w:val="en-US" w:eastAsia="zh-CN"/>
        </w:rPr>
        <w:t>第三者责任险及安全生产责任险</w:t>
      </w:r>
      <w:r>
        <w:rPr>
          <w:rFonts w:hint="eastAsia" w:ascii="宋体" w:hAnsi="宋体"/>
          <w:b/>
          <w:sz w:val="36"/>
          <w:szCs w:val="36"/>
        </w:rPr>
        <w:t>相关保险</w:t>
      </w:r>
      <w:r>
        <w:rPr>
          <w:rFonts w:hint="eastAsia" w:ascii="宋体" w:hAnsi="宋体"/>
          <w:b/>
          <w:sz w:val="36"/>
          <w:szCs w:val="36"/>
          <w:lang w:val="en-US" w:eastAsia="zh-CN"/>
        </w:rPr>
        <w:t>采购项目</w:t>
      </w:r>
      <w:r>
        <w:rPr>
          <w:rFonts w:hint="eastAsia" w:ascii="宋体" w:hAnsi="宋体"/>
          <w:b/>
          <w:sz w:val="36"/>
          <w:szCs w:val="36"/>
        </w:rPr>
        <w:t>询价</w:t>
      </w:r>
      <w:bookmarkEnd w:id="4"/>
      <w:bookmarkEnd w:id="5"/>
      <w:r>
        <w:rPr>
          <w:rFonts w:hint="eastAsia"/>
          <w:b/>
          <w:sz w:val="36"/>
          <w:szCs w:val="36"/>
        </w:rPr>
        <w:t>公告</w:t>
      </w:r>
    </w:p>
    <w:p>
      <w:pPr>
        <w:spacing w:line="420" w:lineRule="exact"/>
        <w:ind w:firstLine="482" w:firstLineChars="200"/>
        <w:outlineLvl w:val="1"/>
        <w:rPr>
          <w:rFonts w:hint="default" w:ascii="宋体" w:hAnsi="宋体" w:cs="宋体"/>
          <w:b/>
          <w:sz w:val="24"/>
          <w:lang w:val="en-US" w:eastAsia="zh-CN"/>
        </w:rPr>
      </w:pPr>
      <w:bookmarkStart w:id="6" w:name="_Toc14120"/>
      <w:r>
        <w:rPr>
          <w:rFonts w:hint="eastAsia" w:ascii="宋体" w:hAnsi="宋体" w:cs="宋体"/>
          <w:b/>
          <w:sz w:val="24"/>
          <w:lang w:val="en-US" w:eastAsia="zh-CN"/>
        </w:rPr>
        <w:t>一、工程</w:t>
      </w:r>
      <w:bookmarkEnd w:id="6"/>
      <w:r>
        <w:rPr>
          <w:rFonts w:hint="eastAsia" w:ascii="宋体" w:hAnsi="宋体" w:cs="宋体"/>
          <w:b/>
          <w:sz w:val="24"/>
          <w:lang w:val="en-US" w:eastAsia="zh-CN"/>
        </w:rPr>
        <w:t>概况</w:t>
      </w:r>
    </w:p>
    <w:p>
      <w:pPr>
        <w:pageBreakBefore w:val="0"/>
        <w:kinsoku/>
        <w:wordWrap/>
        <w:overflowPunct/>
        <w:topLinePunct w:val="0"/>
        <w:autoSpaceDE/>
        <w:autoSpaceDN/>
        <w:bidi w:val="0"/>
        <w:adjustRightInd/>
        <w:snapToGrid/>
        <w:spacing w:line="240" w:lineRule="auto"/>
        <w:ind w:firstLine="480" w:firstLineChars="200"/>
        <w:outlineLvl w:val="1"/>
        <w:rPr>
          <w:rFonts w:hint="eastAsia" w:ascii="宋体" w:hAnsi="宋体" w:cs="宋体"/>
          <w:b w:val="0"/>
          <w:bCs/>
          <w:sz w:val="24"/>
          <w:lang w:val="en-US" w:eastAsia="zh-CN"/>
        </w:rPr>
      </w:pPr>
      <w:r>
        <w:rPr>
          <w:rFonts w:hint="default" w:ascii="宋体" w:hAnsi="宋体" w:cs="宋体"/>
          <w:b w:val="0"/>
          <w:bCs/>
          <w:sz w:val="24"/>
          <w:lang w:val="en-US" w:eastAsia="zh-CN"/>
        </w:rPr>
        <w:t>本项目将大广高速公路龙杨段原九连山省界收费站改建为停车区，项目总用地面积为 44766.89平方米，主要建设内容包括利用原场地改建为停车区，并配套增建贯穿车道、涵洞工程、给排水工程、绿化工程、交通安全设施等附属设施及后期养护</w:t>
      </w:r>
      <w:r>
        <w:rPr>
          <w:rFonts w:hint="eastAsia" w:ascii="宋体" w:hAnsi="宋体" w:cs="宋体"/>
          <w:b w:val="0"/>
          <w:bCs/>
          <w:sz w:val="24"/>
          <w:lang w:val="en-US" w:eastAsia="zh-CN"/>
        </w:rPr>
        <w:t>，总工期为 5 个月，工程造价3113.55万元。</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宋体" w:hAnsi="宋体" w:cs="宋体"/>
          <w:b w:val="0"/>
          <w:bCs/>
          <w:sz w:val="24"/>
          <w:lang w:val="en-US" w:eastAsia="zh-CN"/>
        </w:rPr>
        <w:t>工程量清单：</w:t>
      </w:r>
    </w:p>
    <w:tbl>
      <w:tblPr>
        <w:tblStyle w:val="23"/>
        <w:tblW w:w="8063" w:type="dxa"/>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
        <w:gridCol w:w="861"/>
        <w:gridCol w:w="172"/>
        <w:gridCol w:w="5"/>
        <w:gridCol w:w="35"/>
        <w:gridCol w:w="3690"/>
        <w:gridCol w:w="12"/>
        <w:gridCol w:w="1088"/>
        <w:gridCol w:w="12"/>
        <w:gridCol w:w="813"/>
        <w:gridCol w:w="12"/>
        <w:gridCol w:w="750"/>
        <w:gridCol w:w="13"/>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2"/>
          <w:wBefore w:w="12" w:type="dxa"/>
          <w:wAfter w:w="613" w:type="dxa"/>
          <w:trHeight w:val="659" w:hRule="atLeast"/>
        </w:trPr>
        <w:tc>
          <w:tcPr>
            <w:tcW w:w="7450" w:type="dxa"/>
            <w:gridSpan w:val="11"/>
            <w:tcBorders>
              <w:top w:val="single" w:color="000000" w:sz="8" w:space="0"/>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子目号</w:t>
            </w:r>
          </w:p>
        </w:tc>
        <w:tc>
          <w:tcPr>
            <w:tcW w:w="370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1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82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76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单价</w:t>
            </w:r>
          </w:p>
        </w:tc>
        <w:tc>
          <w:tcPr>
            <w:tcW w:w="613"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场地清理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清理与掘除</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清理现场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清除表土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1866.9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除草</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22000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砍伐树木（10cm以下）</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7700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-a-4</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弃土场平整场地</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44759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砍伐树木(含挖除树根)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砍伐树木（10cm以上）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棵</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2536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挖除树根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挖竹根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挖除旧路面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水泥混凝土路面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516.01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切割水泥混凝土路面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149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铣刨沥青混凝土面层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402.32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水稳碎石基层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-e</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铣刨水稳碎石基层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202-3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拆除结构物</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混凝土结构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923.7</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金属结构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摄像头柱</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灯柱</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-d-4</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拆除原有路侧护栏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2942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挖方路基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203-1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路基挖方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挖土方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248358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挖淤泥</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1049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-g</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挖台阶</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2901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203-2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改河、改渠、改路挖方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挖土方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204</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填方路基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204-1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路基填筑（包括填前压实）</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利用土方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3956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-h</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结构物台背回填</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-h-1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盖板通道台背回填砂砾</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1146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-i</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锥坡及台前溜坡填土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-j</w:t>
            </w:r>
          </w:p>
        </w:tc>
        <w:tc>
          <w:tcPr>
            <w:tcW w:w="3702"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换填</w:t>
            </w:r>
          </w:p>
        </w:tc>
        <w:tc>
          <w:tcPr>
            <w:tcW w:w="1088"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8"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-j-1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基底换填碎石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1090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204-2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改河、改渠、改路填筑</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利用土方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469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205</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特殊地区路基处理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205-1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软土地基处理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垫层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砂砾垫层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碎石垫层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-c-7</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回填开山石渣</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960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土工合成材料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反滤土工布</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双层沥青防水土工布</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2913.4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老路搭接土工布</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197.3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土工格栅</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-d-3-1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双向土工格栅(含U型钉)</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5802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207</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坡面排水</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207-1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边沟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现浇混凝土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C25混凝土（含挖基土方、挖石方、土方回填）</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618.2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-e</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预制安装混凝土盖板（含钢筋）</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-e-1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C30混凝土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113.1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207-2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排水沟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浆砌片石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M7.5浆砌片石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1124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207-3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截水沟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预制安装混凝土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C25混凝土（含挖土方、水泥砂浆抹面）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-f</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水泥砖（24×12×6cm）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83.6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207-4</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跌水与急流槽</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现浇混凝土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C25混凝土急流槽连接处（含挖基）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预制安装混凝土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C25混凝土平台沟（含挖基）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40.4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C20混凝土踏步式急流槽（含挖基、M7.5砂浆）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14.2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207-5</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渗沟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碎石盲沟(含土工布、软式透水管）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351.6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207-11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沉砂池</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砖砌沉砂池</w:t>
            </w:r>
          </w:p>
        </w:tc>
        <w:tc>
          <w:tcPr>
            <w:tcW w:w="1088"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w:t>
            </w:r>
          </w:p>
        </w:tc>
        <w:tc>
          <w:tcPr>
            <w:tcW w:w="762"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208</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护坡、护面墙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208-3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浆砌片石护坡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满铺浆砌片石护坡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M7.5浆砌片石（厚30cm）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593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208-4</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混凝土护坡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现浇混凝土骨架护坡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C25混凝土（含挖土方）</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297.1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C20混凝土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172.2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锚杆框格钢筋(HPB235、HPB300)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kg</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17219.2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-c-4</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锚杆框格钢筋（HRB400、HRB500）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kg</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18601.4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209</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挡土墙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209-1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垫层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砂砾反滤层（含防水胶泥）</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515.2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209-3</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砌体挡土墙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浆砌片石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M7.5浆砌片石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2564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209-5</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混凝土挡墙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C20混凝土（含挖基、基坑回填、泄水孔）</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2331.3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C30混凝土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166.6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钢筋</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带肋钢筋（HRB400）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kg</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6039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209-6</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草袋装挡土墙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草袋装挡土墙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215</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河道防护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215-2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导流设施(护岸墙、顺坝、丁坝、跳水坝、锥坡)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浆砌片石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M7.5浆砌片石锥坡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67</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C25混凝土水坝修复</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216</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踏步</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216-2</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预制混凝土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73"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C20混凝土（含水泥砂浆）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2" w:type="dxa"/>
          <w:wAfter w:w="613" w:type="dxa"/>
          <w:trHeight w:val="659" w:hRule="atLeast"/>
        </w:trPr>
        <w:tc>
          <w:tcPr>
            <w:tcW w:w="7450" w:type="dxa"/>
            <w:gridSpan w:val="11"/>
            <w:tcBorders>
              <w:top w:val="single" w:color="000000" w:sz="8"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第300章  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子目号</w:t>
            </w:r>
          </w:p>
        </w:tc>
        <w:tc>
          <w:tcPr>
            <w:tcW w:w="3914"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1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82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76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单价</w:t>
            </w:r>
          </w:p>
        </w:tc>
        <w:tc>
          <w:tcPr>
            <w:tcW w:w="613"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302</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垫层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302-1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碎石垫层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540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304</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水泥稳定土底基层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304-3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水泥稳定土基层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厚180mm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1525.2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厚170mm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12200.7</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厚150mm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13929.9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厚20mm（调平层）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1081.9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-e</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多空隙水泥稳定碎石基层厚150mm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10996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-f</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联结层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-f-1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水泥浆</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7635.8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306</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级配碎（砾）石底基层、基层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306-1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级配碎石底基层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8040.5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厚180mm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466.6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306-3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级配碎石基层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厚150mm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10996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306-7</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碎石路面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307</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沥青稳定碎石基层（ATB）</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307-1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沥青稳定碎石基层（ATB）</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ATB-25沥青碎石上基层厚80mm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6144.8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透层和黏层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透层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高渗透乳化沥青</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8580.7</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308-2</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黏层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改性乳化沥青</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26349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热拌沥青混合料面层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309-3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粗粒式沥青混凝土</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AC-25C粗粒式沥青混凝土下面层厚80mm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7596.4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沥青表面处置与封层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沥青表面处置</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SBS改性沥青厚10mm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10996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310-2</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封层</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SBS改性沥青</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8580.7</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改性沥青及改性沥青混合料</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311-2</w:t>
            </w:r>
          </w:p>
        </w:tc>
        <w:tc>
          <w:tcPr>
            <w:tcW w:w="3914" w:type="dxa"/>
            <w:gridSpan w:val="5"/>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中粒式改性沥青混合料路面</w:t>
            </w:r>
          </w:p>
        </w:tc>
        <w:tc>
          <w:tcPr>
            <w:tcW w:w="1088"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8"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SBS改性沥青AC-20C中粒式沥青混凝土面层厚60mm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11067.8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SBS改性沥青AC-20C中粒式沥青混凝土面层厚20mm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567.1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311-3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SMA路面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SBS改性沥青SMA-13细粒式沥青混凝土面层厚40mm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11037.8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312</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水泥混凝土面板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312-1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水泥混凝土面板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厚280mm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578.1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厚240mm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2714.04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厚220mm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89.83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厚200mm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-e</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厚100mm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12.9</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312-2</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钢筋</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光圆钢筋(HPB235、HPB300)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kg</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12740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带肋钢筋（HRB400、HRB500）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kg</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32654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路肩培土、中央分隔带回填土、土路肩加固及路缘石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313-3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现浇混凝土加固土路肩</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10cm厚C25混凝土（含PVC管）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89.2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313-5</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混凝土预制块路缘石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98.7</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313-6</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回填清水碎石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223.8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313-7</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干砌片石</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干砌片石护肩墙（勾缝）</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423.4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314</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路面及中央分隔带排水</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314-1</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排水管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集水井横向排水管φ300mmHDPE波纹管（含混凝土、砂砾、挖基）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138.4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314-2</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纵向雨水沟（管）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缝隙式排水沟预制混凝土C30（含钢筋、水泥砂浆、不锈钢丝网、沥青防水）</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447</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496"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314-3</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集水井</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444"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C30现浇混凝土（含钢筋、铸铁箅盖、挖基）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座</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462" w:hRule="atLeast"/>
        </w:trPr>
        <w:tc>
          <w:tcPr>
            <w:tcW w:w="861" w:type="dxa"/>
            <w:tcBorders>
              <w:top w:val="single" w:color="000000" w:sz="4" w:space="0"/>
              <w:left w:val="nil"/>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3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smartSimSun" w:hAnsi="smartSimSun" w:eastAsia="smartSimSun" w:cs="smartSimSun"/>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12" w:type="dxa"/>
          <w:wAfter w:w="613" w:type="dxa"/>
          <w:trHeight w:val="659" w:hRule="atLeast"/>
        </w:trPr>
        <w:tc>
          <w:tcPr>
            <w:tcW w:w="7450" w:type="dxa"/>
            <w:gridSpan w:val="11"/>
            <w:tcBorders>
              <w:top w:val="single" w:color="000000" w:sz="8"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第400章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子目号</w:t>
            </w:r>
          </w:p>
        </w:tc>
        <w:tc>
          <w:tcPr>
            <w:tcW w:w="374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1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82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76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单价</w:t>
            </w:r>
          </w:p>
        </w:tc>
        <w:tc>
          <w:tcPr>
            <w:tcW w:w="613"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419</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圆管涵及倒虹吸管涵</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419-1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单孔钢筋混凝土圆管涵</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1-Φ1.5钢筋混凝土圆管涵</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420</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盖板涵、箱涵</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420-3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钢筋混凝土盖板通道</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钢筋混凝土盖板通道，1-3*2.5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钢筋混凝土盖板通道，1-4*4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19.62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smartSimSun" w:hAnsi="smartSimSun" w:eastAsia="smartSimSun" w:cs="smartSimSun"/>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659" w:hRule="atLeast"/>
        </w:trPr>
        <w:tc>
          <w:tcPr>
            <w:tcW w:w="8063" w:type="dxa"/>
            <w:gridSpan w:val="13"/>
            <w:tcBorders>
              <w:top w:val="single" w:color="000000" w:sz="8"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第600章  安全设施及预埋管线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子目号</w:t>
            </w:r>
          </w:p>
        </w:tc>
        <w:tc>
          <w:tcPr>
            <w:tcW w:w="374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10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82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76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单价</w:t>
            </w:r>
          </w:p>
        </w:tc>
        <w:tc>
          <w:tcPr>
            <w:tcW w:w="613"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602</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护栏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602-3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波形梁钢护栏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路侧波形梁钢护栏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Gr-A-4E</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390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Gr-A-2C</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Gr-SB-2E</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1485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-a-4</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Gr-SB-2C</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18</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中央分隔带波形梁钢护栏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Gr-SBm-2E</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1546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-b-2</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SBm组合式活动护栏（双侧40米/处）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SAm级门架处低变形量护栏（双侧34米/处）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136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波形梁钢护栏起、终端头</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BT-1-SB（含端部段，单侧14米/处）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-c-2</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BT-1-SBm（含端部段，双侧各14米/处）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AT1-2-1（含端部段，单侧12米/处）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-c-4</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AT2（含端部段，单侧12米/处）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-c-5</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CT-1（含端部段，双侧14米/处）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-c-6</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DT-1-SB（含端部段，双侧12米/处）</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可导向防撞垫</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CU-TS</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处</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隔离栅和防落物网</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603-3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焊接网隔离栅</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F-Ww-C</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920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道路交通标志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单柱式交通标志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Δ1300mm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○1000mm+□1200*600mm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○1200mm*2+□1200*600mm*2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-e</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□1250*1200mm+□1250*660mm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-f</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□2200*3500mm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604-2</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双柱式交通标志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□4200*3000mm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604-4</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门架式交通标志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车道指引标志（迁移）</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604-5</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单悬臂式交通标志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□4400*3800mm</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w:t>
            </w:r>
          </w:p>
        </w:tc>
        <w:tc>
          <w:tcPr>
            <w:tcW w:w="3742" w:type="dxa"/>
            <w:gridSpan w:val="4"/>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互通出口预告标志（迁移）</w:t>
            </w:r>
          </w:p>
        </w:tc>
        <w:tc>
          <w:tcPr>
            <w:tcW w:w="1088"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w:t>
            </w:r>
          </w:p>
        </w:tc>
        <w:tc>
          <w:tcPr>
            <w:tcW w:w="762" w:type="dxa"/>
            <w:gridSpan w:val="2"/>
            <w:tcBorders>
              <w:top w:val="single" w:color="000000" w:sz="4" w:space="0"/>
              <w:left w:val="single" w:color="000000" w:sz="4" w:space="0"/>
              <w:bottom w:val="single" w:color="000000" w:sz="8"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604-8</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里程碑</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604-9</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公路界碑</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4</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604-10</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百米桩</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道路交通标线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热熔型涂料路面标线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路面标线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2202.6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减速标线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93.6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605-4</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突起路标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612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605-5</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轮廓标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附着式轮廓标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-a-1</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DE-RB-AT1（双面）</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22</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-a-2</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DE-RBy-AT1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85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-a-3</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DE-RBw-AT1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个</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73</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37"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605-9</w:t>
            </w: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铲除原有路面标线</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60.6</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22" w:hRule="atLeast"/>
        </w:trPr>
        <w:tc>
          <w:tcPr>
            <w:tcW w:w="1033" w:type="dxa"/>
            <w:gridSpan w:val="2"/>
            <w:tcBorders>
              <w:top w:val="single" w:color="000000" w:sz="4" w:space="0"/>
              <w:left w:val="nil"/>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37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smartSimSun" w:hAnsi="smartSimSun" w:eastAsia="smartSimSun" w:cs="smartSimSun"/>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13" w:type="dxa"/>
            <w:gridSpan w:val="2"/>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 w:type="dxa"/>
          <w:trHeight w:val="351" w:hRule="atLeast"/>
        </w:trPr>
        <w:tc>
          <w:tcPr>
            <w:tcW w:w="8063" w:type="dxa"/>
            <w:gridSpan w:val="13"/>
            <w:tcBorders>
              <w:top w:val="single" w:color="000000" w:sz="8"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第700章  绿化及环境保护设施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05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smartSimSun" w:hAnsi="smartSimSun" w:eastAsia="smartSimSun" w:cs="smartSimSun"/>
                <w:i w:val="0"/>
                <w:iCs w:val="0"/>
                <w:color w:val="000000"/>
                <w:sz w:val="18"/>
                <w:szCs w:val="18"/>
                <w:u w:val="none"/>
              </w:rPr>
            </w:pPr>
            <w:bookmarkStart w:id="7" w:name="_Toc17503"/>
            <w:r>
              <w:rPr>
                <w:rFonts w:hint="eastAsia" w:ascii="smartSimSun" w:hAnsi="smartSimSun" w:eastAsia="smartSimSun" w:cs="smartSimSun"/>
                <w:i w:val="0"/>
                <w:iCs w:val="0"/>
                <w:color w:val="000000"/>
                <w:kern w:val="0"/>
                <w:sz w:val="18"/>
                <w:szCs w:val="18"/>
                <w:u w:val="none"/>
                <w:lang w:val="en-US" w:eastAsia="zh-CN" w:bidi="ar"/>
              </w:rPr>
              <w:t>子目号</w:t>
            </w:r>
          </w:p>
        </w:tc>
        <w:tc>
          <w:tcPr>
            <w:tcW w:w="372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子  目  名  称</w:t>
            </w:r>
          </w:p>
        </w:tc>
        <w:tc>
          <w:tcPr>
            <w:tcW w:w="1112"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单位</w:t>
            </w:r>
          </w:p>
        </w:tc>
        <w:tc>
          <w:tcPr>
            <w:tcW w:w="825"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数量</w:t>
            </w:r>
          </w:p>
        </w:tc>
        <w:tc>
          <w:tcPr>
            <w:tcW w:w="76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单价</w:t>
            </w:r>
          </w:p>
        </w:tc>
        <w:tc>
          <w:tcPr>
            <w:tcW w:w="600" w:type="dxa"/>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702</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铺设表土</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702-2</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铺设利用的表土</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2433</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703</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撒播草种和铺植草皮</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703-1</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撒播草种（含喷播）</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喷播草籽</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smartSimSun" w:hAnsi="smartSimSun" w:eastAsia="smartSimSun" w:cs="smartSimSun"/>
                <w:i w:val="0"/>
                <w:iCs w:val="0"/>
                <w:color w:val="000000"/>
                <w:sz w:val="16"/>
                <w:szCs w:val="16"/>
                <w:u w:val="none"/>
              </w:rPr>
            </w:pPr>
            <w:r>
              <w:rPr>
                <w:rFonts w:hint="eastAsia" w:ascii="smartSimSun" w:hAnsi="smartSimSun" w:eastAsia="smartSimSun" w:cs="smartSimSun"/>
                <w:i w:val="0"/>
                <w:iCs w:val="0"/>
                <w:color w:val="000000"/>
                <w:kern w:val="0"/>
                <w:sz w:val="16"/>
                <w:szCs w:val="16"/>
                <w:u w:val="none"/>
                <w:lang w:val="en-US" w:eastAsia="zh-CN" w:bidi="ar"/>
              </w:rPr>
              <w:t>49514.9</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703-6</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客土喷播</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6"/>
                <w:szCs w:val="16"/>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客土喷播植生厚8cm</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6"/>
                <w:szCs w:val="16"/>
                <w:u w:val="none"/>
              </w:rPr>
            </w:pPr>
            <w:r>
              <w:rPr>
                <w:rFonts w:hint="eastAsia" w:ascii="smartSimSun" w:hAnsi="smartSimSun" w:eastAsia="smartSimSun" w:cs="smartSimSun"/>
                <w:i w:val="0"/>
                <w:iCs w:val="0"/>
                <w:color w:val="000000"/>
                <w:kern w:val="0"/>
                <w:sz w:val="16"/>
                <w:szCs w:val="16"/>
                <w:u w:val="none"/>
                <w:lang w:val="en-US" w:eastAsia="zh-CN" w:bidi="ar"/>
              </w:rPr>
              <w:t>8095.7</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Φ2.0镀锌铁丝网</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m2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6"/>
                <w:szCs w:val="16"/>
                <w:u w:val="none"/>
              </w:rPr>
            </w:pPr>
            <w:r>
              <w:rPr>
                <w:rFonts w:hint="eastAsia" w:ascii="smartSimSun" w:hAnsi="smartSimSun" w:eastAsia="smartSimSun" w:cs="smartSimSun"/>
                <w:i w:val="0"/>
                <w:iCs w:val="0"/>
                <w:color w:val="000000"/>
                <w:kern w:val="0"/>
                <w:sz w:val="16"/>
                <w:szCs w:val="16"/>
                <w:u w:val="none"/>
                <w:lang w:val="en-US" w:eastAsia="zh-CN" w:bidi="ar"/>
              </w:rPr>
              <w:t>8516.4</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-c</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锚杆钢筋（HRB400、HRB500）（含钻孔、水泥砂浆）</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kg</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smartSimSun" w:hAnsi="smartSimSun" w:eastAsia="smartSimSun" w:cs="smartSimSun"/>
                <w:i w:val="0"/>
                <w:iCs w:val="0"/>
                <w:color w:val="000000"/>
                <w:sz w:val="16"/>
                <w:szCs w:val="16"/>
                <w:u w:val="none"/>
              </w:rPr>
            </w:pPr>
            <w:r>
              <w:rPr>
                <w:rFonts w:hint="eastAsia" w:ascii="smartSimSun" w:hAnsi="smartSimSun" w:eastAsia="smartSimSun" w:cs="smartSimSun"/>
                <w:i w:val="0"/>
                <w:iCs w:val="0"/>
                <w:color w:val="000000"/>
                <w:kern w:val="0"/>
                <w:sz w:val="16"/>
                <w:szCs w:val="16"/>
                <w:u w:val="none"/>
                <w:lang w:val="en-US" w:eastAsia="zh-CN" w:bidi="ar"/>
              </w:rPr>
              <w:t>20326.5</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704</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种植乔木、灌木和攀缘植物</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704-1</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人工种植乔木</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马尾松（一年生）</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棵</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2797</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-b</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塔柏（冠径&gt;50cm，高度&gt;100cm）</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棵</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150</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704-2</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人工种植灌木</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smartSimSun" w:hAnsi="smartSimSun" w:eastAsia="smartSimSun" w:cs="smartSimSun"/>
                <w:i w:val="0"/>
                <w:iCs w:val="0"/>
                <w:color w:val="000000"/>
                <w:sz w:val="18"/>
                <w:szCs w:val="18"/>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jc w:val="right"/>
              <w:rPr>
                <w:rFonts w:hint="eastAsia" w:ascii="smartSimSun" w:hAnsi="smartSimSun" w:eastAsia="smartSimSun" w:cs="smartSimSu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50" w:type="dxa"/>
            <w:gridSpan w:val="4"/>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-a</w:t>
            </w:r>
          </w:p>
        </w:tc>
        <w:tc>
          <w:tcPr>
            <w:tcW w:w="3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红花继木（蓬径&gt;80cm，7分枝以上）</w:t>
            </w:r>
          </w:p>
        </w:tc>
        <w:tc>
          <w:tcPr>
            <w:tcW w:w="11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棵</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smartSimSun" w:hAnsi="smartSimSun" w:eastAsia="smartSimSun" w:cs="smartSimSun"/>
                <w:i w:val="0"/>
                <w:iCs w:val="0"/>
                <w:color w:val="000000"/>
                <w:sz w:val="18"/>
                <w:szCs w:val="18"/>
                <w:u w:val="none"/>
              </w:rPr>
            </w:pPr>
            <w:r>
              <w:rPr>
                <w:rFonts w:hint="eastAsia" w:ascii="smartSimSun" w:hAnsi="smartSimSun" w:eastAsia="smartSimSun" w:cs="smartSimSun"/>
                <w:i w:val="0"/>
                <w:iCs w:val="0"/>
                <w:color w:val="000000"/>
                <w:kern w:val="0"/>
                <w:sz w:val="18"/>
                <w:szCs w:val="18"/>
                <w:u w:val="none"/>
                <w:lang w:val="en-US" w:eastAsia="zh-CN" w:bidi="ar"/>
              </w:rPr>
              <w:t>150</w:t>
            </w:r>
          </w:p>
        </w:tc>
        <w:tc>
          <w:tcPr>
            <w:tcW w:w="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p>
        </w:tc>
      </w:tr>
    </w:tbl>
    <w:p>
      <w:pPr>
        <w:rPr>
          <w:rFonts w:hint="eastAsia" w:ascii="宋体" w:hAnsi="宋体" w:cs="宋体"/>
          <w:b/>
          <w:sz w:val="24"/>
          <w:lang w:val="en-US" w:eastAsia="zh-CN"/>
        </w:rPr>
      </w:pPr>
    </w:p>
    <w:p>
      <w:pPr>
        <w:spacing w:line="420" w:lineRule="exact"/>
        <w:ind w:firstLine="482" w:firstLineChars="200"/>
        <w:outlineLvl w:val="1"/>
        <w:rPr>
          <w:rFonts w:hint="default" w:ascii="宋体" w:hAnsi="宋体" w:cs="宋体"/>
          <w:b/>
          <w:sz w:val="24"/>
          <w:lang w:val="en-US" w:eastAsia="zh-CN"/>
        </w:rPr>
      </w:pPr>
      <w:r>
        <w:rPr>
          <w:rFonts w:hint="eastAsia" w:ascii="宋体" w:hAnsi="宋体" w:cs="宋体"/>
          <w:b/>
          <w:sz w:val="24"/>
          <w:lang w:val="en-US" w:eastAsia="zh-CN"/>
        </w:rPr>
        <w:t>二、询价条件</w:t>
      </w:r>
      <w:bookmarkEnd w:id="7"/>
    </w:p>
    <w:p>
      <w:pPr>
        <w:pageBreakBefore w:val="0"/>
        <w:widowControl w:val="0"/>
        <w:kinsoku/>
        <w:wordWrap/>
        <w:overflowPunct/>
        <w:topLinePunct w:val="0"/>
        <w:autoSpaceDE/>
        <w:autoSpaceDN/>
        <w:bidi w:val="0"/>
        <w:adjustRightInd/>
        <w:snapToGrid/>
        <w:spacing w:line="240" w:lineRule="auto"/>
        <w:jc w:val="left"/>
        <w:textAlignment w:val="auto"/>
        <w:rPr>
          <w:rFonts w:ascii="宋体" w:hAnsi="宋体"/>
          <w:bCs/>
          <w:sz w:val="24"/>
        </w:rPr>
      </w:pPr>
      <w:r>
        <w:rPr>
          <w:rFonts w:hint="eastAsia" w:ascii="宋体" w:hAnsi="宋体"/>
          <w:bCs/>
          <w:sz w:val="24"/>
        </w:rPr>
        <w:t xml:space="preserve">   本次询价项目名称：龙杨高速省界收费站改建停车区项目土建工程一切险</w:t>
      </w:r>
      <w:r>
        <w:rPr>
          <w:rFonts w:hint="eastAsia" w:ascii="宋体" w:hAnsi="宋体"/>
          <w:bCs/>
          <w:sz w:val="24"/>
          <w:lang w:eastAsia="zh-CN"/>
        </w:rPr>
        <w:t>、</w:t>
      </w:r>
      <w:r>
        <w:rPr>
          <w:rFonts w:hint="eastAsia" w:ascii="宋体" w:hAnsi="宋体"/>
          <w:bCs/>
          <w:sz w:val="24"/>
          <w:lang w:val="en-US" w:eastAsia="zh-CN"/>
        </w:rPr>
        <w:t>第三者责任险</w:t>
      </w:r>
      <w:r>
        <w:rPr>
          <w:rFonts w:hint="eastAsia" w:ascii="宋体" w:hAnsi="宋体"/>
          <w:bCs/>
          <w:sz w:val="24"/>
        </w:rPr>
        <w:t>等相关保险</w:t>
      </w:r>
      <w:r>
        <w:rPr>
          <w:rFonts w:hint="eastAsia" w:ascii="宋体" w:hAnsi="宋体"/>
          <w:bCs/>
          <w:sz w:val="24"/>
          <w:lang w:val="en-US" w:eastAsia="zh-CN"/>
        </w:rPr>
        <w:t>采购</w:t>
      </w:r>
      <w:r>
        <w:rPr>
          <w:rFonts w:hint="eastAsia" w:ascii="宋体" w:hAnsi="宋体"/>
          <w:bCs/>
          <w:sz w:val="24"/>
        </w:rPr>
        <w:t>。合同签订人: 江西联兴公路工程有限公司，资金来源为自有资金，现对该项目进行</w:t>
      </w:r>
      <w:r>
        <w:rPr>
          <w:rFonts w:ascii="宋体" w:hAnsi="宋体"/>
          <w:bCs/>
          <w:sz w:val="24"/>
        </w:rPr>
        <w:t>询价</w:t>
      </w:r>
      <w:r>
        <w:rPr>
          <w:rFonts w:hint="eastAsia" w:ascii="宋体" w:hAnsi="宋体"/>
          <w:bCs/>
          <w:sz w:val="24"/>
        </w:rPr>
        <w:t>。</w:t>
      </w:r>
    </w:p>
    <w:p>
      <w:pPr>
        <w:spacing w:line="420" w:lineRule="exact"/>
        <w:ind w:firstLine="482" w:firstLineChars="200"/>
        <w:outlineLvl w:val="1"/>
        <w:rPr>
          <w:rFonts w:hint="eastAsia" w:ascii="宋体" w:hAnsi="宋体" w:cs="宋体"/>
          <w:b/>
          <w:sz w:val="24"/>
          <w:lang w:val="en-US" w:eastAsia="zh-CN"/>
        </w:rPr>
      </w:pPr>
      <w:bookmarkStart w:id="8" w:name="_Toc18295"/>
      <w:r>
        <w:rPr>
          <w:rFonts w:hint="eastAsia" w:ascii="宋体" w:hAnsi="宋体" w:cs="宋体"/>
          <w:b/>
          <w:sz w:val="24"/>
          <w:lang w:val="en-US" w:eastAsia="zh-CN"/>
        </w:rPr>
        <w:t>三、询价内容及要求</w:t>
      </w:r>
      <w:bookmarkEnd w:id="8"/>
    </w:p>
    <w:tbl>
      <w:tblPr>
        <w:tblStyle w:val="24"/>
        <w:tblW w:w="7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391"/>
        <w:gridCol w:w="658"/>
        <w:gridCol w:w="688"/>
        <w:gridCol w:w="1325"/>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23"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39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65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6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1325"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单价（元）</w:t>
            </w:r>
          </w:p>
        </w:tc>
        <w:tc>
          <w:tcPr>
            <w:tcW w:w="279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23"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39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65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6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132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104975.40</w:t>
            </w:r>
          </w:p>
        </w:tc>
        <w:tc>
          <w:tcPr>
            <w:tcW w:w="2799"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3"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39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65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6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32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3000.00</w:t>
            </w:r>
          </w:p>
        </w:tc>
        <w:tc>
          <w:tcPr>
            <w:tcW w:w="2799"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 100 万元人民币，事故次数不限（不计免赔额）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23"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391"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658"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688"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1325"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95801.50</w:t>
            </w:r>
          </w:p>
        </w:tc>
        <w:tc>
          <w:tcPr>
            <w:tcW w:w="2799"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r>
    </w:tbl>
    <w:p>
      <w:pPr>
        <w:keepNext w:val="0"/>
        <w:keepLines w:val="0"/>
        <w:widowControl/>
        <w:suppressLineNumbers w:val="0"/>
        <w:jc w:val="left"/>
        <w:rPr>
          <w:rFonts w:hint="eastAsia" w:ascii="宋体" w:hAnsi="宋体" w:cs="宋体"/>
          <w:bCs/>
          <w:kern w:val="0"/>
          <w:sz w:val="24"/>
          <w:lang w:val="en-US" w:eastAsia="zh-CN"/>
        </w:rPr>
      </w:pPr>
    </w:p>
    <w:p>
      <w:pPr>
        <w:keepNext w:val="0"/>
        <w:keepLines w:val="0"/>
        <w:widowControl/>
        <w:suppressLineNumbers w:val="0"/>
        <w:jc w:val="left"/>
        <w:rPr>
          <w:rFonts w:hint="default" w:ascii="宋体" w:hAnsi="宋体"/>
          <w:bCs/>
          <w:sz w:val="24"/>
          <w:lang w:val="en-US" w:eastAsia="zh-CN"/>
        </w:rPr>
      </w:pPr>
      <w:r>
        <w:rPr>
          <w:rFonts w:hint="eastAsia" w:ascii="宋体" w:hAnsi="宋体" w:cs="宋体"/>
          <w:bCs/>
          <w:kern w:val="0"/>
          <w:sz w:val="24"/>
          <w:lang w:val="en-US" w:eastAsia="zh-CN"/>
        </w:rPr>
        <w:t>工程地址</w:t>
      </w:r>
      <w:r>
        <w:rPr>
          <w:rFonts w:hint="eastAsia" w:ascii="宋体" w:hAnsi="宋体" w:cs="宋体"/>
          <w:bCs/>
          <w:kern w:val="0"/>
          <w:sz w:val="24"/>
          <w:lang w:eastAsia="zh-CN"/>
        </w:rPr>
        <w:t>：</w:t>
      </w:r>
      <w:r>
        <w:rPr>
          <w:rFonts w:hint="eastAsia" w:ascii="宋体" w:hAnsi="宋体" w:cs="宋体"/>
          <w:bCs/>
          <w:kern w:val="0"/>
          <w:sz w:val="24"/>
          <w:lang w:val="en-US" w:eastAsia="zh-CN"/>
        </w:rPr>
        <w:t>大广高速公路龙杨段原九连山省界收费站</w:t>
      </w:r>
      <w:r>
        <w:rPr>
          <w:rFonts w:hint="eastAsia" w:ascii="宋体" w:hAnsi="宋体"/>
          <w:bCs/>
          <w:sz w:val="24"/>
          <w:lang w:val="en-US" w:eastAsia="zh-CN"/>
        </w:rPr>
        <w:t>。</w:t>
      </w:r>
    </w:p>
    <w:p>
      <w:pPr>
        <w:spacing w:line="420" w:lineRule="exact"/>
        <w:ind w:firstLine="482" w:firstLineChars="200"/>
        <w:outlineLvl w:val="1"/>
        <w:rPr>
          <w:rFonts w:hint="eastAsia" w:ascii="宋体" w:hAnsi="宋体" w:cs="宋体"/>
          <w:b/>
          <w:sz w:val="24"/>
          <w:lang w:val="en-US" w:eastAsia="zh-CN"/>
        </w:rPr>
      </w:pPr>
      <w:r>
        <w:rPr>
          <w:rFonts w:hint="eastAsia" w:ascii="宋体" w:hAnsi="宋体" w:cs="宋体"/>
          <w:b/>
          <w:sz w:val="24"/>
          <w:lang w:val="en-US" w:eastAsia="zh-CN"/>
        </w:rPr>
        <w:t>四、本次询价的控制价上限及要求</w:t>
      </w:r>
    </w:p>
    <w:p>
      <w:pPr>
        <w:spacing w:line="480" w:lineRule="exact"/>
        <w:ind w:firstLine="480" w:firstLineChars="200"/>
        <w:rPr>
          <w:rFonts w:ascii="宋体"/>
          <w:bCs/>
          <w:sz w:val="28"/>
          <w:szCs w:val="28"/>
        </w:rPr>
      </w:pPr>
      <w:r>
        <w:rPr>
          <w:rFonts w:hint="eastAsia" w:ascii="宋体" w:hAnsi="宋体"/>
          <w:bCs/>
          <w:sz w:val="24"/>
        </w:rPr>
        <w:t>控制价上限总价:</w:t>
      </w:r>
      <w:r>
        <w:rPr>
          <w:rFonts w:hint="eastAsia" w:ascii="宋体" w:hAnsi="宋体"/>
          <w:bCs/>
          <w:sz w:val="24"/>
          <w:highlight w:val="none"/>
          <w:lang w:val="en-US" w:eastAsia="zh-CN"/>
        </w:rPr>
        <w:t>203776.9</w:t>
      </w:r>
      <w:r>
        <w:rPr>
          <w:rFonts w:hint="eastAsia" w:ascii="宋体" w:hAnsi="宋体"/>
          <w:bCs/>
          <w:sz w:val="24"/>
        </w:rPr>
        <w:t>元。报价方的报价不得高于本限价，否则视为不响应询价文件，而被询价方拒绝</w:t>
      </w:r>
      <w:r>
        <w:rPr>
          <w:rFonts w:hint="eastAsia" w:ascii="宋体" w:hAnsi="宋体"/>
          <w:bCs/>
          <w:sz w:val="24"/>
          <w:lang w:eastAsia="zh-CN"/>
        </w:rPr>
        <w:t>，当报价人税率不一致时，按除税价进行计算</w:t>
      </w:r>
      <w:r>
        <w:rPr>
          <w:rFonts w:hint="eastAsia" w:ascii="宋体" w:hAnsi="宋体"/>
          <w:bCs/>
          <w:sz w:val="24"/>
        </w:rPr>
        <w:t>。</w:t>
      </w:r>
    </w:p>
    <w:p>
      <w:pPr>
        <w:spacing w:line="480" w:lineRule="exact"/>
        <w:ind w:firstLine="480" w:firstLineChars="200"/>
        <w:rPr>
          <w:rFonts w:ascii="宋体" w:hAnsi="宋体"/>
          <w:bCs/>
          <w:sz w:val="24"/>
        </w:rPr>
      </w:pPr>
      <w:r>
        <w:rPr>
          <w:rFonts w:hint="eastAsia" w:ascii="宋体" w:hAnsi="宋体"/>
          <w:bCs/>
          <w:sz w:val="24"/>
        </w:rPr>
        <w:t>本报价包含实施和完成项目所需的人工、管理、保险、税费、利润等一切费用，询价方不再另行支付其他费用。</w:t>
      </w:r>
    </w:p>
    <w:p>
      <w:pPr>
        <w:spacing w:line="420" w:lineRule="exact"/>
        <w:ind w:firstLine="482" w:firstLineChars="200"/>
        <w:outlineLvl w:val="1"/>
        <w:rPr>
          <w:rFonts w:ascii="宋体" w:hAnsi="宋体" w:cs="宋体"/>
          <w:b/>
          <w:sz w:val="24"/>
        </w:rPr>
      </w:pPr>
      <w:bookmarkStart w:id="9" w:name="_Toc7140"/>
      <w:r>
        <w:rPr>
          <w:rFonts w:hint="eastAsia" w:ascii="宋体" w:hAnsi="宋体" w:cs="宋体"/>
          <w:b/>
          <w:sz w:val="24"/>
          <w:lang w:val="en-US" w:eastAsia="zh-CN"/>
        </w:rPr>
        <w:t>五</w:t>
      </w:r>
      <w:r>
        <w:rPr>
          <w:rFonts w:hint="eastAsia" w:ascii="宋体" w:hAnsi="宋体" w:cs="宋体"/>
          <w:b/>
          <w:sz w:val="24"/>
        </w:rPr>
        <w:t>、报价方资格要求</w:t>
      </w:r>
      <w:bookmarkEnd w:id="9"/>
    </w:p>
    <w:p>
      <w:pPr>
        <w:spacing w:line="48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报价方</w:t>
      </w:r>
      <w:r>
        <w:rPr>
          <w:rFonts w:hint="eastAsia" w:ascii="宋体" w:hAnsi="宋体"/>
          <w:bCs/>
          <w:sz w:val="24"/>
        </w:rPr>
        <w:t>具有独立法人资格</w:t>
      </w:r>
      <w:r>
        <w:rPr>
          <w:rFonts w:hint="eastAsia" w:ascii="宋体" w:hAnsi="宋体"/>
          <w:bCs/>
          <w:sz w:val="24"/>
          <w:lang w:eastAsia="zh-CN"/>
        </w:rPr>
        <w:t>或经独立法人授权的下属</w:t>
      </w:r>
      <w:r>
        <w:rPr>
          <w:rFonts w:hint="eastAsia" w:ascii="宋体" w:hAnsi="宋体"/>
          <w:bCs/>
          <w:sz w:val="24"/>
        </w:rPr>
        <w:t>分（支）机构，持有工商行政管理部门核发的企业法人营业执照</w:t>
      </w:r>
      <w:r>
        <w:rPr>
          <w:rFonts w:hint="eastAsia" w:ascii="宋体" w:hAnsi="宋体"/>
          <w:bCs/>
          <w:sz w:val="24"/>
          <w:lang w:eastAsia="zh-CN"/>
        </w:rPr>
        <w:t>，</w:t>
      </w:r>
      <w:r>
        <w:rPr>
          <w:rFonts w:hint="eastAsia" w:ascii="宋体" w:hAnsi="宋体"/>
          <w:bCs/>
          <w:sz w:val="24"/>
        </w:rPr>
        <w:t>不接受委托保险代理人参与本项目的投标；</w:t>
      </w:r>
    </w:p>
    <w:p>
      <w:pPr>
        <w:spacing w:line="480" w:lineRule="exact"/>
        <w:ind w:firstLine="480" w:firstLineChars="200"/>
        <w:rPr>
          <w:rFonts w:hint="eastAsia" w:ascii="宋体" w:hAnsi="宋体"/>
          <w:bCs/>
          <w:sz w:val="24"/>
        </w:rPr>
      </w:pPr>
      <w:r>
        <w:rPr>
          <w:rFonts w:hint="eastAsia" w:ascii="宋体" w:hAnsi="宋体"/>
          <w:bCs/>
          <w:sz w:val="24"/>
          <w:lang w:val="en-US" w:eastAsia="zh-CN"/>
        </w:rPr>
        <w:t>2、报价方</w:t>
      </w:r>
      <w:r>
        <w:rPr>
          <w:rFonts w:hint="eastAsia" w:ascii="宋体" w:hAnsi="宋体"/>
          <w:bCs/>
          <w:sz w:val="24"/>
        </w:rPr>
        <w:t>必须是在中华人民共和国境内成立的保险公司，具有中国</w:t>
      </w:r>
      <w:r>
        <w:rPr>
          <w:rFonts w:hint="eastAsia" w:ascii="宋体" w:hAnsi="宋体"/>
          <w:bCs/>
          <w:sz w:val="24"/>
          <w:lang w:eastAsia="zh-CN"/>
        </w:rPr>
        <w:t>银行</w:t>
      </w:r>
      <w:r>
        <w:rPr>
          <w:rFonts w:hint="eastAsia" w:ascii="宋体" w:hAnsi="宋体"/>
          <w:bCs/>
          <w:sz w:val="24"/>
        </w:rPr>
        <w:t>保险监督管理委员会颁发的《保险公司法人许可证》</w:t>
      </w:r>
      <w:r>
        <w:rPr>
          <w:rFonts w:hint="eastAsia" w:ascii="宋体" w:hAnsi="宋体"/>
          <w:bCs/>
          <w:sz w:val="24"/>
          <w:lang w:eastAsia="zh-CN"/>
        </w:rPr>
        <w:t>或《经营保险业务许可证》；</w:t>
      </w:r>
    </w:p>
    <w:p>
      <w:pPr>
        <w:spacing w:line="480" w:lineRule="exact"/>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rPr>
        <w:t>、被人民法院列入失信被执行人的单位不得参与竞价。（以“信用中国”官网</w:t>
      </w:r>
      <w:r>
        <w:fldChar w:fldCharType="begin"/>
      </w:r>
      <w:r>
        <w:instrText xml:space="preserve"> HYPERLINK "http://www.creditchina.gov.cn" </w:instrText>
      </w:r>
      <w:r>
        <w:fldChar w:fldCharType="separate"/>
      </w:r>
      <w:r>
        <w:rPr>
          <w:rFonts w:hint="eastAsia" w:ascii="宋体" w:hAnsi="宋体"/>
          <w:bCs/>
          <w:sz w:val="24"/>
        </w:rPr>
        <w:t>http://www.creditchina.gov.cn</w:t>
      </w:r>
      <w:r>
        <w:rPr>
          <w:rFonts w:ascii="宋体" w:hAnsi="宋体"/>
          <w:bCs/>
          <w:sz w:val="24"/>
        </w:rPr>
        <w:fldChar w:fldCharType="end"/>
      </w:r>
      <w:r>
        <w:rPr>
          <w:rFonts w:hint="eastAsia" w:ascii="宋体" w:hAnsi="宋体"/>
          <w:bCs/>
          <w:sz w:val="24"/>
        </w:rPr>
        <w:t>查询为准）。</w:t>
      </w:r>
    </w:p>
    <w:p>
      <w:pPr>
        <w:spacing w:line="480" w:lineRule="exact"/>
        <w:ind w:firstLine="480" w:firstLineChars="200"/>
        <w:rPr>
          <w:rFonts w:hint="eastAsia" w:ascii="宋体" w:hAnsi="宋体"/>
          <w:bCs/>
          <w:sz w:val="24"/>
        </w:rPr>
      </w:pPr>
      <w:r>
        <w:rPr>
          <w:rFonts w:hint="eastAsia" w:ascii="宋体" w:hAnsi="宋体"/>
          <w:bCs/>
          <w:sz w:val="24"/>
          <w:lang w:val="en-US" w:eastAsia="zh-CN"/>
        </w:rPr>
        <w:t>4</w:t>
      </w:r>
      <w:r>
        <w:rPr>
          <w:rFonts w:hint="eastAsia" w:ascii="宋体" w:hAnsi="宋体"/>
          <w:bCs/>
          <w:sz w:val="24"/>
        </w:rPr>
        <w:t>、近三年内，企业在经营活动中未受到过行政处罚。</w:t>
      </w:r>
    </w:p>
    <w:p>
      <w:pPr>
        <w:spacing w:line="480" w:lineRule="exact"/>
        <w:ind w:firstLine="480" w:firstLineChars="200"/>
        <w:rPr>
          <w:rFonts w:hint="eastAsia" w:ascii="宋体" w:hAnsi="宋体"/>
          <w:bCs/>
          <w:sz w:val="24"/>
          <w:lang w:eastAsia="zh-CN"/>
        </w:rPr>
      </w:pPr>
      <w:r>
        <w:rPr>
          <w:rFonts w:hint="eastAsia" w:ascii="宋体" w:hAnsi="宋体"/>
          <w:bCs/>
          <w:sz w:val="24"/>
          <w:lang w:val="en-US" w:eastAsia="zh-CN"/>
        </w:rPr>
        <w:t>5、</w:t>
      </w:r>
      <w:r>
        <w:rPr>
          <w:rFonts w:hint="eastAsia" w:ascii="宋体" w:hAnsi="宋体" w:cs="Times New Roman"/>
          <w:bCs/>
          <w:sz w:val="24"/>
          <w:lang w:eastAsia="zh-CN"/>
        </w:rPr>
        <w:t>与</w:t>
      </w:r>
      <w:r>
        <w:rPr>
          <w:rFonts w:hint="eastAsia" w:ascii="宋体" w:hAnsi="宋体" w:cs="Times New Roman"/>
          <w:bCs/>
          <w:sz w:val="24"/>
          <w:lang w:val="en-US" w:eastAsia="zh-CN"/>
        </w:rPr>
        <w:t>采购</w:t>
      </w:r>
      <w:r>
        <w:rPr>
          <w:rFonts w:hint="eastAsia" w:ascii="宋体" w:hAnsi="宋体" w:cs="Times New Roman"/>
          <w:bCs/>
          <w:sz w:val="24"/>
          <w:lang w:eastAsia="zh-CN"/>
        </w:rPr>
        <w:t>人存在利害关系可能影响</w:t>
      </w:r>
      <w:r>
        <w:rPr>
          <w:rFonts w:hint="eastAsia" w:ascii="宋体" w:hAnsi="宋体" w:cs="Times New Roman"/>
          <w:bCs/>
          <w:sz w:val="24"/>
          <w:lang w:val="en-US" w:eastAsia="zh-CN"/>
        </w:rPr>
        <w:t>询价</w:t>
      </w:r>
      <w:r>
        <w:rPr>
          <w:rFonts w:hint="eastAsia" w:ascii="宋体" w:hAnsi="宋体" w:cs="Times New Roman"/>
          <w:bCs/>
          <w:sz w:val="24"/>
          <w:lang w:eastAsia="zh-CN"/>
        </w:rPr>
        <w:t>公正性的单位，不得参加</w:t>
      </w:r>
      <w:r>
        <w:rPr>
          <w:rFonts w:hint="eastAsia" w:ascii="宋体" w:hAnsi="宋体" w:cs="Times New Roman"/>
          <w:bCs/>
          <w:sz w:val="24"/>
          <w:lang w:val="en-US" w:eastAsia="zh-CN"/>
        </w:rPr>
        <w:t>报价</w:t>
      </w:r>
      <w:r>
        <w:rPr>
          <w:rFonts w:hint="eastAsia" w:ascii="宋体" w:hAnsi="宋体" w:cs="Times New Roman"/>
          <w:bCs/>
          <w:sz w:val="24"/>
          <w:lang w:eastAsia="zh-CN"/>
        </w:rPr>
        <w:t>。单位负责人为同一</w:t>
      </w:r>
      <w:r>
        <w:rPr>
          <w:rFonts w:hint="eastAsia" w:ascii="宋体" w:hAnsi="宋体"/>
          <w:bCs/>
          <w:sz w:val="24"/>
          <w:lang w:eastAsia="zh-CN"/>
        </w:rPr>
        <w:t>人或存在控股、管理关系的不同单位，不得参加同一标段</w:t>
      </w:r>
      <w:r>
        <w:rPr>
          <w:rFonts w:hint="eastAsia" w:ascii="宋体" w:hAnsi="宋体"/>
          <w:bCs/>
          <w:sz w:val="24"/>
          <w:lang w:val="en-US" w:eastAsia="zh-CN"/>
        </w:rPr>
        <w:t>报价</w:t>
      </w:r>
      <w:r>
        <w:rPr>
          <w:rFonts w:hint="eastAsia" w:ascii="宋体" w:hAnsi="宋体"/>
          <w:bCs/>
          <w:sz w:val="24"/>
          <w:lang w:eastAsia="zh-CN"/>
        </w:rPr>
        <w:t>，否则，相关</w:t>
      </w:r>
      <w:r>
        <w:rPr>
          <w:rFonts w:hint="default" w:ascii="宋体" w:hAnsi="宋体"/>
          <w:bCs/>
          <w:sz w:val="24"/>
          <w:lang w:val="en-US" w:eastAsia="zh-CN"/>
        </w:rPr>
        <w:t>报价文件</w:t>
      </w:r>
      <w:r>
        <w:rPr>
          <w:rFonts w:hint="eastAsia" w:ascii="宋体" w:hAnsi="宋体"/>
          <w:bCs/>
          <w:sz w:val="24"/>
          <w:lang w:eastAsia="zh-CN"/>
        </w:rPr>
        <w:t>均无效。</w:t>
      </w:r>
    </w:p>
    <w:p>
      <w:pPr>
        <w:spacing w:line="480" w:lineRule="exact"/>
        <w:ind w:firstLine="480" w:firstLineChars="200"/>
        <w:rPr>
          <w:rFonts w:hint="default" w:ascii="宋体" w:hAnsi="宋体"/>
          <w:bCs/>
          <w:sz w:val="24"/>
          <w:lang w:val="en-US" w:eastAsia="zh-CN"/>
        </w:rPr>
      </w:pPr>
      <w:r>
        <w:rPr>
          <w:rFonts w:hint="eastAsia" w:ascii="宋体" w:hAnsi="宋体"/>
          <w:bCs/>
          <w:sz w:val="24"/>
          <w:lang w:val="en-US" w:eastAsia="zh-CN"/>
        </w:rPr>
        <w:t>6、报价方</w:t>
      </w:r>
      <w:r>
        <w:rPr>
          <w:rFonts w:hint="default" w:ascii="宋体" w:hAnsi="宋体"/>
          <w:bCs/>
          <w:sz w:val="24"/>
          <w:lang w:val="en-US" w:eastAsia="zh-CN"/>
        </w:rPr>
        <w:t>24个月内在我市行政区域内工程投标中被确定为中标人后，</w:t>
      </w:r>
      <w:r>
        <w:rPr>
          <w:rFonts w:hint="eastAsia" w:ascii="宋体" w:hAnsi="宋体"/>
          <w:bCs/>
          <w:sz w:val="24"/>
          <w:lang w:val="en-US" w:eastAsia="zh-CN"/>
        </w:rPr>
        <w:t>不得</w:t>
      </w:r>
      <w:r>
        <w:rPr>
          <w:rFonts w:hint="default" w:ascii="宋体" w:hAnsi="宋体"/>
          <w:bCs/>
          <w:sz w:val="24"/>
          <w:lang w:val="en-US" w:eastAsia="zh-CN"/>
        </w:rPr>
        <w:t>无正当理由放弃中标或不按规定提供履约担保的。</w:t>
      </w:r>
    </w:p>
    <w:p>
      <w:pPr>
        <w:spacing w:line="480" w:lineRule="exact"/>
        <w:ind w:firstLine="480" w:firstLineChars="200"/>
        <w:rPr>
          <w:rFonts w:hint="default"/>
          <w:lang w:val="en-US"/>
        </w:rPr>
      </w:pPr>
      <w:r>
        <w:rPr>
          <w:rFonts w:hint="eastAsia" w:ascii="宋体" w:hAnsi="宋体"/>
          <w:bCs/>
          <w:sz w:val="24"/>
          <w:lang w:val="en-US" w:eastAsia="zh-CN"/>
        </w:rPr>
        <w:t>7、报价方</w:t>
      </w:r>
      <w:r>
        <w:rPr>
          <w:rFonts w:hint="default" w:ascii="宋体" w:hAnsi="宋体"/>
          <w:bCs/>
          <w:sz w:val="24"/>
          <w:lang w:val="en-US" w:eastAsia="zh-CN"/>
        </w:rPr>
        <w:t>6个月内（以通报发文时间为准）</w:t>
      </w:r>
      <w:r>
        <w:rPr>
          <w:rFonts w:hint="eastAsia" w:ascii="宋体" w:hAnsi="宋体"/>
          <w:bCs/>
          <w:sz w:val="24"/>
          <w:lang w:val="en-US" w:eastAsia="zh-CN"/>
        </w:rPr>
        <w:t>不得</w:t>
      </w:r>
      <w:r>
        <w:rPr>
          <w:rFonts w:hint="default" w:ascii="宋体" w:hAnsi="宋体"/>
          <w:bCs/>
          <w:sz w:val="24"/>
          <w:lang w:val="en-US" w:eastAsia="zh-CN"/>
        </w:rPr>
        <w:t>被我市及任何县（市、区）中国银行保险监督管理委员会（或行政执法部门）依法作出限制投标资格行政处罚（或暂停投标通报）的。</w:t>
      </w:r>
    </w:p>
    <w:p>
      <w:pPr>
        <w:spacing w:line="420" w:lineRule="exact"/>
        <w:ind w:firstLine="482" w:firstLineChars="200"/>
        <w:outlineLvl w:val="1"/>
        <w:rPr>
          <w:rFonts w:ascii="宋体" w:hAnsi="宋体" w:cs="宋体"/>
          <w:b/>
          <w:sz w:val="24"/>
        </w:rPr>
      </w:pPr>
      <w:bookmarkStart w:id="10" w:name="_Toc9003"/>
      <w:r>
        <w:rPr>
          <w:rFonts w:hint="eastAsia" w:ascii="宋体" w:hAnsi="宋体" w:cs="宋体"/>
          <w:b/>
          <w:sz w:val="24"/>
          <w:lang w:val="en-US" w:eastAsia="zh-CN"/>
        </w:rPr>
        <w:t>六</w:t>
      </w:r>
      <w:r>
        <w:rPr>
          <w:rFonts w:hint="eastAsia" w:ascii="宋体" w:hAnsi="宋体" w:cs="宋体"/>
          <w:b/>
          <w:sz w:val="24"/>
        </w:rPr>
        <w:t>、报价文件组成</w:t>
      </w:r>
      <w:bookmarkEnd w:id="10"/>
    </w:p>
    <w:p>
      <w:pPr>
        <w:spacing w:line="420" w:lineRule="exact"/>
        <w:ind w:firstLine="480" w:firstLineChars="200"/>
        <w:rPr>
          <w:rFonts w:ascii="宋体" w:hAnsi="宋体"/>
          <w:bCs/>
          <w:sz w:val="24"/>
        </w:rPr>
      </w:pPr>
      <w:r>
        <w:rPr>
          <w:rFonts w:hint="eastAsia" w:ascii="宋体" w:hAnsi="宋体"/>
          <w:bCs/>
          <w:sz w:val="24"/>
        </w:rPr>
        <w:t>请各报价方派专人携带身份证原件及报价文件，参加本次活动，报价文件包括：</w:t>
      </w:r>
    </w:p>
    <w:p>
      <w:pPr>
        <w:spacing w:line="420" w:lineRule="exact"/>
        <w:ind w:firstLine="480" w:firstLineChars="200"/>
        <w:rPr>
          <w:rFonts w:ascii="宋体" w:hAnsi="宋体"/>
          <w:bCs/>
          <w:sz w:val="24"/>
        </w:rPr>
      </w:pPr>
      <w:r>
        <w:rPr>
          <w:rFonts w:hint="eastAsia" w:ascii="宋体" w:hAnsi="宋体"/>
          <w:bCs/>
          <w:sz w:val="24"/>
        </w:rPr>
        <w:t>（1）法人代表（持法人代表证书复印件）或其委托代理人（持授权书原件）；</w:t>
      </w:r>
    </w:p>
    <w:p>
      <w:pPr>
        <w:spacing w:line="420" w:lineRule="exact"/>
        <w:ind w:firstLine="480" w:firstLineChars="200"/>
        <w:rPr>
          <w:rFonts w:hint="eastAsia" w:ascii="宋体" w:hAnsi="宋体" w:cs="Times New Roman"/>
          <w:bCs/>
          <w:sz w:val="24"/>
        </w:rPr>
      </w:pPr>
      <w:r>
        <w:rPr>
          <w:rFonts w:hint="eastAsia" w:ascii="宋体" w:hAnsi="宋体" w:cs="Times New Roman"/>
          <w:bCs/>
          <w:sz w:val="24"/>
        </w:rPr>
        <w:t>（2）经办人身份证复印件；</w:t>
      </w:r>
    </w:p>
    <w:p>
      <w:pPr>
        <w:spacing w:line="420" w:lineRule="exact"/>
        <w:ind w:firstLine="480" w:firstLineChars="200"/>
        <w:rPr>
          <w:rFonts w:hint="eastAsia" w:ascii="宋体" w:hAnsi="宋体" w:cs="Times New Roman"/>
          <w:bCs/>
          <w:sz w:val="24"/>
        </w:rPr>
      </w:pPr>
      <w:r>
        <w:rPr>
          <w:rFonts w:hint="eastAsia" w:ascii="宋体" w:hAnsi="宋体" w:cs="Times New Roman"/>
          <w:bCs/>
          <w:sz w:val="24"/>
        </w:rPr>
        <w:t>（3）报价函；</w:t>
      </w:r>
    </w:p>
    <w:p>
      <w:pPr>
        <w:spacing w:line="420" w:lineRule="exact"/>
        <w:ind w:firstLine="480" w:firstLineChars="200"/>
        <w:rPr>
          <w:rFonts w:hint="eastAsia" w:ascii="宋体" w:hAnsi="宋体" w:cs="Times New Roman"/>
          <w:bCs/>
          <w:sz w:val="24"/>
          <w:lang w:eastAsia="zh-CN"/>
        </w:rPr>
      </w:pPr>
      <w:r>
        <w:rPr>
          <w:rFonts w:hint="eastAsia" w:ascii="宋体" w:hAnsi="宋体" w:cs="Times New Roman"/>
          <w:bCs/>
          <w:sz w:val="24"/>
          <w:lang w:eastAsia="zh-CN"/>
        </w:rPr>
        <w:t>（</w:t>
      </w:r>
      <w:r>
        <w:rPr>
          <w:rFonts w:hint="eastAsia" w:ascii="宋体" w:hAnsi="宋体" w:cs="Times New Roman"/>
          <w:bCs/>
          <w:sz w:val="24"/>
          <w:lang w:val="en-US" w:eastAsia="zh-CN"/>
        </w:rPr>
        <w:t>4</w:t>
      </w:r>
      <w:r>
        <w:rPr>
          <w:rFonts w:hint="eastAsia" w:ascii="宋体" w:hAnsi="宋体" w:cs="Times New Roman"/>
          <w:bCs/>
          <w:sz w:val="24"/>
          <w:lang w:eastAsia="zh-CN"/>
        </w:rPr>
        <w:t>）基本情况；</w:t>
      </w:r>
    </w:p>
    <w:p>
      <w:pPr>
        <w:spacing w:line="420" w:lineRule="exact"/>
        <w:ind w:firstLine="480" w:firstLineChars="200"/>
        <w:rPr>
          <w:rFonts w:hint="eastAsia" w:ascii="宋体" w:hAnsi="宋体" w:cs="Times New Roman"/>
          <w:bCs/>
          <w:sz w:val="24"/>
        </w:rPr>
      </w:pPr>
      <w:r>
        <w:rPr>
          <w:rFonts w:hint="eastAsia" w:ascii="宋体" w:hAnsi="宋体" w:cs="Times New Roman"/>
          <w:bCs/>
          <w:sz w:val="24"/>
        </w:rPr>
        <w:t>（</w:t>
      </w:r>
      <w:r>
        <w:rPr>
          <w:rFonts w:hint="eastAsia" w:ascii="宋体" w:hAnsi="宋体" w:cs="Times New Roman"/>
          <w:bCs/>
          <w:sz w:val="24"/>
          <w:lang w:val="en-US" w:eastAsia="zh-CN"/>
        </w:rPr>
        <w:t>5</w:t>
      </w:r>
      <w:r>
        <w:rPr>
          <w:rFonts w:hint="eastAsia" w:ascii="宋体" w:hAnsi="宋体" w:cs="Times New Roman"/>
          <w:bCs/>
          <w:sz w:val="24"/>
        </w:rPr>
        <w:t>）信誉承诺表；</w:t>
      </w:r>
    </w:p>
    <w:p>
      <w:pPr>
        <w:spacing w:line="420" w:lineRule="exact"/>
        <w:ind w:firstLine="480" w:firstLineChars="200"/>
        <w:rPr>
          <w:rFonts w:hint="eastAsia" w:ascii="宋体" w:hAnsi="宋体" w:cs="Times New Roman"/>
          <w:bCs/>
          <w:sz w:val="24"/>
          <w:lang w:val="en-US" w:eastAsia="zh-CN"/>
        </w:rPr>
      </w:pPr>
      <w:r>
        <w:rPr>
          <w:rFonts w:hint="eastAsia" w:ascii="宋体" w:hAnsi="宋体" w:cs="Times New Roman"/>
          <w:bCs/>
          <w:sz w:val="24"/>
          <w:lang w:eastAsia="zh-CN"/>
        </w:rPr>
        <w:t>（</w:t>
      </w:r>
      <w:r>
        <w:rPr>
          <w:rFonts w:hint="eastAsia" w:ascii="宋体" w:hAnsi="宋体" w:cs="Times New Roman"/>
          <w:bCs/>
          <w:sz w:val="24"/>
          <w:lang w:val="en-US" w:eastAsia="zh-CN"/>
        </w:rPr>
        <w:t>6</w:t>
      </w:r>
      <w:r>
        <w:rPr>
          <w:rFonts w:hint="eastAsia" w:ascii="宋体" w:hAnsi="宋体" w:cs="Times New Roman"/>
          <w:bCs/>
          <w:sz w:val="24"/>
          <w:lang w:eastAsia="zh-CN"/>
        </w:rPr>
        <w:t>）</w:t>
      </w:r>
      <w:r>
        <w:rPr>
          <w:rFonts w:hint="eastAsia" w:ascii="宋体" w:hAnsi="宋体" w:cs="Times New Roman"/>
          <w:bCs/>
          <w:sz w:val="24"/>
          <w:lang w:val="en-US" w:eastAsia="zh-CN"/>
        </w:rPr>
        <w:t>商务文件；</w:t>
      </w:r>
    </w:p>
    <w:p>
      <w:pPr>
        <w:spacing w:line="420" w:lineRule="exact"/>
        <w:ind w:firstLine="480" w:firstLineChars="200"/>
        <w:rPr>
          <w:rFonts w:hint="eastAsia" w:ascii="宋体" w:hAnsi="宋体" w:cs="Times New Roman"/>
          <w:bCs/>
          <w:sz w:val="24"/>
          <w:lang w:val="en-US" w:eastAsia="zh-CN"/>
        </w:rPr>
      </w:pPr>
      <w:r>
        <w:rPr>
          <w:rFonts w:hint="eastAsia" w:ascii="宋体" w:hAnsi="宋体" w:cs="Times New Roman"/>
          <w:bCs/>
          <w:sz w:val="24"/>
          <w:lang w:val="en-US" w:eastAsia="zh-CN"/>
        </w:rPr>
        <w:t>（7）技术文件；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Times New Roman"/>
          <w:bCs/>
          <w:sz w:val="24"/>
          <w:lang w:val="en-US" w:eastAsia="zh-CN"/>
        </w:rPr>
      </w:pPr>
      <w:r>
        <w:rPr>
          <w:rFonts w:hint="eastAsia" w:ascii="宋体" w:hAnsi="宋体" w:cs="Times New Roman"/>
          <w:bCs/>
          <w:sz w:val="24"/>
          <w:lang w:val="en-US" w:eastAsia="zh-CN"/>
        </w:rPr>
        <w:t>（8）其他。</w:t>
      </w:r>
    </w:p>
    <w:p>
      <w:pPr>
        <w:pStyle w:val="2"/>
        <w:pageBreakBefore w:val="0"/>
        <w:widowControl w:val="0"/>
        <w:kinsoku/>
        <w:wordWrap/>
        <w:overflowPunct/>
        <w:topLinePunct w:val="0"/>
        <w:autoSpaceDE/>
        <w:autoSpaceDN/>
        <w:bidi w:val="0"/>
        <w:adjustRightInd/>
        <w:snapToGrid/>
        <w:spacing w:line="240" w:lineRule="auto"/>
        <w:ind w:firstLine="481"/>
        <w:textAlignment w:val="auto"/>
        <w:rPr>
          <w:rFonts w:hint="eastAsia" w:ascii="宋体" w:hAnsi="宋体"/>
          <w:bCs/>
          <w:sz w:val="24"/>
        </w:rPr>
      </w:pPr>
      <w:r>
        <w:rPr>
          <w:rFonts w:hint="eastAsia" w:ascii="宋体" w:hAnsi="宋体"/>
          <w:bCs/>
          <w:sz w:val="24"/>
        </w:rPr>
        <w:t>以上资料均应逐页加盖单位公章并胶装成册，不得活页。询价文件一式</w:t>
      </w:r>
      <w:r>
        <w:rPr>
          <w:rFonts w:hint="eastAsia" w:ascii="宋体" w:hAnsi="宋体"/>
          <w:bCs/>
          <w:sz w:val="24"/>
          <w:lang w:val="en-US" w:eastAsia="zh-CN"/>
        </w:rPr>
        <w:t>贰</w:t>
      </w:r>
      <w:r>
        <w:rPr>
          <w:rFonts w:hint="eastAsia" w:ascii="宋体" w:hAnsi="宋体"/>
          <w:bCs/>
          <w:sz w:val="24"/>
        </w:rPr>
        <w:t>份（其中正本一份，副本</w:t>
      </w:r>
      <w:r>
        <w:rPr>
          <w:rFonts w:hint="eastAsia" w:ascii="宋体" w:hAnsi="宋体"/>
          <w:bCs/>
          <w:sz w:val="24"/>
          <w:lang w:val="en-US" w:eastAsia="zh-CN"/>
        </w:rPr>
        <w:t>一</w:t>
      </w:r>
      <w:r>
        <w:rPr>
          <w:rFonts w:hint="eastAsia" w:ascii="宋体" w:hAnsi="宋体"/>
          <w:bCs/>
          <w:sz w:val="24"/>
        </w:rPr>
        <w:t>份），并标明正副本（正本与副本内容不一致的，以正本为准）。</w:t>
      </w:r>
    </w:p>
    <w:p>
      <w:pPr>
        <w:spacing w:line="420" w:lineRule="exact"/>
        <w:ind w:firstLine="482" w:firstLineChars="200"/>
        <w:outlineLvl w:val="1"/>
        <w:rPr>
          <w:rFonts w:hint="eastAsia" w:ascii="宋体" w:hAnsi="宋体" w:cs="宋体"/>
          <w:b/>
          <w:sz w:val="24"/>
          <w:lang w:val="en-US" w:eastAsia="zh-CN"/>
        </w:rPr>
      </w:pPr>
      <w:r>
        <w:rPr>
          <w:rFonts w:hint="eastAsia" w:ascii="宋体" w:hAnsi="宋体" w:cs="宋体"/>
          <w:b/>
          <w:sz w:val="24"/>
          <w:lang w:val="en-US" w:eastAsia="zh-CN"/>
        </w:rPr>
        <w:t>七、费用的支付</w:t>
      </w:r>
    </w:p>
    <w:p>
      <w:pPr>
        <w:spacing w:line="420" w:lineRule="exact"/>
        <w:ind w:firstLine="480" w:firstLineChars="200"/>
        <w:outlineLvl w:val="1"/>
        <w:rPr>
          <w:rFonts w:hint="eastAsia" w:ascii="宋体" w:hAnsi="宋体" w:cs="Times New Roman"/>
          <w:bCs/>
          <w:sz w:val="24"/>
        </w:rPr>
      </w:pPr>
      <w:r>
        <w:rPr>
          <w:rFonts w:hint="eastAsia" w:ascii="宋体" w:hAnsi="宋体" w:cs="Times New Roman"/>
          <w:bCs/>
          <w:sz w:val="24"/>
          <w:lang w:val="en-US" w:eastAsia="zh-CN"/>
        </w:rPr>
        <w:t>合同签订完成，并提供有效的增值税专用发票后一次性付款。</w:t>
      </w:r>
    </w:p>
    <w:p>
      <w:pPr>
        <w:numPr>
          <w:ilvl w:val="0"/>
          <w:numId w:val="0"/>
        </w:numPr>
        <w:spacing w:line="420" w:lineRule="exact"/>
        <w:ind w:firstLine="482" w:firstLineChars="200"/>
        <w:outlineLvl w:val="1"/>
        <w:rPr>
          <w:rFonts w:ascii="宋体" w:hAnsi="宋体" w:cs="宋体"/>
          <w:b/>
          <w:sz w:val="24"/>
        </w:rPr>
      </w:pPr>
      <w:bookmarkStart w:id="11" w:name="_Toc10955"/>
      <w:r>
        <w:rPr>
          <w:rFonts w:hint="eastAsia" w:ascii="宋体" w:hAnsi="宋体" w:cs="宋体"/>
          <w:b/>
          <w:sz w:val="24"/>
          <w:lang w:val="en-US" w:eastAsia="zh-CN"/>
        </w:rPr>
        <w:t>八、</w:t>
      </w:r>
      <w:r>
        <w:rPr>
          <w:rFonts w:hint="eastAsia" w:ascii="宋体" w:hAnsi="宋体" w:cs="宋体"/>
          <w:b/>
          <w:sz w:val="24"/>
        </w:rPr>
        <w:t>公告媒介、采购文件获取时间及方式</w:t>
      </w:r>
      <w:bookmarkEnd w:id="11"/>
    </w:p>
    <w:p>
      <w:pPr>
        <w:spacing w:line="420" w:lineRule="exact"/>
        <w:ind w:firstLine="480" w:firstLineChars="200"/>
        <w:outlineLvl w:val="1"/>
        <w:rPr>
          <w:rFonts w:ascii="宋体" w:hAnsi="宋体"/>
          <w:bCs/>
          <w:sz w:val="24"/>
        </w:rPr>
      </w:pPr>
      <w:bookmarkStart w:id="12" w:name="_Toc3122"/>
      <w:r>
        <w:rPr>
          <w:rFonts w:hint="eastAsia" w:ascii="宋体" w:hAnsi="宋体"/>
          <w:bCs/>
          <w:sz w:val="24"/>
        </w:rPr>
        <w:t>有意向的</w:t>
      </w:r>
      <w:r>
        <w:rPr>
          <w:rFonts w:hint="eastAsia" w:ascii="宋体" w:hAnsi="宋体"/>
          <w:bCs/>
          <w:sz w:val="24"/>
          <w:lang w:eastAsia="zh-CN"/>
        </w:rPr>
        <w:t>报价方</w:t>
      </w:r>
      <w:r>
        <w:rPr>
          <w:rFonts w:hint="eastAsia" w:ascii="宋体" w:hAnsi="宋体"/>
          <w:bCs/>
          <w:sz w:val="24"/>
        </w:rPr>
        <w:t>请于报价文件的递交截止时间前，自行在赣州交通控股集团有限公司官方网站（http://www.gzjtkgjt.com/）或江西省招标投标网（http://www.jxtb.org.cn/）查阅</w:t>
      </w:r>
      <w:r>
        <w:rPr>
          <w:rFonts w:hint="eastAsia" w:ascii="宋体" w:hAnsi="宋体"/>
          <w:bCs/>
          <w:sz w:val="24"/>
          <w:lang w:eastAsia="zh-CN"/>
        </w:rPr>
        <w:t>询价</w:t>
      </w:r>
      <w:r>
        <w:rPr>
          <w:rFonts w:hint="eastAsia" w:ascii="宋体" w:hAnsi="宋体"/>
          <w:bCs/>
          <w:sz w:val="24"/>
        </w:rPr>
        <w:t>公告，在赣州交通控股集团有限公司官方网站（http://www.gzjtkgjt.com/）下载询价文件</w:t>
      </w:r>
      <w:r>
        <w:rPr>
          <w:rFonts w:hint="eastAsia" w:ascii="宋体" w:hAnsi="宋体"/>
          <w:bCs/>
          <w:sz w:val="24"/>
          <w:lang w:eastAsia="zh-CN"/>
        </w:rPr>
        <w:t>等相关资料</w:t>
      </w:r>
      <w:r>
        <w:rPr>
          <w:rFonts w:hint="eastAsia" w:ascii="宋体" w:hAnsi="宋体"/>
          <w:bCs/>
          <w:sz w:val="24"/>
        </w:rPr>
        <w:t>。</w:t>
      </w:r>
      <w:bookmarkEnd w:id="12"/>
    </w:p>
    <w:p>
      <w:pPr>
        <w:spacing w:line="420" w:lineRule="exact"/>
        <w:ind w:firstLine="482" w:firstLineChars="200"/>
        <w:outlineLvl w:val="1"/>
        <w:rPr>
          <w:rFonts w:ascii="宋体" w:hAnsi="宋体" w:cs="宋体"/>
          <w:b/>
          <w:sz w:val="24"/>
        </w:rPr>
      </w:pPr>
      <w:bookmarkStart w:id="13" w:name="_Toc32667"/>
      <w:r>
        <w:rPr>
          <w:rFonts w:hint="eastAsia" w:ascii="宋体" w:hAnsi="宋体" w:cs="宋体"/>
          <w:b/>
          <w:sz w:val="24"/>
          <w:lang w:val="en-US" w:eastAsia="zh-CN"/>
        </w:rPr>
        <w:t>九</w:t>
      </w:r>
      <w:r>
        <w:rPr>
          <w:rFonts w:hint="eastAsia" w:ascii="宋体" w:hAnsi="宋体" w:cs="宋体"/>
          <w:b/>
          <w:sz w:val="24"/>
        </w:rPr>
        <w:t>、报价文件的密封和标识</w:t>
      </w:r>
      <w:bookmarkEnd w:id="13"/>
    </w:p>
    <w:p>
      <w:pPr>
        <w:spacing w:line="420" w:lineRule="exact"/>
        <w:ind w:firstLine="480" w:firstLineChars="200"/>
        <w:outlineLvl w:val="1"/>
      </w:pPr>
      <w:bookmarkStart w:id="14" w:name="_Toc7473"/>
      <w:r>
        <w:rPr>
          <w:rFonts w:hint="eastAsia" w:ascii="宋体" w:hAnsi="宋体"/>
          <w:bCs/>
          <w:sz w:val="24"/>
        </w:rPr>
        <w:t>报价文件应密封包装。封套的封口处加盖报价人单位章或由报价人的法定代表人、单位负责人或其委托代理人签字。未按要求密封的报价文件，询价方将予以拒收。</w:t>
      </w:r>
      <w:bookmarkEnd w:id="14"/>
    </w:p>
    <w:p>
      <w:pPr>
        <w:pStyle w:val="21"/>
        <w:widowControl/>
        <w:spacing w:line="420" w:lineRule="atLeast"/>
        <w:ind w:firstLine="420"/>
        <w:rPr>
          <w:rFonts w:ascii="微软雅黑" w:hAnsi="微软雅黑" w:eastAsia="微软雅黑" w:cs="微软雅黑"/>
        </w:rPr>
      </w:pPr>
      <w:r>
        <w:rPr>
          <w:rStyle w:val="26"/>
          <w:rFonts w:ascii="仿宋" w:hAnsi="仿宋" w:eastAsia="仿宋" w:cs="仿宋"/>
        </w:rPr>
        <w:t>封套格式如下：</w:t>
      </w:r>
    </w:p>
    <w:p>
      <w:pPr>
        <w:pStyle w:val="21"/>
        <w:widowControl/>
        <w:spacing w:line="30" w:lineRule="atLeast"/>
        <w:rPr>
          <w:rFonts w:ascii="微软雅黑" w:hAnsi="微软雅黑" w:eastAsia="微软雅黑" w:cs="微软雅黑"/>
        </w:rPr>
      </w:pPr>
      <w:r>
        <w:rPr>
          <w:rStyle w:val="26"/>
          <w:rFonts w:ascii="微软雅黑" w:hAnsi="微软雅黑" w:eastAsia="微软雅黑" w:cs="微软雅黑"/>
        </w:rPr>
        <w:t>                          </w:t>
      </w:r>
      <w:r>
        <w:rPr>
          <w:rStyle w:val="26"/>
          <w:rFonts w:hint="eastAsia" w:ascii="微软雅黑" w:hAnsi="微软雅黑" w:eastAsia="微软雅黑" w:cs="微软雅黑"/>
          <w:u w:val="single"/>
        </w:rPr>
        <w:t>   </w:t>
      </w:r>
      <w:r>
        <w:rPr>
          <w:rStyle w:val="26"/>
          <w:rFonts w:hint="eastAsia" w:ascii="仿宋" w:hAnsi="仿宋" w:eastAsia="仿宋" w:cs="仿宋"/>
          <w:u w:val="single"/>
        </w:rPr>
        <w:t>（项目名称）</w:t>
      </w:r>
      <w:r>
        <w:rPr>
          <w:rStyle w:val="26"/>
          <w:rFonts w:hint="eastAsia" w:ascii="微软雅黑" w:hAnsi="微软雅黑" w:eastAsia="微软雅黑" w:cs="微软雅黑"/>
          <w:u w:val="single"/>
        </w:rPr>
        <w:t>  </w:t>
      </w:r>
      <w:r>
        <w:rPr>
          <w:rStyle w:val="26"/>
          <w:rFonts w:hint="eastAsia" w:ascii="仿宋" w:hAnsi="仿宋" w:eastAsia="仿宋" w:cs="仿宋"/>
        </w:rPr>
        <w:t>报价文件</w:t>
      </w:r>
    </w:p>
    <w:p>
      <w:pPr>
        <w:pStyle w:val="21"/>
        <w:widowControl/>
        <w:spacing w:line="30" w:lineRule="atLeast"/>
        <w:rPr>
          <w:rFonts w:ascii="微软雅黑" w:hAnsi="微软雅黑" w:eastAsia="微软雅黑" w:cs="微软雅黑"/>
        </w:rPr>
      </w:pPr>
      <w:r>
        <w:rPr>
          <w:rStyle w:val="26"/>
          <w:rFonts w:hint="eastAsia" w:ascii="微软雅黑" w:hAnsi="微软雅黑" w:eastAsia="微软雅黑" w:cs="微软雅黑"/>
        </w:rPr>
        <w:t>            </w:t>
      </w:r>
      <w:r>
        <w:rPr>
          <w:rStyle w:val="26"/>
          <w:rFonts w:hint="eastAsia" w:ascii="仿宋" w:hAnsi="仿宋" w:eastAsia="仿宋" w:cs="仿宋"/>
        </w:rPr>
        <w:t>在</w:t>
      </w:r>
      <w:r>
        <w:rPr>
          <w:rStyle w:val="26"/>
          <w:rFonts w:hint="eastAsia" w:ascii="仿宋" w:hAnsi="仿宋" w:eastAsia="仿宋" w:cs="仿宋"/>
          <w:u w:val="single"/>
        </w:rPr>
        <w:t xml:space="preserve">     </w:t>
      </w:r>
      <w:r>
        <w:rPr>
          <w:rStyle w:val="26"/>
          <w:rFonts w:hint="eastAsia" w:ascii="仿宋" w:hAnsi="仿宋" w:eastAsia="仿宋" w:cs="仿宋"/>
        </w:rPr>
        <w:t>年</w:t>
      </w:r>
      <w:r>
        <w:rPr>
          <w:rStyle w:val="26"/>
          <w:rFonts w:hint="eastAsia" w:ascii="微软雅黑" w:hAnsi="微软雅黑" w:eastAsia="微软雅黑" w:cs="微软雅黑"/>
          <w:u w:val="single"/>
        </w:rPr>
        <w:t>    </w:t>
      </w:r>
      <w:r>
        <w:rPr>
          <w:rStyle w:val="26"/>
          <w:rFonts w:hint="eastAsia" w:ascii="仿宋" w:hAnsi="仿宋" w:eastAsia="仿宋" w:cs="仿宋"/>
        </w:rPr>
        <w:t>月</w:t>
      </w:r>
      <w:r>
        <w:rPr>
          <w:rStyle w:val="26"/>
          <w:rFonts w:hint="eastAsia" w:ascii="微软雅黑" w:hAnsi="微软雅黑" w:eastAsia="微软雅黑" w:cs="微软雅黑"/>
          <w:u w:val="single"/>
        </w:rPr>
        <w:t>    </w:t>
      </w:r>
      <w:r>
        <w:rPr>
          <w:rStyle w:val="26"/>
          <w:rFonts w:hint="eastAsia" w:ascii="仿宋" w:hAnsi="仿宋" w:eastAsia="仿宋" w:cs="仿宋"/>
        </w:rPr>
        <w:t>日</w:t>
      </w:r>
      <w:r>
        <w:rPr>
          <w:rStyle w:val="26"/>
          <w:rFonts w:hint="eastAsia" w:ascii="微软雅黑" w:hAnsi="微软雅黑" w:eastAsia="微软雅黑" w:cs="微软雅黑"/>
          <w:u w:val="single"/>
        </w:rPr>
        <w:t>    </w:t>
      </w:r>
      <w:r>
        <w:rPr>
          <w:rStyle w:val="26"/>
          <w:rFonts w:hint="eastAsia" w:ascii="仿宋" w:hAnsi="仿宋" w:eastAsia="仿宋" w:cs="仿宋"/>
        </w:rPr>
        <w:t>时</w:t>
      </w:r>
      <w:r>
        <w:rPr>
          <w:rStyle w:val="26"/>
          <w:rFonts w:hint="eastAsia" w:ascii="微软雅黑" w:hAnsi="微软雅黑" w:eastAsia="微软雅黑" w:cs="微软雅黑"/>
          <w:u w:val="single"/>
        </w:rPr>
        <w:t>    </w:t>
      </w:r>
      <w:r>
        <w:rPr>
          <w:rStyle w:val="26"/>
          <w:rFonts w:hint="eastAsia" w:ascii="仿宋" w:hAnsi="仿宋" w:eastAsia="仿宋" w:cs="仿宋"/>
        </w:rPr>
        <w:t>分（递交截止时间）前不得开启</w:t>
      </w:r>
    </w:p>
    <w:p>
      <w:pPr>
        <w:pStyle w:val="21"/>
        <w:widowControl/>
        <w:spacing w:line="30" w:lineRule="atLeast"/>
        <w:rPr>
          <w:rFonts w:ascii="微软雅黑" w:hAnsi="微软雅黑" w:eastAsia="微软雅黑" w:cs="微软雅黑"/>
        </w:rPr>
      </w:pPr>
      <w:r>
        <w:rPr>
          <w:rStyle w:val="26"/>
          <w:rFonts w:hint="eastAsia" w:ascii="微软雅黑" w:hAnsi="微软雅黑" w:eastAsia="微软雅黑" w:cs="微软雅黑"/>
        </w:rPr>
        <w:t>                   </w:t>
      </w:r>
      <w:r>
        <w:rPr>
          <w:rStyle w:val="26"/>
          <w:rFonts w:hint="eastAsia" w:ascii="仿宋" w:hAnsi="仿宋" w:eastAsia="仿宋" w:cs="仿宋"/>
        </w:rPr>
        <w:t>报价方名称：</w:t>
      </w:r>
      <w:r>
        <w:rPr>
          <w:rStyle w:val="26"/>
          <w:rFonts w:hint="eastAsia" w:ascii="微软雅黑" w:hAnsi="微软雅黑" w:eastAsia="微软雅黑" w:cs="微软雅黑"/>
          <w:u w:val="single"/>
        </w:rPr>
        <w:t>                        </w:t>
      </w:r>
    </w:p>
    <w:p>
      <w:pPr>
        <w:pStyle w:val="21"/>
        <w:widowControl/>
        <w:spacing w:line="30" w:lineRule="atLeast"/>
        <w:rPr>
          <w:rStyle w:val="26"/>
          <w:rFonts w:ascii="微软雅黑" w:hAnsi="微软雅黑" w:eastAsia="微软雅黑" w:cs="微软雅黑"/>
          <w:u w:val="single"/>
        </w:rPr>
      </w:pPr>
      <w:r>
        <w:rPr>
          <w:rStyle w:val="26"/>
          <w:rFonts w:hint="eastAsia" w:ascii="微软雅黑" w:hAnsi="微软雅黑" w:eastAsia="微软雅黑" w:cs="微软雅黑"/>
        </w:rPr>
        <w:t>                   </w:t>
      </w:r>
      <w:r>
        <w:rPr>
          <w:rStyle w:val="26"/>
          <w:rFonts w:hint="eastAsia" w:ascii="仿宋" w:hAnsi="仿宋" w:eastAsia="仿宋" w:cs="仿宋"/>
        </w:rPr>
        <w:t>报价方联系方式：</w:t>
      </w:r>
      <w:r>
        <w:rPr>
          <w:rStyle w:val="26"/>
          <w:rFonts w:hint="eastAsia" w:ascii="微软雅黑" w:hAnsi="微软雅黑" w:eastAsia="微软雅黑" w:cs="微软雅黑"/>
          <w:u w:val="single"/>
        </w:rPr>
        <w:t>                    </w:t>
      </w:r>
    </w:p>
    <w:p>
      <w:pPr>
        <w:numPr>
          <w:ilvl w:val="0"/>
          <w:numId w:val="0"/>
        </w:numPr>
        <w:spacing w:line="420" w:lineRule="exact"/>
        <w:ind w:firstLine="482" w:firstLineChars="200"/>
        <w:outlineLvl w:val="1"/>
        <w:rPr>
          <w:rFonts w:ascii="宋体" w:hAnsi="宋体" w:cs="宋体"/>
          <w:b/>
          <w:sz w:val="24"/>
        </w:rPr>
      </w:pPr>
      <w:bookmarkStart w:id="15" w:name="_Toc24815"/>
      <w:r>
        <w:rPr>
          <w:rFonts w:hint="eastAsia" w:ascii="宋体" w:hAnsi="宋体" w:cs="宋体"/>
          <w:b/>
          <w:sz w:val="24"/>
          <w:lang w:val="en-US" w:eastAsia="zh-CN"/>
        </w:rPr>
        <w:t>十、</w:t>
      </w:r>
      <w:r>
        <w:rPr>
          <w:rFonts w:hint="eastAsia" w:ascii="宋体" w:hAnsi="宋体" w:cs="宋体"/>
          <w:b/>
          <w:sz w:val="24"/>
        </w:rPr>
        <w:t>报价文件的递交及相关事宜</w:t>
      </w:r>
      <w:bookmarkEnd w:id="15"/>
    </w:p>
    <w:p>
      <w:pPr>
        <w:spacing w:line="420" w:lineRule="exact"/>
        <w:ind w:firstLine="480" w:firstLineChars="200"/>
        <w:rPr>
          <w:rFonts w:hint="eastAsia" w:eastAsia="宋体"/>
          <w:lang w:eastAsia="zh-CN"/>
        </w:rPr>
      </w:pPr>
      <w:r>
        <w:rPr>
          <w:rFonts w:hint="eastAsia" w:ascii="宋体" w:hAnsi="宋体"/>
          <w:bCs/>
          <w:sz w:val="24"/>
        </w:rPr>
        <w:t>报价文件的递交截止时间：</w:t>
      </w:r>
      <w:r>
        <w:rPr>
          <w:rFonts w:hint="eastAsia" w:ascii="宋体" w:hAnsi="宋体"/>
          <w:bCs/>
          <w:sz w:val="24"/>
          <w:highlight w:val="yellow"/>
          <w:u w:val="single"/>
          <w:lang w:val="en-US" w:eastAsia="zh-CN"/>
        </w:rPr>
        <w:t>2024年3月</w:t>
      </w:r>
      <w:r>
        <w:rPr>
          <w:rFonts w:hint="eastAsia" w:ascii="宋体" w:hAnsi="宋体"/>
          <w:bCs/>
          <w:color w:val="0000FF"/>
          <w:sz w:val="24"/>
          <w:highlight w:val="yellow"/>
          <w:u w:val="single"/>
          <w:lang w:val="en-US" w:eastAsia="zh-CN"/>
        </w:rPr>
        <w:t xml:space="preserve"> 4 </w:t>
      </w:r>
      <w:r>
        <w:rPr>
          <w:rFonts w:hint="eastAsia" w:ascii="宋体" w:hAnsi="宋体"/>
          <w:bCs/>
          <w:sz w:val="24"/>
          <w:highlight w:val="yellow"/>
          <w:u w:val="single"/>
          <w:lang w:val="en-US" w:eastAsia="zh-CN"/>
        </w:rPr>
        <w:t>日10:00</w:t>
      </w:r>
      <w:r>
        <w:rPr>
          <w:rFonts w:hint="eastAsia" w:ascii="宋体" w:hAnsi="宋体"/>
          <w:bCs/>
          <w:sz w:val="24"/>
          <w:highlight w:val="yellow"/>
        </w:rPr>
        <w:t>，</w:t>
      </w:r>
      <w:r>
        <w:rPr>
          <w:rFonts w:hint="eastAsia" w:ascii="宋体" w:hAnsi="宋体"/>
          <w:bCs/>
          <w:sz w:val="24"/>
        </w:rPr>
        <w:t>递交地址：赣州市赣县区南塘收费站出口左侧（江西联兴公路工程有限公司</w:t>
      </w:r>
      <w:r>
        <w:rPr>
          <w:rFonts w:hint="eastAsia" w:ascii="宋体" w:hAnsi="宋体"/>
          <w:bCs/>
          <w:sz w:val="24"/>
          <w:lang w:val="en-US" w:eastAsia="zh-CN"/>
        </w:rPr>
        <w:t>三楼会议室</w:t>
      </w:r>
      <w:r>
        <w:rPr>
          <w:rFonts w:hint="eastAsia" w:ascii="宋体" w:hAnsi="宋体"/>
          <w:bCs/>
          <w:sz w:val="24"/>
        </w:rPr>
        <w:t>）。询价方将拒绝接受在递交截止时间后送达的报价函</w:t>
      </w:r>
      <w:r>
        <w:rPr>
          <w:rFonts w:hint="eastAsia" w:ascii="宋体" w:hAnsi="宋体"/>
          <w:bCs/>
          <w:sz w:val="24"/>
          <w:lang w:eastAsia="zh-CN"/>
        </w:rPr>
        <w:t>。</w:t>
      </w:r>
    </w:p>
    <w:p>
      <w:pPr>
        <w:pStyle w:val="2"/>
        <w:keepNext w:val="0"/>
        <w:keepLines w:val="0"/>
        <w:widowControl/>
        <w:numPr>
          <w:ilvl w:val="0"/>
          <w:numId w:val="0"/>
        </w:numPr>
        <w:spacing w:before="0" w:after="0" w:line="360" w:lineRule="auto"/>
        <w:ind w:firstLine="482" w:firstLineChars="200"/>
        <w:rPr>
          <w:rFonts w:hint="eastAsia" w:ascii="仿宋" w:hAnsi="仿宋" w:eastAsia="仿宋" w:cs="仿宋"/>
          <w:b/>
          <w:kern w:val="2"/>
          <w:sz w:val="28"/>
          <w:szCs w:val="28"/>
          <w:lang w:val="en-US" w:eastAsia="zh-CN" w:bidi="ar-SA"/>
        </w:rPr>
      </w:pPr>
      <w:r>
        <w:rPr>
          <w:rFonts w:hint="eastAsia" w:ascii="宋体" w:hAnsi="宋体" w:cs="宋体"/>
          <w:sz w:val="24"/>
          <w:lang w:val="en-US" w:eastAsia="zh-CN"/>
        </w:rPr>
        <w:t>十一、</w:t>
      </w:r>
      <w:r>
        <w:rPr>
          <w:rFonts w:hint="eastAsia" w:ascii="宋体" w:hAnsi="宋体" w:cs="宋体"/>
          <w:sz w:val="24"/>
        </w:rPr>
        <w:t>询价保证金</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1、该项目询价保证金为人民币</w:t>
      </w:r>
      <w:r>
        <w:rPr>
          <w:rFonts w:hint="eastAsia" w:ascii="宋体" w:hAnsi="宋体" w:cs="宋体"/>
          <w:b/>
          <w:bCs/>
          <w:sz w:val="24"/>
          <w:szCs w:val="24"/>
          <w:lang w:val="en-US" w:eastAsia="zh-CN"/>
        </w:rPr>
        <w:t>肆仟</w:t>
      </w:r>
      <w:r>
        <w:rPr>
          <w:rFonts w:hint="eastAsia" w:ascii="宋体" w:hAnsi="宋体" w:eastAsia="宋体" w:cs="宋体"/>
          <w:b/>
          <w:bCs/>
          <w:sz w:val="24"/>
          <w:szCs w:val="24"/>
          <w:lang w:val="en-US" w:eastAsia="zh-CN"/>
        </w:rPr>
        <w:t>元整(</w:t>
      </w:r>
      <w:r>
        <w:rPr>
          <w:rFonts w:hint="eastAsia" w:ascii="宋体" w:hAnsi="宋体" w:eastAsia="宋体" w:cs="宋体"/>
          <w:b/>
          <w:bCs/>
          <w:sz w:val="24"/>
          <w:szCs w:val="24"/>
          <w:u w:val="single"/>
          <w:lang w:val="en-US" w:eastAsia="zh-CN"/>
        </w:rPr>
        <w:t>￥</w:t>
      </w:r>
      <w:r>
        <w:rPr>
          <w:rFonts w:hint="eastAsia" w:ascii="宋体" w:hAnsi="宋体" w:cs="宋体"/>
          <w:b/>
          <w:bCs/>
          <w:sz w:val="24"/>
          <w:szCs w:val="24"/>
          <w:u w:val="single"/>
          <w:lang w:val="en-US" w:eastAsia="zh-CN"/>
        </w:rPr>
        <w:t>4</w:t>
      </w:r>
      <w:r>
        <w:rPr>
          <w:rFonts w:hint="eastAsia" w:ascii="宋体" w:hAnsi="宋体" w:eastAsia="宋体" w:cs="宋体"/>
          <w:b/>
          <w:bCs/>
          <w:sz w:val="24"/>
          <w:szCs w:val="24"/>
          <w:u w:val="single"/>
          <w:lang w:val="en-US" w:eastAsia="zh-CN"/>
        </w:rPr>
        <w:t>000元</w:t>
      </w:r>
      <w:r>
        <w:rPr>
          <w:rFonts w:hint="eastAsia" w:ascii="宋体" w:hAnsi="宋体" w:eastAsia="宋体" w:cs="宋体"/>
          <w:b/>
          <w:bCs/>
          <w:sz w:val="24"/>
          <w:szCs w:val="24"/>
          <w:lang w:val="en-US" w:eastAsia="zh-CN"/>
        </w:rPr>
        <w:t>)。报价单位必须在报价文件的递交截止时间之前将询价保证金以现金或银行保函形式（</w:t>
      </w:r>
      <w:r>
        <w:rPr>
          <w:rFonts w:hint="eastAsia" w:ascii="宋体" w:hAnsi="宋体" w:eastAsia="宋体" w:cs="宋体"/>
          <w:b/>
          <w:bCs/>
          <w:sz w:val="24"/>
          <w:szCs w:val="24"/>
          <w:u w:val="single"/>
          <w:lang w:val="en-US" w:eastAsia="zh-CN"/>
        </w:rPr>
        <w:t>现金形式或银行保函的原件，均应密封完好在一个单独的封套内，并在封套的封口处加盖报价人单位公章</w:t>
      </w:r>
      <w:r>
        <w:rPr>
          <w:rFonts w:hint="eastAsia" w:ascii="宋体" w:hAnsi="宋体" w:eastAsia="宋体" w:cs="宋体"/>
          <w:b/>
          <w:bCs/>
          <w:sz w:val="24"/>
          <w:szCs w:val="24"/>
          <w:lang w:val="en-US" w:eastAsia="zh-CN"/>
        </w:rPr>
        <w:t>），在递交报价文件时一并递交给询价人，逾期不予受理。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2、询价保证金必须按上述的时限、密封要求递交，否则其询价保证金无效，询价单位有权拒绝其报价文件。</w:t>
      </w:r>
    </w:p>
    <w:p>
      <w:pPr>
        <w:spacing w:line="360" w:lineRule="auto"/>
        <w:ind w:firstLine="480" w:firstLineChars="200"/>
        <w:rPr>
          <w:rFonts w:hint="default" w:eastAsia="宋体"/>
          <w:lang w:val="en-US" w:eastAsia="zh-CN"/>
        </w:rPr>
      </w:pPr>
      <w:r>
        <w:rPr>
          <w:rFonts w:hint="eastAsia" w:ascii="宋体" w:hAnsi="宋体" w:eastAsia="宋体" w:cs="宋体"/>
          <w:sz w:val="24"/>
          <w:szCs w:val="24"/>
          <w:lang w:val="en-US" w:eastAsia="zh-CN"/>
        </w:rPr>
        <w:t>3、询价保证金的核验及退还：由询价人核验并收取评审后确定的前三名候选人的保证金，其余报价单位的保证金当场退还。所收取的询价保证金在合同签订后一次性退还。</w:t>
      </w:r>
    </w:p>
    <w:p>
      <w:pPr>
        <w:spacing w:line="420" w:lineRule="exact"/>
        <w:ind w:firstLine="482" w:firstLineChars="200"/>
        <w:rPr>
          <w:rFonts w:ascii="宋体" w:hAnsi="宋体" w:cs="宋体"/>
          <w:bCs/>
          <w:sz w:val="24"/>
        </w:rPr>
      </w:pPr>
      <w:r>
        <w:rPr>
          <w:rFonts w:hint="eastAsia" w:ascii="宋体" w:hAnsi="宋体" w:cs="宋体"/>
          <w:b/>
          <w:sz w:val="24"/>
        </w:rPr>
        <w:t>十</w:t>
      </w:r>
      <w:r>
        <w:rPr>
          <w:rFonts w:hint="eastAsia" w:ascii="宋体" w:hAnsi="宋体" w:cs="宋体"/>
          <w:b/>
          <w:sz w:val="24"/>
          <w:lang w:val="en-US" w:eastAsia="zh-CN"/>
        </w:rPr>
        <w:t>二</w:t>
      </w:r>
      <w:r>
        <w:rPr>
          <w:rFonts w:hint="eastAsia" w:ascii="宋体" w:hAnsi="宋体" w:cs="宋体"/>
          <w:b/>
          <w:sz w:val="24"/>
        </w:rPr>
        <w:t>、报价文件的开启程序</w:t>
      </w:r>
    </w:p>
    <w:p>
      <w:pPr>
        <w:spacing w:line="420" w:lineRule="exact"/>
        <w:ind w:firstLine="480" w:firstLineChars="200"/>
        <w:rPr>
          <w:rFonts w:ascii="宋体" w:hAnsi="宋体"/>
          <w:bCs/>
          <w:sz w:val="24"/>
        </w:rPr>
      </w:pPr>
      <w:r>
        <w:rPr>
          <w:rFonts w:hint="eastAsia" w:ascii="宋体" w:hAnsi="宋体"/>
          <w:bCs/>
          <w:sz w:val="24"/>
        </w:rPr>
        <w:t>1、公布在截止时间前递交报价文件的报价方数量；</w:t>
      </w:r>
    </w:p>
    <w:p>
      <w:pPr>
        <w:spacing w:line="420" w:lineRule="exact"/>
        <w:ind w:firstLine="480" w:firstLineChars="200"/>
        <w:rPr>
          <w:rFonts w:ascii="宋体" w:hAnsi="宋体"/>
          <w:bCs/>
          <w:sz w:val="24"/>
        </w:rPr>
      </w:pPr>
      <w:r>
        <w:rPr>
          <w:rFonts w:hint="eastAsia" w:ascii="宋体" w:hAnsi="宋体"/>
          <w:bCs/>
          <w:sz w:val="24"/>
        </w:rPr>
        <w:t>2、报价方代表现场检查报价文件密封情况；</w:t>
      </w:r>
    </w:p>
    <w:p>
      <w:pPr>
        <w:spacing w:line="420" w:lineRule="exact"/>
        <w:ind w:firstLine="480" w:firstLineChars="200"/>
        <w:rPr>
          <w:rFonts w:hint="eastAsia" w:ascii="宋体" w:hAnsi="宋体" w:cs="宋体"/>
          <w:b/>
          <w:sz w:val="24"/>
        </w:rPr>
      </w:pPr>
      <w:r>
        <w:rPr>
          <w:rFonts w:hint="eastAsia" w:ascii="宋体" w:hAnsi="宋体"/>
          <w:bCs/>
          <w:sz w:val="24"/>
        </w:rPr>
        <w:t>3、开启报价文件，公布报价方名称、报价等，结束后报价方及询价小组签字确认。</w:t>
      </w:r>
    </w:p>
    <w:p>
      <w:pPr>
        <w:spacing w:line="420" w:lineRule="exact"/>
        <w:ind w:firstLine="482" w:firstLineChars="200"/>
        <w:outlineLvl w:val="1"/>
        <w:rPr>
          <w:rFonts w:ascii="宋体" w:hAnsi="宋体" w:cs="宋体"/>
          <w:b/>
          <w:sz w:val="24"/>
        </w:rPr>
      </w:pPr>
      <w:bookmarkStart w:id="16" w:name="_Toc29798"/>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、公示</w:t>
      </w:r>
      <w:bookmarkEnd w:id="16"/>
    </w:p>
    <w:p>
      <w:pPr>
        <w:spacing w:line="420" w:lineRule="exact"/>
        <w:ind w:firstLine="480" w:firstLineChars="200"/>
        <w:rPr>
          <w:rFonts w:hint="eastAsia" w:ascii="宋体" w:hAnsi="宋体" w:cs="Times New Roman"/>
          <w:bCs/>
          <w:sz w:val="24"/>
        </w:rPr>
      </w:pPr>
      <w:r>
        <w:rPr>
          <w:rFonts w:hint="eastAsia" w:ascii="宋体" w:hAnsi="宋体" w:cs="Times New Roman"/>
          <w:bCs/>
          <w:sz w:val="24"/>
        </w:rPr>
        <w:t>询价结束后</w:t>
      </w:r>
      <w:r>
        <w:rPr>
          <w:rFonts w:hint="eastAsia" w:ascii="宋体" w:hAnsi="宋体" w:cs="Times New Roman"/>
          <w:bCs/>
          <w:sz w:val="24"/>
          <w:lang w:val="en-US" w:eastAsia="zh-CN"/>
        </w:rPr>
        <w:t>3</w:t>
      </w:r>
      <w:r>
        <w:rPr>
          <w:rFonts w:hint="eastAsia" w:ascii="宋体" w:hAnsi="宋体" w:cs="Times New Roman"/>
          <w:bCs/>
          <w:sz w:val="24"/>
        </w:rPr>
        <w:t>日内，在江西省招标投标网（http://www.jxtb.org.cn）、赣州交通控股集团有限公司网站（http://www.gzjtkgjt.com）上对候选人进行公示。</w:t>
      </w:r>
    </w:p>
    <w:p>
      <w:pPr>
        <w:spacing w:line="420" w:lineRule="exact"/>
        <w:ind w:firstLine="482" w:firstLineChars="200"/>
        <w:outlineLvl w:val="1"/>
        <w:rPr>
          <w:rFonts w:ascii="宋体" w:hAnsi="宋体" w:cs="宋体"/>
          <w:b/>
          <w:sz w:val="24"/>
        </w:rPr>
      </w:pPr>
      <w:bookmarkStart w:id="17" w:name="_Toc16731"/>
      <w:r>
        <w:rPr>
          <w:rFonts w:hint="eastAsia" w:ascii="宋体" w:hAnsi="宋体" w:cs="宋体"/>
          <w:b/>
          <w:sz w:val="24"/>
        </w:rPr>
        <w:t>十</w:t>
      </w:r>
      <w:r>
        <w:rPr>
          <w:rFonts w:hint="eastAsia" w:ascii="宋体" w:hAnsi="宋体" w:cs="宋体"/>
          <w:b/>
          <w:sz w:val="24"/>
          <w:lang w:val="en-US" w:eastAsia="zh-CN"/>
        </w:rPr>
        <w:t>四</w:t>
      </w:r>
      <w:r>
        <w:rPr>
          <w:rFonts w:hint="eastAsia" w:ascii="宋体" w:hAnsi="宋体" w:cs="宋体"/>
          <w:b/>
          <w:sz w:val="24"/>
        </w:rPr>
        <w:t>、地址及联系方式</w:t>
      </w:r>
      <w:bookmarkEnd w:id="17"/>
    </w:p>
    <w:p>
      <w:pPr>
        <w:spacing w:line="420" w:lineRule="exact"/>
        <w:ind w:firstLine="480" w:firstLineChars="200"/>
        <w:outlineLvl w:val="1"/>
        <w:rPr>
          <w:rFonts w:ascii="宋体" w:hAnsi="宋体" w:cs="宋体"/>
          <w:bCs/>
          <w:sz w:val="24"/>
        </w:rPr>
      </w:pPr>
      <w:bookmarkStart w:id="18" w:name="_Toc6687"/>
      <w:r>
        <w:rPr>
          <w:rFonts w:hint="eastAsia" w:ascii="宋体" w:hAnsi="宋体" w:cs="宋体"/>
          <w:bCs/>
          <w:sz w:val="24"/>
        </w:rPr>
        <w:t>询价方名称：江西联兴公路工程有限公司</w:t>
      </w:r>
      <w:bookmarkEnd w:id="18"/>
    </w:p>
    <w:p>
      <w:pPr>
        <w:spacing w:line="420" w:lineRule="exact"/>
        <w:ind w:firstLine="480" w:firstLineChars="200"/>
        <w:outlineLvl w:val="1"/>
        <w:rPr>
          <w:rFonts w:ascii="宋体" w:hAnsi="宋体" w:cs="宋体"/>
          <w:bCs/>
          <w:sz w:val="24"/>
        </w:rPr>
      </w:pPr>
      <w:bookmarkStart w:id="19" w:name="_Toc4059"/>
      <w:r>
        <w:rPr>
          <w:rFonts w:hint="eastAsia" w:ascii="宋体" w:hAnsi="宋体" w:cs="宋体"/>
          <w:bCs/>
          <w:sz w:val="24"/>
        </w:rPr>
        <w:t>询价方地址：</w:t>
      </w:r>
      <w:r>
        <w:rPr>
          <w:rFonts w:hint="eastAsia" w:ascii="宋体" w:hAnsi="宋体"/>
          <w:sz w:val="24"/>
        </w:rPr>
        <w:t>兴赣高速南塘收费站出口旁江西联兴公路工程有限公司</w:t>
      </w:r>
      <w:bookmarkEnd w:id="19"/>
    </w:p>
    <w:p>
      <w:pPr>
        <w:spacing w:line="420" w:lineRule="exact"/>
        <w:ind w:firstLine="480" w:firstLineChars="200"/>
        <w:outlineLvl w:val="1"/>
        <w:rPr>
          <w:rFonts w:hint="eastAsia" w:ascii="宋体" w:hAnsi="宋体" w:cs="宋体"/>
          <w:bCs/>
          <w:sz w:val="24"/>
          <w:lang w:val="en-US" w:eastAsia="zh-CN"/>
        </w:rPr>
      </w:pPr>
      <w:bookmarkStart w:id="20" w:name="_Toc12736"/>
      <w:r>
        <w:rPr>
          <w:rFonts w:hint="eastAsia" w:ascii="宋体" w:hAnsi="宋体" w:cs="宋体"/>
          <w:bCs/>
          <w:sz w:val="24"/>
        </w:rPr>
        <w:t>联系人：</w:t>
      </w:r>
      <w:r>
        <w:rPr>
          <w:rFonts w:hint="eastAsia" w:ascii="宋体" w:hAnsi="宋体" w:cs="宋体"/>
          <w:bCs/>
          <w:sz w:val="24"/>
          <w:lang w:val="en-US" w:eastAsia="zh-CN"/>
        </w:rPr>
        <w:t>赖先生</w:t>
      </w:r>
      <w:bookmarkEnd w:id="20"/>
    </w:p>
    <w:p>
      <w:pPr>
        <w:spacing w:line="420" w:lineRule="exact"/>
        <w:ind w:firstLine="480" w:firstLineChars="200"/>
        <w:outlineLvl w:val="1"/>
        <w:rPr>
          <w:rFonts w:hint="default" w:ascii="宋体" w:hAnsi="宋体" w:eastAsia="宋体" w:cs="宋体"/>
          <w:bCs/>
          <w:sz w:val="24"/>
          <w:u w:val="single"/>
          <w:lang w:val="en-US" w:eastAsia="zh-CN"/>
        </w:rPr>
      </w:pPr>
      <w:bookmarkStart w:id="21" w:name="_Toc31027"/>
      <w:r>
        <w:rPr>
          <w:rFonts w:hint="eastAsia" w:ascii="宋体" w:hAnsi="宋体" w:cs="宋体"/>
          <w:bCs/>
          <w:sz w:val="24"/>
        </w:rPr>
        <w:t>电  话：</w:t>
      </w:r>
      <w:r>
        <w:rPr>
          <w:rFonts w:hint="eastAsia" w:ascii="宋体" w:hAnsi="宋体" w:cs="宋体"/>
          <w:bCs/>
          <w:sz w:val="24"/>
          <w:u w:val="single"/>
          <w:lang w:val="en-US" w:eastAsia="zh-CN"/>
        </w:rPr>
        <w:t>0797-4448255</w:t>
      </w:r>
      <w:bookmarkEnd w:id="21"/>
    </w:p>
    <w:p>
      <w:pPr>
        <w:spacing w:line="420" w:lineRule="exact"/>
        <w:ind w:firstLine="482" w:firstLineChars="200"/>
        <w:outlineLvl w:val="1"/>
        <w:rPr>
          <w:rFonts w:ascii="宋体" w:hAnsi="宋体" w:cs="宋体"/>
          <w:bCs/>
          <w:sz w:val="24"/>
        </w:rPr>
      </w:pPr>
      <w:bookmarkStart w:id="22" w:name="_Toc14379"/>
      <w:r>
        <w:rPr>
          <w:rFonts w:hint="eastAsia" w:ascii="宋体" w:hAnsi="宋体" w:cs="宋体"/>
          <w:b/>
          <w:sz w:val="24"/>
        </w:rPr>
        <w:t>十</w:t>
      </w:r>
      <w:r>
        <w:rPr>
          <w:rFonts w:hint="eastAsia" w:ascii="宋体" w:hAnsi="宋体" w:cs="宋体"/>
          <w:b/>
          <w:sz w:val="24"/>
          <w:lang w:val="en-US" w:eastAsia="zh-CN"/>
        </w:rPr>
        <w:t>五</w:t>
      </w:r>
      <w:r>
        <w:rPr>
          <w:rFonts w:hint="eastAsia" w:ascii="宋体" w:hAnsi="宋体" w:cs="宋体"/>
          <w:b/>
          <w:sz w:val="24"/>
        </w:rPr>
        <w:t>、监督部门及联系方式</w:t>
      </w:r>
      <w:bookmarkEnd w:id="22"/>
    </w:p>
    <w:p>
      <w:pPr>
        <w:spacing w:line="420" w:lineRule="exact"/>
        <w:ind w:firstLine="480" w:firstLineChars="200"/>
        <w:rPr>
          <w:rFonts w:ascii="宋体" w:hAnsi="宋体"/>
          <w:bCs/>
          <w:sz w:val="24"/>
        </w:rPr>
      </w:pPr>
      <w:r>
        <w:rPr>
          <w:rFonts w:hint="eastAsia" w:ascii="宋体" w:hAnsi="宋体"/>
          <w:bCs/>
          <w:sz w:val="24"/>
        </w:rPr>
        <w:t>监督部门：江西联兴公路工程有限公司党群部</w:t>
      </w:r>
    </w:p>
    <w:p>
      <w:pPr>
        <w:spacing w:line="420" w:lineRule="exact"/>
        <w:ind w:firstLine="480" w:firstLineChars="200"/>
        <w:rPr>
          <w:rFonts w:ascii="宋体" w:hAnsi="宋体"/>
          <w:bCs/>
          <w:sz w:val="24"/>
        </w:rPr>
      </w:pPr>
      <w:r>
        <w:rPr>
          <w:rFonts w:hint="eastAsia" w:ascii="宋体" w:hAnsi="宋体"/>
          <w:bCs/>
          <w:sz w:val="24"/>
        </w:rPr>
        <w:t>地    址：</w:t>
      </w:r>
      <w:r>
        <w:rPr>
          <w:rFonts w:hint="eastAsia" w:ascii="宋体" w:hAnsi="宋体"/>
          <w:sz w:val="24"/>
        </w:rPr>
        <w:t>兴赣高速南塘收费站出口旁江西联兴公路工程有限公司</w:t>
      </w:r>
    </w:p>
    <w:p>
      <w:pPr>
        <w:spacing w:line="420" w:lineRule="exact"/>
        <w:ind w:firstLine="480" w:firstLineChars="200"/>
        <w:rPr>
          <w:rFonts w:ascii="宋体" w:hAnsi="宋体"/>
          <w:bCs/>
          <w:sz w:val="24"/>
        </w:rPr>
      </w:pPr>
      <w:r>
        <w:rPr>
          <w:rFonts w:hint="eastAsia" w:ascii="宋体" w:hAnsi="宋体"/>
          <w:bCs/>
          <w:sz w:val="24"/>
        </w:rPr>
        <w:t>电    话：</w:t>
      </w:r>
      <w:r>
        <w:rPr>
          <w:rFonts w:hint="eastAsia" w:ascii="宋体" w:hAnsi="宋体"/>
          <w:bCs/>
          <w:sz w:val="24"/>
          <w:u w:val="single"/>
        </w:rPr>
        <w:t>0797-</w:t>
      </w:r>
      <w:r>
        <w:rPr>
          <w:u w:val="single"/>
        </w:rPr>
        <w:t xml:space="preserve"> </w:t>
      </w:r>
      <w:r>
        <w:rPr>
          <w:rFonts w:ascii="宋体" w:hAnsi="宋体"/>
          <w:bCs/>
          <w:sz w:val="24"/>
          <w:u w:val="single"/>
        </w:rPr>
        <w:t>4430320</w:t>
      </w:r>
    </w:p>
    <w:p>
      <w:pPr>
        <w:spacing w:line="420" w:lineRule="exact"/>
        <w:ind w:firstLine="4536" w:firstLineChars="1890"/>
        <w:jc w:val="center"/>
        <w:rPr>
          <w:rFonts w:ascii="宋体" w:hAnsi="宋体"/>
          <w:bCs/>
          <w:sz w:val="24"/>
        </w:rPr>
      </w:pPr>
      <w:r>
        <w:rPr>
          <w:rFonts w:hint="eastAsia" w:ascii="宋体" w:hAnsi="宋体"/>
          <w:bCs/>
          <w:sz w:val="24"/>
          <w:lang w:val="en-US" w:eastAsia="zh-CN"/>
        </w:rPr>
        <w:t>江</w:t>
      </w:r>
      <w:r>
        <w:rPr>
          <w:rFonts w:hint="eastAsia" w:ascii="宋体" w:hAnsi="宋体"/>
          <w:bCs/>
          <w:sz w:val="24"/>
        </w:rPr>
        <w:t>西联兴公路工程有限公司</w:t>
      </w:r>
    </w:p>
    <w:p>
      <w:pPr>
        <w:spacing w:line="420" w:lineRule="exact"/>
        <w:ind w:firstLine="6000" w:firstLineChars="2500"/>
      </w:pPr>
      <w:bookmarkStart w:id="23" w:name="_Toc68"/>
      <w:bookmarkStart w:id="24" w:name="_Toc23358"/>
      <w:bookmarkStart w:id="25" w:name="_Toc18652"/>
      <w:r>
        <w:rPr>
          <w:rFonts w:hint="eastAsia" w:ascii="宋体" w:hAnsi="宋体"/>
          <w:bCs/>
          <w:sz w:val="24"/>
          <w:lang w:val="en-US" w:eastAsia="zh-CN"/>
        </w:rPr>
        <w:t>2</w:t>
      </w:r>
      <w:r>
        <w:rPr>
          <w:rFonts w:hint="eastAsia" w:ascii="宋体" w:hAnsi="宋体"/>
          <w:bCs/>
          <w:sz w:val="24"/>
        </w:rPr>
        <w:t>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2</w:t>
      </w:r>
      <w:r>
        <w:rPr>
          <w:rFonts w:hint="eastAsia" w:ascii="宋体" w:hAnsi="宋体"/>
          <w:bCs/>
          <w:sz w:val="24"/>
        </w:rPr>
        <w:t>月</w:t>
      </w:r>
      <w:r>
        <w:rPr>
          <w:rFonts w:hint="eastAsia" w:ascii="宋体" w:hAnsi="宋体"/>
          <w:bCs/>
          <w:sz w:val="24"/>
          <w:lang w:val="en-US" w:eastAsia="zh-CN"/>
        </w:rPr>
        <w:t>28</w:t>
      </w:r>
      <w:r>
        <w:rPr>
          <w:rFonts w:hint="eastAsia" w:ascii="宋体" w:hAnsi="宋体"/>
          <w:bCs/>
          <w:sz w:val="24"/>
        </w:rPr>
        <w:t>日</w:t>
      </w:r>
    </w:p>
    <w:p>
      <w:pPr>
        <w:rPr>
          <w:rFonts w:hint="eastAsia"/>
          <w:b/>
          <w:sz w:val="36"/>
          <w:szCs w:val="36"/>
        </w:rPr>
      </w:pPr>
      <w:r>
        <w:rPr>
          <w:rFonts w:hint="eastAsia"/>
          <w:b/>
          <w:sz w:val="36"/>
          <w:szCs w:val="36"/>
        </w:rPr>
        <w:br w:type="page"/>
      </w:r>
    </w:p>
    <w:p>
      <w:pPr>
        <w:spacing w:line="420" w:lineRule="exact"/>
        <w:jc w:val="center"/>
        <w:outlineLvl w:val="0"/>
        <w:rPr>
          <w:b/>
          <w:sz w:val="36"/>
          <w:szCs w:val="36"/>
        </w:rPr>
      </w:pPr>
      <w:bookmarkStart w:id="26" w:name="_Toc9534"/>
      <w:r>
        <w:rPr>
          <w:rFonts w:hint="eastAsia"/>
          <w:b/>
          <w:sz w:val="36"/>
          <w:szCs w:val="36"/>
        </w:rPr>
        <w:t>第二章 评审办法</w:t>
      </w:r>
      <w:bookmarkEnd w:id="23"/>
      <w:bookmarkEnd w:id="24"/>
      <w:bookmarkEnd w:id="25"/>
      <w:bookmarkEnd w:id="26"/>
    </w:p>
    <w:p>
      <w:pPr>
        <w:spacing w:line="420" w:lineRule="exact"/>
        <w:ind w:firstLine="482" w:firstLineChars="200"/>
        <w:outlineLvl w:val="1"/>
        <w:rPr>
          <w:rFonts w:hint="eastAsia" w:ascii="宋体" w:hAnsi="宋体"/>
          <w:b/>
          <w:sz w:val="24"/>
        </w:rPr>
      </w:pPr>
      <w:bookmarkStart w:id="27" w:name="_Toc28941"/>
      <w:bookmarkStart w:id="28" w:name="_Toc25155"/>
      <w:bookmarkStart w:id="29" w:name="_Toc14447"/>
      <w:bookmarkStart w:id="30" w:name="_Toc22888"/>
      <w:r>
        <w:rPr>
          <w:rFonts w:hint="eastAsia" w:ascii="宋体" w:hAnsi="宋体"/>
          <w:b/>
          <w:sz w:val="24"/>
        </w:rPr>
        <w:t>一、评审方法</w:t>
      </w:r>
      <w:bookmarkEnd w:id="27"/>
      <w:bookmarkEnd w:id="28"/>
      <w:bookmarkEnd w:id="29"/>
      <w:bookmarkEnd w:id="30"/>
    </w:p>
    <w:p>
      <w:pPr>
        <w:spacing w:line="420" w:lineRule="exact"/>
        <w:ind w:firstLine="480" w:firstLineChars="200"/>
        <w:outlineLvl w:val="1"/>
        <w:rPr>
          <w:rFonts w:hint="eastAsia" w:ascii="宋体" w:hAnsi="宋体" w:cs="Times New Roman"/>
          <w:sz w:val="24"/>
        </w:rPr>
      </w:pPr>
      <w:r>
        <w:rPr>
          <w:rFonts w:hint="eastAsia" w:ascii="宋体" w:hAnsi="宋体" w:cs="Times New Roman"/>
          <w:sz w:val="24"/>
        </w:rPr>
        <w:t>本次询价采用综合评分法，总分为 100 分，</w:t>
      </w:r>
      <w:r>
        <w:rPr>
          <w:rFonts w:hint="eastAsia" w:ascii="宋体" w:hAnsi="宋体" w:cs="Times New Roman"/>
          <w:sz w:val="24"/>
          <w:lang w:val="en-US" w:eastAsia="zh-CN"/>
        </w:rPr>
        <w:t>商务</w:t>
      </w:r>
      <w:r>
        <w:rPr>
          <w:rFonts w:hint="eastAsia" w:ascii="宋体" w:hAnsi="宋体" w:cs="Times New Roman"/>
          <w:sz w:val="24"/>
        </w:rPr>
        <w:t xml:space="preserve">文件 </w:t>
      </w:r>
      <w:r>
        <w:rPr>
          <w:rFonts w:hint="eastAsia" w:ascii="宋体" w:hAnsi="宋体" w:cs="Times New Roman"/>
          <w:sz w:val="24"/>
          <w:lang w:val="en-US" w:eastAsia="zh-CN"/>
        </w:rPr>
        <w:t>5</w:t>
      </w:r>
      <w:r>
        <w:rPr>
          <w:rFonts w:hint="eastAsia" w:ascii="宋体" w:hAnsi="宋体" w:cs="Times New Roman"/>
          <w:sz w:val="24"/>
        </w:rPr>
        <w:t>0 分</w:t>
      </w:r>
      <w:r>
        <w:rPr>
          <w:rFonts w:hint="eastAsia" w:ascii="宋体" w:hAnsi="宋体" w:cs="Times New Roman"/>
          <w:sz w:val="24"/>
          <w:lang w:eastAsia="zh-CN"/>
        </w:rPr>
        <w:t>、</w:t>
      </w:r>
      <w:r>
        <w:rPr>
          <w:rFonts w:hint="eastAsia" w:ascii="宋体" w:hAnsi="宋体" w:cs="Times New Roman"/>
          <w:sz w:val="24"/>
          <w:lang w:val="en-US" w:eastAsia="zh-CN"/>
        </w:rPr>
        <w:t>技术文件</w:t>
      </w:r>
      <w:r>
        <w:rPr>
          <w:rFonts w:hint="eastAsia" w:ascii="宋体" w:hAnsi="宋体" w:cs="Times New Roman"/>
          <w:sz w:val="24"/>
        </w:rPr>
        <w:t xml:space="preserve"> </w:t>
      </w:r>
      <w:r>
        <w:rPr>
          <w:rFonts w:hint="eastAsia" w:ascii="宋体" w:hAnsi="宋体" w:cs="Times New Roman"/>
          <w:sz w:val="24"/>
          <w:lang w:val="en-US" w:eastAsia="zh-CN"/>
        </w:rPr>
        <w:t>5</w:t>
      </w:r>
      <w:r>
        <w:rPr>
          <w:rFonts w:hint="eastAsia" w:ascii="宋体" w:hAnsi="宋体" w:cs="Times New Roman"/>
          <w:sz w:val="24"/>
        </w:rPr>
        <w:t>0 分。</w:t>
      </w:r>
    </w:p>
    <w:p>
      <w:pPr>
        <w:spacing w:line="420" w:lineRule="exact"/>
        <w:ind w:firstLine="480" w:firstLineChars="200"/>
        <w:outlineLvl w:val="1"/>
        <w:rPr>
          <w:rFonts w:hint="eastAsia" w:ascii="仿宋" w:hAnsi="仿宋" w:eastAsia="仿宋" w:cs="仿宋"/>
          <w:b w:val="0"/>
          <w:color w:val="auto"/>
          <w:kern w:val="2"/>
          <w:sz w:val="28"/>
          <w:szCs w:val="28"/>
          <w:highlight w:val="none"/>
          <w:lang w:val="en-US" w:eastAsia="zh-CN" w:bidi="ar-SA"/>
        </w:rPr>
      </w:pPr>
      <w:r>
        <w:rPr>
          <w:rFonts w:hint="eastAsia" w:ascii="宋体" w:hAnsi="宋体" w:cs="Times New Roman"/>
          <w:sz w:val="24"/>
          <w:lang w:val="en-US" w:eastAsia="zh-CN"/>
        </w:rPr>
        <w:t>询价人根据询价项目的需求组成询价小组（由采购人相关部门代表组成，成员不少于5人），对报价文件进行评审。</w:t>
      </w:r>
    </w:p>
    <w:p>
      <w:pPr>
        <w:spacing w:line="420" w:lineRule="exact"/>
        <w:ind w:firstLine="482" w:firstLineChars="200"/>
        <w:outlineLvl w:val="1"/>
        <w:rPr>
          <w:rFonts w:ascii="宋体" w:hAnsi="宋体"/>
          <w:b/>
          <w:sz w:val="24"/>
        </w:rPr>
      </w:pPr>
      <w:bookmarkStart w:id="31" w:name="_Toc715"/>
      <w:bookmarkStart w:id="32" w:name="_Toc18774"/>
      <w:bookmarkStart w:id="33" w:name="_Toc22501"/>
      <w:bookmarkStart w:id="34" w:name="_Toc13481"/>
      <w:r>
        <w:rPr>
          <w:rFonts w:hint="eastAsia" w:ascii="宋体" w:hAnsi="宋体"/>
          <w:b/>
          <w:sz w:val="24"/>
        </w:rPr>
        <w:t>二、形式、响应及资格评审标准</w:t>
      </w:r>
      <w:bookmarkEnd w:id="31"/>
      <w:bookmarkEnd w:id="32"/>
      <w:bookmarkEnd w:id="33"/>
      <w:bookmarkEnd w:id="34"/>
    </w:p>
    <w:p>
      <w:pPr>
        <w:spacing w:line="420" w:lineRule="exact"/>
        <w:ind w:firstLine="480" w:firstLineChars="200"/>
        <w:outlineLvl w:val="1"/>
        <w:rPr>
          <w:rFonts w:ascii="宋体" w:hAnsi="宋体"/>
          <w:sz w:val="24"/>
        </w:rPr>
      </w:pPr>
      <w:bookmarkStart w:id="35" w:name="_Toc1181"/>
      <w:bookmarkStart w:id="36" w:name="_Toc3210"/>
      <w:bookmarkStart w:id="37" w:name="_Toc31197"/>
      <w:bookmarkStart w:id="38" w:name="_Toc19590"/>
      <w:bookmarkStart w:id="39" w:name="_Toc23854"/>
      <w:r>
        <w:rPr>
          <w:rFonts w:hint="eastAsia" w:ascii="宋体" w:hAnsi="宋体"/>
          <w:sz w:val="24"/>
        </w:rPr>
        <w:t>1、报价文件按竞争性谈判文件规定的格式、内容填写，字迹清晰可辨；</w:t>
      </w:r>
      <w:bookmarkEnd w:id="35"/>
    </w:p>
    <w:p>
      <w:pPr>
        <w:spacing w:line="420" w:lineRule="exact"/>
        <w:ind w:firstLine="480" w:firstLineChars="200"/>
        <w:outlineLvl w:val="1"/>
        <w:rPr>
          <w:rFonts w:ascii="宋体" w:hAnsi="宋体"/>
          <w:sz w:val="24"/>
        </w:rPr>
      </w:pPr>
      <w:bookmarkStart w:id="40" w:name="_Toc23183"/>
      <w:r>
        <w:rPr>
          <w:rFonts w:hint="eastAsia" w:ascii="宋体" w:hAnsi="宋体"/>
          <w:sz w:val="24"/>
        </w:rPr>
        <w:t>2、报价文件上法定代表人或其委托代理人的签字、单位章盖章齐全，符合竞争性谈判文件规定；</w:t>
      </w:r>
      <w:bookmarkEnd w:id="40"/>
    </w:p>
    <w:p>
      <w:pPr>
        <w:spacing w:line="420" w:lineRule="exact"/>
        <w:ind w:firstLine="480" w:firstLineChars="200"/>
        <w:outlineLvl w:val="1"/>
        <w:rPr>
          <w:rFonts w:ascii="宋体" w:hAnsi="宋体"/>
          <w:sz w:val="24"/>
        </w:rPr>
      </w:pPr>
      <w:bookmarkStart w:id="41" w:name="_Toc30106"/>
      <w:r>
        <w:rPr>
          <w:rFonts w:hint="eastAsia" w:ascii="宋体" w:hAnsi="宋体"/>
          <w:sz w:val="24"/>
        </w:rPr>
        <w:t>3、报价文件对竞争性谈判文件的实质性要求和条件作出响应；</w:t>
      </w:r>
      <w:bookmarkEnd w:id="41"/>
    </w:p>
    <w:p>
      <w:pPr>
        <w:spacing w:line="420" w:lineRule="exact"/>
        <w:ind w:firstLine="480" w:firstLineChars="200"/>
        <w:outlineLvl w:val="1"/>
        <w:rPr>
          <w:rFonts w:ascii="宋体" w:hAnsi="宋体"/>
          <w:sz w:val="24"/>
        </w:rPr>
      </w:pPr>
      <w:bookmarkStart w:id="42" w:name="_Toc31303"/>
      <w:r>
        <w:rPr>
          <w:rFonts w:hint="eastAsia" w:ascii="宋体" w:hAnsi="宋体"/>
          <w:sz w:val="24"/>
        </w:rPr>
        <w:t>4、权利义务符合竞争性谈判文件规定；</w:t>
      </w:r>
      <w:bookmarkEnd w:id="42"/>
    </w:p>
    <w:p>
      <w:pPr>
        <w:spacing w:line="420" w:lineRule="exact"/>
        <w:ind w:firstLine="480" w:firstLineChars="200"/>
        <w:outlineLvl w:val="1"/>
        <w:rPr>
          <w:rFonts w:ascii="宋体" w:hAnsi="宋体"/>
          <w:sz w:val="24"/>
        </w:rPr>
      </w:pPr>
      <w:bookmarkStart w:id="43" w:name="_Toc9604"/>
      <w:r>
        <w:rPr>
          <w:rFonts w:hint="eastAsia" w:ascii="宋体" w:hAnsi="宋体"/>
          <w:sz w:val="24"/>
        </w:rPr>
        <w:t>5、具备有效的营业执照，经营范围满足竞争性谈判文件要求；</w:t>
      </w:r>
      <w:bookmarkEnd w:id="43"/>
    </w:p>
    <w:p>
      <w:pPr>
        <w:spacing w:line="420" w:lineRule="exact"/>
        <w:ind w:firstLine="480" w:firstLineChars="200"/>
        <w:outlineLvl w:val="1"/>
        <w:rPr>
          <w:rFonts w:ascii="宋体" w:hAnsi="宋体"/>
          <w:sz w:val="24"/>
        </w:rPr>
      </w:pPr>
      <w:bookmarkStart w:id="44" w:name="_Toc2034"/>
      <w:r>
        <w:rPr>
          <w:rFonts w:hint="eastAsia" w:ascii="宋体" w:hAnsi="宋体"/>
          <w:sz w:val="24"/>
        </w:rPr>
        <w:t>6、信誉符合报价文件规定。</w:t>
      </w:r>
      <w:bookmarkEnd w:id="44"/>
    </w:p>
    <w:p>
      <w:pPr>
        <w:spacing w:line="420" w:lineRule="exact"/>
        <w:ind w:firstLine="482" w:firstLineChars="200"/>
        <w:outlineLvl w:val="1"/>
        <w:rPr>
          <w:rFonts w:ascii="宋体" w:hAnsi="宋体"/>
          <w:b/>
          <w:sz w:val="24"/>
        </w:rPr>
      </w:pPr>
      <w:bookmarkStart w:id="45" w:name="_Toc17509"/>
      <w:r>
        <w:rPr>
          <w:rFonts w:hint="eastAsia" w:ascii="宋体" w:hAnsi="宋体"/>
          <w:b/>
          <w:sz w:val="24"/>
        </w:rPr>
        <w:t>三、评审程序</w:t>
      </w:r>
      <w:bookmarkEnd w:id="36"/>
      <w:bookmarkEnd w:id="37"/>
      <w:bookmarkEnd w:id="38"/>
      <w:bookmarkEnd w:id="39"/>
      <w:bookmarkEnd w:id="45"/>
    </w:p>
    <w:p>
      <w:pPr>
        <w:spacing w:line="420" w:lineRule="exact"/>
        <w:ind w:firstLine="480" w:firstLineChars="200"/>
        <w:outlineLvl w:val="1"/>
        <w:rPr>
          <w:rFonts w:hint="eastAsia" w:ascii="宋体" w:hAnsi="宋体" w:cs="Times New Roman"/>
          <w:sz w:val="24"/>
          <w:lang w:val="en-US" w:eastAsia="zh-CN"/>
        </w:rPr>
      </w:pPr>
      <w:r>
        <w:rPr>
          <w:rFonts w:hint="eastAsia" w:ascii="宋体" w:hAnsi="宋体" w:cs="Times New Roman"/>
          <w:sz w:val="24"/>
          <w:lang w:eastAsia="zh-CN"/>
        </w:rPr>
        <w:t>本次询价采用</w:t>
      </w:r>
      <w:r>
        <w:rPr>
          <w:rFonts w:hint="eastAsia" w:ascii="宋体" w:hAnsi="宋体" w:cs="Times New Roman"/>
          <w:sz w:val="24"/>
        </w:rPr>
        <w:t>本次询价采用综合评分法</w:t>
      </w:r>
      <w:r>
        <w:rPr>
          <w:rFonts w:hint="eastAsia" w:ascii="宋体" w:hAnsi="宋体" w:cs="Times New Roman"/>
          <w:sz w:val="24"/>
          <w:lang w:eastAsia="zh-CN"/>
        </w:rPr>
        <w:t>。</w:t>
      </w:r>
    </w:p>
    <w:p>
      <w:pPr>
        <w:spacing w:line="420" w:lineRule="exact"/>
        <w:ind w:firstLine="480" w:firstLineChars="200"/>
        <w:outlineLvl w:val="1"/>
        <w:rPr>
          <w:rFonts w:hint="eastAsia" w:ascii="宋体" w:hAnsi="宋体" w:cs="Times New Roman"/>
          <w:sz w:val="24"/>
          <w:lang w:val="en-US" w:eastAsia="zh-CN"/>
        </w:rPr>
      </w:pPr>
      <w:r>
        <w:rPr>
          <w:rFonts w:hint="eastAsia" w:ascii="宋体" w:hAnsi="宋体" w:cs="Times New Roman"/>
          <w:sz w:val="24"/>
          <w:lang w:val="en-US" w:eastAsia="zh-CN"/>
        </w:rPr>
        <w:t>询价方现场当众开启报价文件，询价小组依据本章第二条形式、响应及资格评审标准对报价文件进行形式、响应及资格评审。有一项不符合评审标准的，将不通过评审。通过评审的报价文件再进行商务文件及技术文件评审，按评审分值由高至低顺序推荐候选人；</w:t>
      </w:r>
    </w:p>
    <w:p>
      <w:pPr>
        <w:spacing w:line="420" w:lineRule="exact"/>
        <w:ind w:firstLine="480" w:firstLineChars="200"/>
        <w:outlineLvl w:val="1"/>
        <w:rPr>
          <w:rFonts w:hint="eastAsia" w:ascii="宋体" w:hAnsi="宋体" w:cs="Times New Roman"/>
          <w:sz w:val="24"/>
          <w:lang w:val="en-US" w:eastAsia="zh-CN"/>
        </w:rPr>
      </w:pPr>
      <w:r>
        <w:rPr>
          <w:rFonts w:hint="eastAsia" w:ascii="宋体" w:hAnsi="宋体" w:cs="Times New Roman"/>
          <w:sz w:val="24"/>
          <w:lang w:val="en-US" w:eastAsia="zh-CN"/>
        </w:rPr>
        <w:t>如有2个及以上单位的评审分值一致时，以技术得分高者排名优先，当技术得分相同时，将采用现场抽签的方式确定第一候选人。</w:t>
      </w:r>
    </w:p>
    <w:p>
      <w:pPr>
        <w:spacing w:line="420" w:lineRule="exact"/>
        <w:ind w:firstLine="480" w:firstLineChars="200"/>
        <w:outlineLvl w:val="1"/>
        <w:rPr>
          <w:rFonts w:hint="eastAsia" w:ascii="宋体" w:hAnsi="宋体" w:cs="Times New Roman"/>
          <w:sz w:val="24"/>
        </w:rPr>
      </w:pPr>
      <w:r>
        <w:rPr>
          <w:rFonts w:hint="eastAsia" w:ascii="宋体" w:hAnsi="宋体" w:cs="Times New Roman"/>
          <w:sz w:val="24"/>
        </w:rPr>
        <w:t>（三）评审结果</w:t>
      </w:r>
    </w:p>
    <w:p>
      <w:pPr>
        <w:spacing w:line="420" w:lineRule="exact"/>
        <w:ind w:firstLine="480" w:firstLineChars="200"/>
        <w:outlineLvl w:val="1"/>
        <w:rPr>
          <w:rFonts w:hint="eastAsia" w:ascii="宋体" w:hAnsi="宋体" w:cs="Times New Roman"/>
          <w:sz w:val="24"/>
        </w:rPr>
      </w:pPr>
      <w:r>
        <w:rPr>
          <w:rFonts w:hint="eastAsia" w:ascii="宋体" w:hAnsi="宋体" w:cs="Times New Roman"/>
          <w:sz w:val="24"/>
          <w:lang w:val="en-US" w:eastAsia="zh-CN"/>
        </w:rPr>
        <w:t>询价小组</w:t>
      </w:r>
      <w:r>
        <w:rPr>
          <w:rFonts w:hint="eastAsia" w:ascii="宋体" w:hAnsi="宋体" w:cs="Times New Roman"/>
          <w:sz w:val="24"/>
        </w:rPr>
        <w:t>按照最终</w:t>
      </w:r>
      <w:r>
        <w:rPr>
          <w:rFonts w:hint="eastAsia" w:ascii="宋体" w:hAnsi="宋体" w:cs="Times New Roman"/>
          <w:sz w:val="24"/>
          <w:lang w:val="en-US" w:eastAsia="zh-CN"/>
        </w:rPr>
        <w:t>评审分值</w:t>
      </w:r>
      <w:r>
        <w:rPr>
          <w:rFonts w:hint="eastAsia" w:ascii="宋体" w:hAnsi="宋体" w:cs="Times New Roman"/>
          <w:sz w:val="24"/>
        </w:rPr>
        <w:t>由</w:t>
      </w:r>
      <w:r>
        <w:rPr>
          <w:rFonts w:hint="eastAsia" w:ascii="宋体" w:hAnsi="宋体" w:cs="Times New Roman"/>
          <w:sz w:val="24"/>
          <w:lang w:eastAsia="zh-CN"/>
        </w:rPr>
        <w:t>高</w:t>
      </w:r>
      <w:r>
        <w:rPr>
          <w:rFonts w:hint="eastAsia" w:ascii="宋体" w:hAnsi="宋体" w:cs="Times New Roman"/>
          <w:sz w:val="24"/>
        </w:rPr>
        <w:t>到</w:t>
      </w:r>
      <w:r>
        <w:rPr>
          <w:rFonts w:hint="eastAsia" w:ascii="宋体" w:hAnsi="宋体" w:cs="Times New Roman"/>
          <w:sz w:val="24"/>
          <w:lang w:eastAsia="zh-CN"/>
        </w:rPr>
        <w:t>低</w:t>
      </w:r>
      <w:r>
        <w:rPr>
          <w:rFonts w:hint="eastAsia" w:ascii="宋体" w:hAnsi="宋体" w:cs="Times New Roman"/>
          <w:sz w:val="24"/>
        </w:rPr>
        <w:t>的顺序推荐候选人 3 名。</w:t>
      </w:r>
    </w:p>
    <w:p>
      <w:pPr>
        <w:rPr>
          <w:rFonts w:hint="eastAsia" w:ascii="仿宋_GB2312" w:hAnsi="华文楷体" w:eastAsia="仿宋_GB2312"/>
        </w:rPr>
      </w:pPr>
      <w:r>
        <w:rPr>
          <w:rFonts w:hint="eastAsia" w:ascii="仿宋_GB2312" w:hAnsi="华文楷体" w:eastAsia="仿宋_GB2312"/>
        </w:rPr>
        <w:br w:type="page"/>
      </w:r>
    </w:p>
    <w:p>
      <w:pPr>
        <w:pStyle w:val="4"/>
        <w:jc w:val="center"/>
      </w:pPr>
      <w:r>
        <w:rPr>
          <w:rFonts w:hint="eastAsia" w:ascii="仿宋_GB2312" w:hAnsi="华文楷体" w:eastAsia="仿宋_GB2312"/>
        </w:rPr>
        <w:t>评分规则</w:t>
      </w:r>
    </w:p>
    <w:tbl>
      <w:tblPr>
        <w:tblStyle w:val="23"/>
        <w:tblpPr w:leftFromText="180" w:rightFromText="180" w:vertAnchor="text" w:tblpX="127" w:tblpY="1"/>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83" w:type="dxa"/>
            <w:vAlign w:val="center"/>
          </w:tcPr>
          <w:p>
            <w:pPr>
              <w:widowControl/>
              <w:spacing w:line="360" w:lineRule="auto"/>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评分点</w:t>
            </w:r>
          </w:p>
        </w:tc>
        <w:tc>
          <w:tcPr>
            <w:tcW w:w="6914" w:type="dxa"/>
          </w:tcPr>
          <w:p>
            <w:pPr>
              <w:widowControl/>
              <w:spacing w:line="560" w:lineRule="exact"/>
              <w:jc w:val="center"/>
              <w:rPr>
                <w:rFonts w:hint="eastAsia" w:ascii="仿宋_GB2312" w:hAnsi="华文楷体" w:eastAsia="仿宋_GB2312" w:cs="宋体"/>
                <w:kern w:val="0"/>
                <w:sz w:val="28"/>
                <w:szCs w:val="28"/>
              </w:rPr>
            </w:pPr>
            <w:r>
              <w:rPr>
                <w:rFonts w:hint="eastAsia" w:ascii="仿宋_GB2312" w:hAnsi="华文楷体" w:eastAsia="仿宋_GB2312" w:cs="宋体"/>
                <w:kern w:val="0"/>
                <w:sz w:val="28"/>
                <w:szCs w:val="28"/>
                <w:lang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283" w:type="dxa"/>
            <w:vAlign w:val="center"/>
          </w:tcPr>
          <w:p>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商务</w:t>
            </w:r>
            <w:r>
              <w:rPr>
                <w:rFonts w:hint="eastAsia" w:ascii="仿宋_GB2312" w:hAnsi="华文楷体" w:eastAsia="仿宋_GB2312" w:cs="宋体"/>
                <w:kern w:val="0"/>
                <w:sz w:val="28"/>
                <w:szCs w:val="28"/>
              </w:rPr>
              <w:t>分（</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pPr>
              <w:numPr>
                <w:ilvl w:val="0"/>
                <w:numId w:val="1"/>
              </w:numPr>
              <w:spacing w:line="560" w:lineRule="exact"/>
              <w:rPr>
                <w:rFonts w:ascii="仿宋_GB2312" w:hAnsi="华文楷体" w:eastAsia="仿宋_GB2312" w:cs="宋体"/>
                <w:sz w:val="28"/>
                <w:szCs w:val="28"/>
              </w:rPr>
            </w:pPr>
            <w:r>
              <w:rPr>
                <w:rFonts w:hint="eastAsia" w:ascii="仿宋_GB2312" w:hAnsi="华文楷体" w:eastAsia="仿宋_GB2312" w:cs="宋体"/>
                <w:b/>
                <w:bCs/>
                <w:sz w:val="28"/>
                <w:szCs w:val="28"/>
              </w:rPr>
              <w:t>响应磋商文件要求的符合性（1</w:t>
            </w:r>
            <w:r>
              <w:rPr>
                <w:rFonts w:ascii="仿宋_GB2312" w:hAnsi="华文楷体" w:eastAsia="仿宋_GB2312" w:cs="宋体"/>
                <w:b/>
                <w:bCs/>
                <w:sz w:val="28"/>
                <w:szCs w:val="28"/>
              </w:rPr>
              <w:t>0</w:t>
            </w:r>
            <w:r>
              <w:rPr>
                <w:rFonts w:hint="eastAsia" w:ascii="仿宋_GB2312" w:hAnsi="华文楷体" w:eastAsia="仿宋_GB2312" w:cs="宋体"/>
                <w:b/>
                <w:bCs/>
                <w:sz w:val="28"/>
                <w:szCs w:val="28"/>
              </w:rPr>
              <w:t>分）：</w:t>
            </w:r>
            <w:r>
              <w:rPr>
                <w:rFonts w:hint="eastAsia" w:ascii="仿宋_GB2312" w:hAnsi="华文楷体" w:eastAsia="仿宋_GB2312" w:cs="宋体"/>
                <w:sz w:val="28"/>
                <w:szCs w:val="28"/>
              </w:rPr>
              <w:t>响应内容全部满足磋商文件要求的得1</w:t>
            </w:r>
            <w:r>
              <w:rPr>
                <w:rFonts w:ascii="仿宋_GB2312" w:hAnsi="华文楷体" w:eastAsia="仿宋_GB2312" w:cs="宋体"/>
                <w:sz w:val="28"/>
                <w:szCs w:val="28"/>
              </w:rPr>
              <w:t>0</w:t>
            </w:r>
            <w:r>
              <w:rPr>
                <w:rFonts w:hint="eastAsia" w:ascii="仿宋_GB2312" w:hAnsi="华文楷体" w:eastAsia="仿宋_GB2312" w:cs="宋体"/>
                <w:sz w:val="28"/>
                <w:szCs w:val="28"/>
              </w:rPr>
              <w:t>分，有一项不满足的，作无效标处理。</w:t>
            </w:r>
          </w:p>
          <w:p>
            <w:pPr>
              <w:pStyle w:val="10"/>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
                <w:bCs/>
                <w:color w:val="auto"/>
                <w:sz w:val="28"/>
                <w:szCs w:val="28"/>
                <w:lang w:val="en-US" w:eastAsia="zh-CN"/>
              </w:rPr>
              <w:t>二</w:t>
            </w:r>
            <w:r>
              <w:rPr>
                <w:rFonts w:hint="eastAsia" w:ascii="仿宋_GB2312" w:hAnsi="华文楷体" w:eastAsia="仿宋_GB2312" w:cs="宋体"/>
                <w:b/>
                <w:bCs/>
                <w:color w:val="auto"/>
                <w:sz w:val="28"/>
                <w:szCs w:val="28"/>
                <w:lang w:val="ru-RU"/>
              </w:rPr>
              <w:t>、综合服务水平（</w:t>
            </w:r>
            <w:r>
              <w:rPr>
                <w:rFonts w:ascii="等线" w:hAnsi="等线" w:eastAsia="仿宋_GB2312" w:cs="宋体"/>
                <w:b/>
                <w:bCs/>
                <w:color w:val="auto"/>
                <w:sz w:val="28"/>
                <w:szCs w:val="28"/>
                <w:lang w:val="ru-RU"/>
              </w:rPr>
              <w:t>15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color w:val="auto"/>
                <w:sz w:val="28"/>
                <w:szCs w:val="28"/>
              </w:rPr>
              <w:t>响应供应商提供其总公司</w:t>
            </w:r>
            <w:r>
              <w:rPr>
                <w:rFonts w:ascii="等线" w:hAnsi="等线" w:eastAsia="仿宋_GB2312" w:cs="宋体"/>
                <w:bCs/>
                <w:color w:val="auto"/>
                <w:sz w:val="28"/>
                <w:szCs w:val="28"/>
                <w:lang w:val="ru-RU"/>
              </w:rPr>
              <w:t>2023</w:t>
            </w:r>
            <w:r>
              <w:rPr>
                <w:rFonts w:hint="eastAsia" w:ascii="仿宋_GB2312" w:hAnsi="华文楷体" w:eastAsia="仿宋_GB2312" w:cs="宋体"/>
                <w:bCs/>
                <w:color w:val="auto"/>
                <w:sz w:val="28"/>
                <w:szCs w:val="28"/>
                <w:lang w:val="ru-RU"/>
              </w:rPr>
              <w:t>年</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bCs/>
                <w:color w:val="auto"/>
                <w:sz w:val="28"/>
                <w:szCs w:val="28"/>
                <w:lang w:val="ru-RU"/>
              </w:rPr>
              <w:t>亿元保费投诉量，排名最低的（即投诉量最少）得</w:t>
            </w:r>
            <w:r>
              <w:rPr>
                <w:rFonts w:ascii="等线" w:hAnsi="等线" w:eastAsia="仿宋_GB2312" w:cs="宋体"/>
                <w:bCs/>
                <w:color w:val="auto"/>
                <w:sz w:val="28"/>
                <w:szCs w:val="28"/>
                <w:lang w:val="ru-RU"/>
              </w:rPr>
              <w:t>15</w:t>
            </w:r>
            <w:r>
              <w:rPr>
                <w:rFonts w:hint="eastAsia" w:ascii="仿宋_GB2312" w:hAnsi="华文楷体" w:eastAsia="仿宋_GB2312" w:cs="宋体"/>
                <w:bCs/>
                <w:color w:val="auto"/>
                <w:sz w:val="28"/>
                <w:szCs w:val="28"/>
                <w:lang w:val="ru-RU"/>
              </w:rPr>
              <w:t>分，每名差3分，以此类推，最低得0分；</w:t>
            </w:r>
          </w:p>
          <w:p>
            <w:pPr>
              <w:pStyle w:val="10"/>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（评审依据：投标供应商提供总公司在国家金融监督管理总局官网公布的2023年</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bCs/>
                <w:color w:val="auto"/>
                <w:sz w:val="28"/>
                <w:szCs w:val="28"/>
                <w:lang w:val="ru-RU"/>
              </w:rPr>
              <w:t>保险消费投诉情况的通报查询结果截图及附件表格，未提供或提供不符合要求的不得分。）</w:t>
            </w:r>
          </w:p>
          <w:p>
            <w:pPr>
              <w:pStyle w:val="10"/>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
                <w:bCs/>
                <w:color w:val="auto"/>
                <w:sz w:val="28"/>
                <w:szCs w:val="28"/>
                <w:lang w:val="en-US" w:eastAsia="zh-CN"/>
              </w:rPr>
              <w:t>三</w:t>
            </w:r>
            <w:r>
              <w:rPr>
                <w:rFonts w:hint="eastAsia" w:ascii="仿宋_GB2312" w:hAnsi="华文楷体" w:eastAsia="仿宋_GB2312" w:cs="宋体"/>
                <w:b/>
                <w:bCs/>
                <w:color w:val="auto"/>
                <w:sz w:val="28"/>
                <w:szCs w:val="28"/>
                <w:lang w:val="ru-RU"/>
              </w:rPr>
              <w:t>、服务质量评价（1</w:t>
            </w:r>
            <w:r>
              <w:rPr>
                <w:rFonts w:ascii="等线" w:hAnsi="等线" w:eastAsia="仿宋_GB2312" w:cs="宋体"/>
                <w:b/>
                <w:bCs/>
                <w:color w:val="auto"/>
                <w:sz w:val="28"/>
                <w:szCs w:val="28"/>
                <w:lang w:val="ru-RU"/>
              </w:rPr>
              <w:t>5</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s="宋体"/>
                <w:color w:val="auto"/>
                <w:sz w:val="28"/>
                <w:szCs w:val="28"/>
              </w:rPr>
              <w:t>响应供应商提供其总公司</w:t>
            </w:r>
            <w:r>
              <w:rPr>
                <w:rFonts w:hint="eastAsia" w:ascii="仿宋_GB2312" w:hAnsi="华文楷体" w:eastAsia="仿宋_GB2312" w:cs="宋体"/>
                <w:bCs/>
                <w:color w:val="auto"/>
                <w:sz w:val="28"/>
                <w:szCs w:val="28"/>
                <w:lang w:val="en-US" w:eastAsia="zh-CN"/>
              </w:rPr>
              <w:t>最新公布数据</w:t>
            </w:r>
            <w:r>
              <w:rPr>
                <w:rFonts w:hint="eastAsia" w:ascii="仿宋_GB2312" w:hAnsi="华文楷体" w:eastAsia="仿宋_GB2312" w:cs="宋体"/>
                <w:bCs/>
                <w:color w:val="auto"/>
                <w:sz w:val="28"/>
                <w:szCs w:val="28"/>
                <w:lang w:val="ru-RU"/>
              </w:rPr>
              <w:t>财产保险服务质量指数：</w:t>
            </w:r>
          </w:p>
          <w:p>
            <w:pPr>
              <w:pStyle w:val="10"/>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1）质量指数≥9</w:t>
            </w:r>
            <w:r>
              <w:rPr>
                <w:rFonts w:ascii="等线" w:hAnsi="等线" w:eastAsia="仿宋_GB2312" w:cs="宋体"/>
                <w:bCs/>
                <w:color w:val="auto"/>
                <w:sz w:val="28"/>
                <w:szCs w:val="28"/>
                <w:lang w:val="ru-RU"/>
              </w:rPr>
              <w:t>4</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15</w:t>
            </w:r>
            <w:r>
              <w:rPr>
                <w:rFonts w:hint="eastAsia" w:ascii="仿宋_GB2312" w:hAnsi="华文楷体" w:eastAsia="仿宋_GB2312" w:cs="宋体"/>
                <w:bCs/>
                <w:color w:val="auto"/>
                <w:sz w:val="28"/>
                <w:szCs w:val="28"/>
                <w:lang w:val="ru-RU"/>
              </w:rPr>
              <w:t>分；</w:t>
            </w:r>
          </w:p>
          <w:p>
            <w:pPr>
              <w:pStyle w:val="10"/>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2）9</w:t>
            </w:r>
            <w:r>
              <w:rPr>
                <w:rFonts w:ascii="等线" w:hAnsi="等线" w:eastAsia="仿宋_GB2312" w:cs="宋体"/>
                <w:bCs/>
                <w:color w:val="auto"/>
                <w:sz w:val="28"/>
                <w:szCs w:val="28"/>
                <w:lang w:val="ru-RU"/>
              </w:rPr>
              <w:t>4</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92</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12</w:t>
            </w:r>
            <w:r>
              <w:rPr>
                <w:rFonts w:hint="eastAsia" w:ascii="仿宋_GB2312" w:hAnsi="华文楷体" w:eastAsia="仿宋_GB2312" w:cs="宋体"/>
                <w:bCs/>
                <w:color w:val="auto"/>
                <w:sz w:val="28"/>
                <w:szCs w:val="28"/>
                <w:lang w:val="ru-RU"/>
              </w:rPr>
              <w:t>分；</w:t>
            </w:r>
          </w:p>
          <w:p>
            <w:pPr>
              <w:pStyle w:val="10"/>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3）9</w:t>
            </w:r>
            <w:r>
              <w:rPr>
                <w:rFonts w:ascii="等线" w:hAnsi="等线" w:eastAsia="仿宋_GB2312" w:cs="宋体"/>
                <w:bCs/>
                <w:color w:val="auto"/>
                <w:sz w:val="28"/>
                <w:szCs w:val="28"/>
                <w:lang w:val="ru-RU"/>
              </w:rPr>
              <w:t>2</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90</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9</w:t>
            </w:r>
            <w:r>
              <w:rPr>
                <w:rFonts w:hint="eastAsia" w:ascii="仿宋_GB2312" w:hAnsi="华文楷体" w:eastAsia="仿宋_GB2312" w:cs="宋体"/>
                <w:bCs/>
                <w:color w:val="auto"/>
                <w:sz w:val="28"/>
                <w:szCs w:val="28"/>
                <w:lang w:val="ru-RU"/>
              </w:rPr>
              <w:t>分；</w:t>
            </w:r>
          </w:p>
          <w:p>
            <w:pPr>
              <w:pStyle w:val="10"/>
              <w:spacing w:line="560" w:lineRule="exact"/>
              <w:rPr>
                <w:rFonts w:ascii="仿宋_GB2312" w:hAnsi="华文楷体" w:eastAsia="仿宋_GB2312" w:cs="宋体"/>
                <w:bCs/>
                <w:color w:val="auto"/>
                <w:sz w:val="28"/>
                <w:szCs w:val="28"/>
                <w:lang w:val="ru-RU"/>
              </w:rPr>
            </w:pPr>
            <w:r>
              <w:rPr>
                <w:rFonts w:ascii="等线" w:hAnsi="等线" w:eastAsia="仿宋_GB2312" w:cs="宋体"/>
                <w:bCs/>
                <w:color w:val="auto"/>
                <w:sz w:val="28"/>
                <w:szCs w:val="28"/>
                <w:lang w:val="ru-RU"/>
              </w:rPr>
              <w:t>4</w:t>
            </w:r>
            <w:r>
              <w:rPr>
                <w:rFonts w:hint="eastAsia" w:ascii="仿宋_GB2312" w:hAnsi="华文楷体" w:eastAsia="仿宋_GB2312" w:cs="宋体"/>
                <w:bCs/>
                <w:color w:val="auto"/>
                <w:sz w:val="28"/>
                <w:szCs w:val="28"/>
                <w:lang w:val="ru-RU"/>
              </w:rPr>
              <w:t>）9</w:t>
            </w:r>
            <w:r>
              <w:rPr>
                <w:rFonts w:ascii="等线" w:hAnsi="等线" w:eastAsia="仿宋_GB2312" w:cs="宋体"/>
                <w:bCs/>
                <w:color w:val="auto"/>
                <w:sz w:val="28"/>
                <w:szCs w:val="28"/>
                <w:lang w:val="ru-RU"/>
              </w:rPr>
              <w:t>0</w:t>
            </w:r>
            <w:r>
              <w:rPr>
                <w:rFonts w:hint="eastAsia" w:ascii="仿宋_GB2312" w:hAnsi="华文楷体" w:eastAsia="仿宋_GB2312" w:cs="宋体"/>
                <w:bCs/>
                <w:color w:val="auto"/>
                <w:sz w:val="28"/>
                <w:szCs w:val="28"/>
                <w:lang w:val="ru-RU"/>
              </w:rPr>
              <w:t>分＞质量指数≥</w:t>
            </w:r>
            <w:r>
              <w:rPr>
                <w:rFonts w:ascii="等线" w:hAnsi="等线" w:eastAsia="仿宋_GB2312" w:cs="宋体"/>
                <w:bCs/>
                <w:color w:val="auto"/>
                <w:sz w:val="28"/>
                <w:szCs w:val="28"/>
                <w:lang w:val="ru-RU"/>
              </w:rPr>
              <w:t>85</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6</w:t>
            </w:r>
            <w:r>
              <w:rPr>
                <w:rFonts w:hint="eastAsia" w:ascii="仿宋_GB2312" w:hAnsi="华文楷体" w:eastAsia="仿宋_GB2312" w:cs="宋体"/>
                <w:bCs/>
                <w:color w:val="auto"/>
                <w:sz w:val="28"/>
                <w:szCs w:val="28"/>
                <w:lang w:val="ru-RU"/>
              </w:rPr>
              <w:t>分；</w:t>
            </w:r>
          </w:p>
          <w:p>
            <w:pPr>
              <w:pStyle w:val="10"/>
              <w:spacing w:line="560" w:lineRule="exact"/>
              <w:rPr>
                <w:rFonts w:ascii="仿宋_GB2312" w:hAnsi="华文楷体" w:eastAsia="仿宋_GB2312" w:cs="宋体"/>
                <w:bCs/>
                <w:color w:val="auto"/>
                <w:sz w:val="28"/>
                <w:szCs w:val="28"/>
                <w:lang w:val="ru-RU"/>
              </w:rPr>
            </w:pPr>
            <w:r>
              <w:rPr>
                <w:rFonts w:ascii="等线" w:hAnsi="等线" w:eastAsia="仿宋_GB2312" w:cs="宋体"/>
                <w:bCs/>
                <w:color w:val="auto"/>
                <w:sz w:val="28"/>
                <w:szCs w:val="28"/>
                <w:lang w:val="ru-RU"/>
              </w:rPr>
              <w:t>4</w:t>
            </w:r>
            <w:r>
              <w:rPr>
                <w:rFonts w:hint="eastAsia" w:ascii="等线" w:hAnsi="等线" w:eastAsia="仿宋_GB2312" w:cs="宋体"/>
                <w:bCs/>
                <w:color w:val="auto"/>
                <w:sz w:val="28"/>
                <w:szCs w:val="28"/>
                <w:lang w:val="ru-RU"/>
              </w:rPr>
              <w:t>）</w:t>
            </w:r>
            <w:r>
              <w:rPr>
                <w:rFonts w:hint="eastAsia" w:ascii="仿宋_GB2312" w:hAnsi="华文楷体" w:eastAsia="仿宋_GB2312" w:cs="宋体"/>
                <w:bCs/>
                <w:color w:val="auto"/>
                <w:sz w:val="28"/>
                <w:szCs w:val="28"/>
                <w:lang w:val="ru-RU"/>
              </w:rPr>
              <w:t>质量指数＜</w:t>
            </w:r>
            <w:r>
              <w:rPr>
                <w:rFonts w:ascii="等线" w:hAnsi="等线" w:eastAsia="仿宋_GB2312" w:cs="宋体"/>
                <w:bCs/>
                <w:color w:val="auto"/>
                <w:sz w:val="28"/>
                <w:szCs w:val="28"/>
                <w:lang w:val="ru-RU"/>
              </w:rPr>
              <w:t>85</w:t>
            </w:r>
            <w:r>
              <w:rPr>
                <w:rFonts w:hint="eastAsia" w:ascii="仿宋_GB2312" w:hAnsi="华文楷体" w:eastAsia="仿宋_GB2312" w:cs="宋体"/>
                <w:bCs/>
                <w:color w:val="auto"/>
                <w:sz w:val="28"/>
                <w:szCs w:val="28"/>
                <w:lang w:val="ru-RU"/>
              </w:rPr>
              <w:t>分，得</w:t>
            </w:r>
            <w:r>
              <w:rPr>
                <w:rFonts w:ascii="等线" w:hAnsi="等线" w:eastAsia="仿宋_GB2312" w:cs="宋体"/>
                <w:bCs/>
                <w:color w:val="auto"/>
                <w:sz w:val="28"/>
                <w:szCs w:val="28"/>
                <w:lang w:val="ru-RU"/>
              </w:rPr>
              <w:t>3</w:t>
            </w:r>
            <w:r>
              <w:rPr>
                <w:rFonts w:hint="eastAsia" w:ascii="仿宋_GB2312" w:hAnsi="华文楷体" w:eastAsia="仿宋_GB2312" w:cs="宋体"/>
                <w:bCs/>
                <w:color w:val="auto"/>
                <w:sz w:val="28"/>
                <w:szCs w:val="28"/>
                <w:lang w:val="ru-RU"/>
              </w:rPr>
              <w:t>分；</w:t>
            </w:r>
          </w:p>
          <w:p>
            <w:pPr>
              <w:pStyle w:val="10"/>
              <w:spacing w:line="560" w:lineRule="exact"/>
              <w:rPr>
                <w:rFonts w:ascii="仿宋_GB2312" w:hAnsi="华文楷体" w:eastAsia="仿宋_GB2312" w:cs="宋体"/>
                <w:bCs/>
                <w:color w:val="auto"/>
                <w:sz w:val="28"/>
                <w:szCs w:val="28"/>
                <w:lang w:val="ru-RU"/>
              </w:rPr>
            </w:pPr>
            <w:r>
              <w:rPr>
                <w:rFonts w:hint="eastAsia" w:ascii="仿宋_GB2312" w:hAnsi="华文楷体" w:eastAsia="仿宋_GB2312" w:cs="宋体"/>
                <w:bCs/>
                <w:color w:val="auto"/>
                <w:sz w:val="28"/>
                <w:szCs w:val="28"/>
                <w:lang w:val="ru-RU"/>
              </w:rPr>
              <w:t>（评审依据：提供中国银行保险信息技术管理有限公司官方网站公布的保险服务质量指数结果截图，否则不予计分。）</w:t>
            </w:r>
          </w:p>
          <w:p>
            <w:pPr>
              <w:pStyle w:val="10"/>
              <w:spacing w:line="560" w:lineRule="exact"/>
              <w:rPr>
                <w:rFonts w:ascii="仿宋_GB2312" w:hAnsi="华文楷体" w:eastAsia="仿宋_GB2312" w:cs="宋体"/>
                <w:color w:val="auto"/>
                <w:sz w:val="28"/>
                <w:szCs w:val="28"/>
                <w:lang w:val="ru-RU"/>
              </w:rPr>
            </w:pPr>
            <w:r>
              <w:rPr>
                <w:rFonts w:hint="eastAsia" w:ascii="仿宋_GB2312" w:hAnsi="华文楷体" w:eastAsia="仿宋_GB2312" w:cs="宋体"/>
                <w:b/>
                <w:bCs/>
                <w:color w:val="auto"/>
                <w:sz w:val="28"/>
                <w:szCs w:val="28"/>
                <w:lang w:val="en-US" w:eastAsia="zh-CN"/>
              </w:rPr>
              <w:t>四</w:t>
            </w:r>
            <w:r>
              <w:rPr>
                <w:rFonts w:hint="eastAsia" w:ascii="仿宋_GB2312" w:hAnsi="华文楷体" w:eastAsia="仿宋_GB2312" w:cs="宋体"/>
                <w:b/>
                <w:bCs/>
                <w:color w:val="auto"/>
                <w:sz w:val="28"/>
                <w:szCs w:val="28"/>
                <w:lang w:val="ru-RU"/>
              </w:rPr>
              <w:t>、综合偿付能力（</w:t>
            </w:r>
            <w:r>
              <w:rPr>
                <w:rFonts w:hint="eastAsia" w:ascii="仿宋_GB2312" w:hAnsi="华文楷体" w:eastAsia="仿宋_GB2312" w:cs="宋体"/>
                <w:b/>
                <w:bCs/>
                <w:color w:val="auto"/>
                <w:sz w:val="28"/>
                <w:szCs w:val="28"/>
              </w:rPr>
              <w:t>10</w:t>
            </w:r>
            <w:r>
              <w:rPr>
                <w:rFonts w:hint="eastAsia" w:ascii="仿宋_GB2312" w:hAnsi="华文楷体" w:eastAsia="仿宋_GB2312" w:cs="宋体"/>
                <w:b/>
                <w:bCs/>
                <w:color w:val="auto"/>
                <w:sz w:val="28"/>
                <w:szCs w:val="28"/>
                <w:lang w:val="ru-RU"/>
              </w:rPr>
              <w:t>分）：</w:t>
            </w:r>
            <w:r>
              <w:rPr>
                <w:rFonts w:hint="eastAsia" w:ascii="仿宋_GB2312" w:hAnsi="华文楷体" w:eastAsia="仿宋_GB2312"/>
                <w:color w:val="auto"/>
                <w:sz w:val="28"/>
                <w:szCs w:val="28"/>
              </w:rPr>
              <w:t>响应供应商所属总公司</w:t>
            </w:r>
            <w:r>
              <w:rPr>
                <w:rFonts w:hint="eastAsia" w:ascii="仿宋_GB2312" w:hAnsi="华文楷体" w:eastAsia="仿宋_GB2312" w:cs="宋体"/>
                <w:color w:val="auto"/>
                <w:sz w:val="28"/>
                <w:szCs w:val="28"/>
                <w:lang w:val="ru-RU"/>
              </w:rPr>
              <w:t>2023年</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color w:val="auto"/>
                <w:sz w:val="28"/>
                <w:szCs w:val="28"/>
                <w:lang w:val="ru-RU"/>
              </w:rPr>
              <w:t>综合偿付能力充足率≥</w:t>
            </w:r>
            <w:r>
              <w:rPr>
                <w:rFonts w:ascii="等线" w:hAnsi="等线" w:eastAsia="仿宋_GB2312" w:cs="宋体"/>
                <w:color w:val="auto"/>
                <w:sz w:val="28"/>
                <w:szCs w:val="28"/>
                <w:lang w:val="ru-RU"/>
              </w:rPr>
              <w:t>220</w:t>
            </w:r>
            <w:r>
              <w:rPr>
                <w:rFonts w:hint="eastAsia" w:ascii="仿宋_GB2312" w:hAnsi="华文楷体" w:eastAsia="仿宋_GB2312" w:cs="宋体"/>
                <w:color w:val="auto"/>
                <w:sz w:val="28"/>
                <w:szCs w:val="28"/>
                <w:lang w:val="ru-RU"/>
              </w:rPr>
              <w:t>%的得10分；</w:t>
            </w:r>
            <w:r>
              <w:rPr>
                <w:rFonts w:ascii="等线" w:hAnsi="等线" w:eastAsia="仿宋_GB2312" w:cs="宋体"/>
                <w:color w:val="auto"/>
                <w:sz w:val="28"/>
                <w:szCs w:val="28"/>
                <w:lang w:val="ru-RU"/>
              </w:rPr>
              <w:t>200</w:t>
            </w:r>
            <w:r>
              <w:rPr>
                <w:rFonts w:hint="eastAsia" w:ascii="仿宋_GB2312" w:hAnsi="华文楷体" w:eastAsia="仿宋_GB2312" w:cs="宋体"/>
                <w:color w:val="auto"/>
                <w:sz w:val="28"/>
                <w:szCs w:val="28"/>
                <w:lang w:val="ru-RU"/>
              </w:rPr>
              <w:t>%≤充足率</w:t>
            </w:r>
            <w:r>
              <w:rPr>
                <w:rFonts w:hint="eastAsia" w:ascii="微软雅黑" w:hAnsi="微软雅黑" w:eastAsia="微软雅黑" w:cs="微软雅黑"/>
                <w:color w:val="auto"/>
                <w:sz w:val="28"/>
                <w:szCs w:val="28"/>
                <w:lang w:val="ru-RU"/>
              </w:rPr>
              <w:t>﹤</w:t>
            </w:r>
            <w:r>
              <w:rPr>
                <w:rFonts w:ascii="等线" w:hAnsi="等线" w:eastAsia="仿宋_GB2312" w:cs="宋体"/>
                <w:color w:val="auto"/>
                <w:sz w:val="28"/>
                <w:szCs w:val="28"/>
                <w:lang w:val="ru-RU"/>
              </w:rPr>
              <w:t>220</w:t>
            </w:r>
            <w:r>
              <w:rPr>
                <w:rFonts w:hint="eastAsia" w:ascii="仿宋_GB2312" w:hAnsi="华文楷体" w:eastAsia="仿宋_GB2312" w:cs="宋体"/>
                <w:color w:val="auto"/>
                <w:sz w:val="28"/>
                <w:szCs w:val="28"/>
                <w:lang w:val="ru-RU"/>
              </w:rPr>
              <w:t>%的得</w:t>
            </w:r>
            <w:r>
              <w:rPr>
                <w:rFonts w:ascii="等线" w:hAnsi="等线" w:eastAsia="仿宋_GB2312" w:cs="宋体"/>
                <w:color w:val="auto"/>
                <w:sz w:val="28"/>
                <w:szCs w:val="28"/>
                <w:lang w:val="ru-RU"/>
              </w:rPr>
              <w:t>7</w:t>
            </w:r>
            <w:r>
              <w:rPr>
                <w:rFonts w:hint="eastAsia" w:ascii="仿宋_GB2312" w:hAnsi="华文楷体" w:eastAsia="仿宋_GB2312" w:cs="宋体"/>
                <w:color w:val="auto"/>
                <w:sz w:val="28"/>
                <w:szCs w:val="28"/>
                <w:lang w:val="ru-RU"/>
              </w:rPr>
              <w:t>分；</w:t>
            </w:r>
            <w:r>
              <w:rPr>
                <w:rFonts w:ascii="等线" w:hAnsi="等线" w:eastAsia="仿宋_GB2312" w:cs="宋体"/>
                <w:color w:val="auto"/>
                <w:sz w:val="28"/>
                <w:szCs w:val="28"/>
                <w:lang w:val="ru-RU"/>
              </w:rPr>
              <w:t>180</w:t>
            </w:r>
            <w:r>
              <w:rPr>
                <w:rFonts w:hint="eastAsia" w:ascii="仿宋_GB2312" w:hAnsi="华文楷体" w:eastAsia="仿宋_GB2312" w:cs="宋体"/>
                <w:color w:val="auto"/>
                <w:sz w:val="28"/>
                <w:szCs w:val="28"/>
                <w:lang w:val="ru-RU"/>
              </w:rPr>
              <w:t>%≤充足率</w:t>
            </w:r>
            <w:r>
              <w:rPr>
                <w:rFonts w:hint="eastAsia" w:ascii="微软雅黑" w:hAnsi="微软雅黑" w:eastAsia="微软雅黑" w:cs="微软雅黑"/>
                <w:color w:val="auto"/>
                <w:sz w:val="28"/>
                <w:szCs w:val="28"/>
                <w:lang w:val="ru-RU"/>
              </w:rPr>
              <w:t>﹤</w:t>
            </w:r>
            <w:r>
              <w:rPr>
                <w:rFonts w:ascii="等线" w:hAnsi="等线" w:eastAsia="仿宋_GB2312" w:cs="宋体"/>
                <w:color w:val="auto"/>
                <w:sz w:val="28"/>
                <w:szCs w:val="28"/>
                <w:lang w:val="ru-RU"/>
              </w:rPr>
              <w:t>200</w:t>
            </w:r>
            <w:r>
              <w:rPr>
                <w:rFonts w:hint="eastAsia" w:ascii="仿宋_GB2312" w:hAnsi="华文楷体" w:eastAsia="仿宋_GB2312" w:cs="宋体"/>
                <w:color w:val="auto"/>
                <w:sz w:val="28"/>
                <w:szCs w:val="28"/>
                <w:lang w:val="ru-RU"/>
              </w:rPr>
              <w:t>%的得</w:t>
            </w:r>
            <w:r>
              <w:rPr>
                <w:rFonts w:ascii="等线" w:hAnsi="等线" w:eastAsia="仿宋_GB2312" w:cs="宋体"/>
                <w:color w:val="auto"/>
                <w:sz w:val="28"/>
                <w:szCs w:val="28"/>
                <w:lang w:val="ru-RU"/>
              </w:rPr>
              <w:t>4</w:t>
            </w:r>
            <w:r>
              <w:rPr>
                <w:rFonts w:hint="eastAsia" w:ascii="仿宋_GB2312" w:hAnsi="华文楷体" w:eastAsia="仿宋_GB2312" w:cs="宋体"/>
                <w:color w:val="auto"/>
                <w:sz w:val="28"/>
                <w:szCs w:val="28"/>
                <w:lang w:val="ru-RU"/>
              </w:rPr>
              <w:t>分，</w:t>
            </w:r>
            <w:r>
              <w:rPr>
                <w:rFonts w:ascii="等线" w:hAnsi="等线" w:eastAsia="仿宋_GB2312" w:cs="宋体"/>
                <w:color w:val="auto"/>
                <w:sz w:val="28"/>
                <w:szCs w:val="28"/>
                <w:lang w:val="ru-RU"/>
              </w:rPr>
              <w:t>150</w:t>
            </w:r>
            <w:r>
              <w:rPr>
                <w:rFonts w:hint="eastAsia" w:ascii="仿宋_GB2312" w:hAnsi="华文楷体" w:eastAsia="仿宋_GB2312" w:cs="宋体"/>
                <w:color w:val="auto"/>
                <w:sz w:val="28"/>
                <w:szCs w:val="28"/>
                <w:lang w:val="ru-RU"/>
              </w:rPr>
              <w:t>%≤充足率</w:t>
            </w:r>
            <w:r>
              <w:rPr>
                <w:rFonts w:hint="eastAsia" w:ascii="微软雅黑" w:hAnsi="微软雅黑" w:eastAsia="微软雅黑" w:cs="微软雅黑"/>
                <w:color w:val="auto"/>
                <w:sz w:val="28"/>
                <w:szCs w:val="28"/>
                <w:lang w:val="ru-RU"/>
              </w:rPr>
              <w:t>﹤</w:t>
            </w:r>
            <w:r>
              <w:rPr>
                <w:rFonts w:ascii="等线" w:hAnsi="等线" w:eastAsia="仿宋_GB2312" w:cs="宋体"/>
                <w:color w:val="auto"/>
                <w:sz w:val="28"/>
                <w:szCs w:val="28"/>
                <w:lang w:val="ru-RU"/>
              </w:rPr>
              <w:t>180</w:t>
            </w:r>
            <w:r>
              <w:rPr>
                <w:rFonts w:hint="eastAsia" w:ascii="仿宋_GB2312" w:hAnsi="华文楷体" w:eastAsia="仿宋_GB2312" w:cs="宋体"/>
                <w:color w:val="auto"/>
                <w:sz w:val="28"/>
                <w:szCs w:val="28"/>
                <w:lang w:val="ru-RU"/>
              </w:rPr>
              <w:t>%的得</w:t>
            </w:r>
            <w:r>
              <w:rPr>
                <w:rFonts w:ascii="等线" w:hAnsi="等线" w:eastAsia="仿宋_GB2312" w:cs="宋体"/>
                <w:color w:val="auto"/>
                <w:sz w:val="28"/>
                <w:szCs w:val="28"/>
                <w:lang w:val="ru-RU"/>
              </w:rPr>
              <w:t>1</w:t>
            </w:r>
            <w:r>
              <w:rPr>
                <w:rFonts w:hint="eastAsia" w:ascii="仿宋_GB2312" w:hAnsi="华文楷体" w:eastAsia="仿宋_GB2312" w:cs="宋体"/>
                <w:color w:val="auto"/>
                <w:sz w:val="28"/>
                <w:szCs w:val="28"/>
                <w:lang w:val="ru-RU"/>
              </w:rPr>
              <w:t>分，充足率</w:t>
            </w:r>
            <w:r>
              <w:rPr>
                <w:rFonts w:hint="eastAsia" w:ascii="微软雅黑" w:hAnsi="微软雅黑" w:eastAsia="微软雅黑" w:cs="微软雅黑"/>
                <w:color w:val="auto"/>
                <w:sz w:val="28"/>
                <w:szCs w:val="28"/>
                <w:lang w:val="ru-RU"/>
              </w:rPr>
              <w:t>﹤</w:t>
            </w:r>
            <w:r>
              <w:rPr>
                <w:rFonts w:ascii="等线" w:hAnsi="等线" w:eastAsia="仿宋_GB2312" w:cs="宋体"/>
                <w:color w:val="auto"/>
                <w:sz w:val="28"/>
                <w:szCs w:val="28"/>
                <w:lang w:val="ru-RU"/>
              </w:rPr>
              <w:t>150</w:t>
            </w:r>
            <w:r>
              <w:rPr>
                <w:rFonts w:hint="eastAsia" w:ascii="仿宋_GB2312" w:hAnsi="华文楷体" w:eastAsia="仿宋_GB2312" w:cs="宋体"/>
                <w:color w:val="auto"/>
                <w:sz w:val="28"/>
                <w:szCs w:val="28"/>
                <w:lang w:val="ru-RU"/>
              </w:rPr>
              <w:t>%的得</w:t>
            </w:r>
            <w:r>
              <w:rPr>
                <w:rFonts w:ascii="等线" w:hAnsi="等线" w:eastAsia="仿宋_GB2312" w:cs="宋体"/>
                <w:color w:val="auto"/>
                <w:sz w:val="28"/>
                <w:szCs w:val="28"/>
                <w:lang w:val="ru-RU"/>
              </w:rPr>
              <w:t>0</w:t>
            </w:r>
            <w:r>
              <w:rPr>
                <w:rFonts w:hint="eastAsia" w:ascii="仿宋_GB2312" w:hAnsi="华文楷体" w:eastAsia="仿宋_GB2312" w:cs="宋体"/>
                <w:color w:val="auto"/>
                <w:sz w:val="28"/>
                <w:szCs w:val="28"/>
                <w:lang w:val="ru-RU"/>
              </w:rPr>
              <w:t>分。</w:t>
            </w:r>
          </w:p>
          <w:p>
            <w:pPr>
              <w:pStyle w:val="10"/>
              <w:spacing w:line="560" w:lineRule="exact"/>
              <w:rPr>
                <w:rFonts w:ascii="仿宋_GB2312" w:hAnsi="华文楷体" w:eastAsia="仿宋_GB2312"/>
                <w:bCs/>
                <w:color w:val="auto"/>
                <w:sz w:val="28"/>
                <w:szCs w:val="28"/>
              </w:rPr>
            </w:pPr>
            <w:r>
              <w:rPr>
                <w:rFonts w:hint="eastAsia" w:ascii="仿宋_GB2312" w:hAnsi="华文楷体" w:eastAsia="仿宋_GB2312" w:cs="宋体"/>
                <w:color w:val="auto"/>
                <w:sz w:val="28"/>
                <w:szCs w:val="28"/>
              </w:rPr>
              <w:t>(评审依据</w:t>
            </w:r>
            <w:r>
              <w:rPr>
                <w:rFonts w:hint="eastAsia" w:ascii="仿宋_GB2312" w:hAnsi="华文楷体" w:eastAsia="仿宋_GB2312" w:cs="宋体"/>
                <w:color w:val="auto"/>
                <w:sz w:val="28"/>
                <w:szCs w:val="28"/>
                <w:lang w:val="ru-RU"/>
              </w:rPr>
              <w:t>：提供总公司2023年</w:t>
            </w:r>
            <w:r>
              <w:rPr>
                <w:rFonts w:hint="eastAsia" w:ascii="仿宋_GB2312" w:hAnsi="华文楷体" w:eastAsia="仿宋_GB2312" w:cs="宋体"/>
                <w:bCs/>
                <w:color w:val="auto"/>
                <w:sz w:val="28"/>
                <w:szCs w:val="28"/>
                <w:lang w:val="en-US" w:eastAsia="zh-CN"/>
              </w:rPr>
              <w:t>度最新公布数据</w:t>
            </w:r>
            <w:r>
              <w:rPr>
                <w:rFonts w:hint="eastAsia" w:ascii="仿宋_GB2312" w:hAnsi="华文楷体" w:eastAsia="仿宋_GB2312" w:cs="宋体"/>
                <w:color w:val="auto"/>
                <w:sz w:val="28"/>
                <w:szCs w:val="28"/>
                <w:lang w:val="ru-RU"/>
              </w:rPr>
              <w:t>经会计(审计)师事务所审计的会计报表中“偿付能力报告含核心偿付能力充足率相关页面”或“中国银保监会确认的核心偿付能力充足率材料、偿付能力状况技术分表”或中国保险行业协会官方网站公开披露的偿付能力报告截图(复印件或扫描件加盖投标人公章)，未提供或提供无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4" w:hRule="atLeast"/>
        </w:trPr>
        <w:tc>
          <w:tcPr>
            <w:tcW w:w="1283" w:type="dxa"/>
            <w:vAlign w:val="center"/>
          </w:tcPr>
          <w:p>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lang w:val="en-US" w:eastAsia="zh-CN"/>
              </w:rPr>
              <w:t>技术</w:t>
            </w:r>
            <w:r>
              <w:rPr>
                <w:rFonts w:hint="eastAsia" w:ascii="仿宋_GB2312" w:hAnsi="华文楷体" w:eastAsia="仿宋_GB2312" w:cs="宋体"/>
                <w:kern w:val="0"/>
                <w:sz w:val="28"/>
                <w:szCs w:val="28"/>
              </w:rPr>
              <w:t>分</w:t>
            </w:r>
          </w:p>
          <w:p>
            <w:pPr>
              <w:widowControl/>
              <w:spacing w:line="360" w:lineRule="auto"/>
              <w:jc w:val="center"/>
              <w:rPr>
                <w:rFonts w:ascii="仿宋_GB2312" w:hAnsi="华文楷体" w:eastAsia="仿宋_GB2312" w:cs="宋体"/>
                <w:kern w:val="0"/>
                <w:sz w:val="28"/>
                <w:szCs w:val="28"/>
              </w:rPr>
            </w:pPr>
            <w:r>
              <w:rPr>
                <w:rFonts w:hint="eastAsia" w:ascii="仿宋_GB2312" w:hAnsi="华文楷体" w:eastAsia="仿宋_GB2312" w:cs="宋体"/>
                <w:kern w:val="0"/>
                <w:sz w:val="28"/>
                <w:szCs w:val="28"/>
              </w:rPr>
              <w:t>（</w:t>
            </w:r>
            <w:r>
              <w:rPr>
                <w:rFonts w:hint="eastAsia" w:ascii="仿宋_GB2312" w:hAnsi="华文楷体" w:eastAsia="仿宋_GB2312" w:cs="宋体"/>
                <w:kern w:val="0"/>
                <w:sz w:val="28"/>
                <w:szCs w:val="28"/>
                <w:lang w:val="en-US" w:eastAsia="zh-CN"/>
              </w:rPr>
              <w:t>5</w:t>
            </w:r>
            <w:r>
              <w:rPr>
                <w:rFonts w:hint="eastAsia" w:ascii="仿宋_GB2312" w:hAnsi="华文楷体" w:eastAsia="仿宋_GB2312" w:cs="宋体"/>
                <w:kern w:val="0"/>
                <w:sz w:val="28"/>
                <w:szCs w:val="28"/>
              </w:rPr>
              <w:t>0分）</w:t>
            </w:r>
          </w:p>
        </w:tc>
        <w:tc>
          <w:tcPr>
            <w:tcW w:w="6914" w:type="dxa"/>
          </w:tcPr>
          <w:p>
            <w:pPr>
              <w:autoSpaceDE w:val="0"/>
              <w:autoSpaceDN w:val="0"/>
              <w:spacing w:line="560" w:lineRule="exact"/>
              <w:jc w:val="left"/>
              <w:rPr>
                <w:rFonts w:ascii="仿宋_GB2312" w:hAnsi="华文楷体" w:eastAsia="仿宋_GB2312" w:cs="宋体"/>
                <w:b/>
                <w:bCs/>
                <w:kern w:val="0"/>
                <w:sz w:val="24"/>
                <w:szCs w:val="24"/>
              </w:rPr>
            </w:pPr>
            <w:r>
              <w:rPr>
                <w:rFonts w:hint="eastAsia" w:ascii="仿宋_GB2312" w:hAnsi="华文楷体" w:eastAsia="仿宋_GB2312" w:cs="宋体"/>
                <w:b/>
                <w:bCs/>
                <w:kern w:val="0"/>
                <w:sz w:val="24"/>
                <w:szCs w:val="24"/>
              </w:rPr>
              <w:t>一、服务</w:t>
            </w:r>
            <w:r>
              <w:rPr>
                <w:rFonts w:hint="eastAsia" w:ascii="仿宋_GB2312" w:hAnsi="华文楷体" w:eastAsia="仿宋_GB2312" w:cs="宋体"/>
                <w:b/>
                <w:bCs/>
                <w:kern w:val="0"/>
                <w:sz w:val="24"/>
                <w:szCs w:val="24"/>
                <w:lang w:val="en-US" w:eastAsia="zh-CN"/>
              </w:rPr>
              <w:t>与承诺</w:t>
            </w:r>
            <w:r>
              <w:rPr>
                <w:rFonts w:hint="eastAsia" w:ascii="仿宋_GB2312" w:hAnsi="华文楷体" w:eastAsia="仿宋_GB2312" w:cs="宋体"/>
                <w:b/>
                <w:bCs/>
                <w:kern w:val="0"/>
                <w:sz w:val="24"/>
                <w:szCs w:val="24"/>
              </w:rPr>
              <w:t>（</w:t>
            </w:r>
            <w:r>
              <w:rPr>
                <w:rFonts w:hint="eastAsia" w:ascii="仿宋_GB2312" w:hAnsi="华文楷体" w:eastAsia="仿宋_GB2312" w:cs="宋体"/>
                <w:b/>
                <w:bCs/>
                <w:kern w:val="0"/>
                <w:sz w:val="24"/>
                <w:szCs w:val="24"/>
                <w:lang w:val="en-US" w:eastAsia="zh-CN"/>
              </w:rPr>
              <w:t>5</w:t>
            </w:r>
            <w:r>
              <w:rPr>
                <w:rFonts w:hint="eastAsia" w:ascii="仿宋_GB2312" w:hAnsi="华文楷体" w:eastAsia="仿宋_GB2312" w:cs="宋体"/>
                <w:b/>
                <w:bCs/>
                <w:kern w:val="0"/>
                <w:sz w:val="24"/>
                <w:szCs w:val="24"/>
              </w:rPr>
              <w:t>0分）：</w:t>
            </w:r>
          </w:p>
          <w:p>
            <w:pPr>
              <w:autoSpaceDE w:val="0"/>
              <w:autoSpaceDN w:val="0"/>
              <w:spacing w:line="560" w:lineRule="exact"/>
              <w:jc w:val="left"/>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1、建筑工程安全生产责任险赔偿限额承诺（12分）</w:t>
            </w:r>
          </w:p>
          <w:p>
            <w:pPr>
              <w:ind w:left="0" w:leftChars="0" w:firstLine="0" w:firstLineChars="0"/>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（1）施工人员每次事故每人死亡、伤残赔偿限额承诺（3分）</w:t>
            </w:r>
          </w:p>
          <w:p>
            <w:pPr>
              <w:ind w:left="0" w:leftChars="0"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（2）施工人员每次事故每人医疗费用赔偿限额承诺（3分）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（3）累计责任限额承诺（3分）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（4）安全生产责任险第三者保障承诺（3分）</w:t>
            </w:r>
          </w:p>
          <w:p>
            <w:pPr>
              <w:ind w:firstLine="560" w:firstLineChars="200"/>
              <w:rPr>
                <w:rFonts w:hint="default"/>
                <w:sz w:val="21"/>
                <w:szCs w:val="24"/>
                <w:lang w:val="en-US" w:eastAsia="zh-CN"/>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所有参与询价单位承诺赔偿限额排名，最高者得3分，第二名得2.5分，第三名得2分，三名以外均得1.8分。</w:t>
            </w:r>
          </w:p>
          <w:p>
            <w:pPr>
              <w:rPr>
                <w:rFonts w:hint="eastAsia" w:ascii="仿宋_GB2312" w:hAnsi="华文楷体" w:eastAsia="仿宋_GB2312" w:cs="宋体"/>
                <w:b/>
                <w:bCs/>
                <w:color w:val="auto"/>
                <w:kern w:val="0"/>
                <w:sz w:val="24"/>
                <w:szCs w:val="24"/>
                <w:lang w:val="en-US" w:eastAsia="zh-CN" w:bidi="ar-SA"/>
              </w:rPr>
            </w:pPr>
            <w:r>
              <w:rPr>
                <w:rFonts w:hint="eastAsia" w:ascii="仿宋_GB2312" w:hAnsi="华文楷体" w:eastAsia="仿宋_GB2312" w:cs="宋体"/>
                <w:b/>
                <w:bCs/>
                <w:color w:val="auto"/>
                <w:kern w:val="0"/>
                <w:sz w:val="24"/>
                <w:szCs w:val="24"/>
                <w:lang w:val="en-US" w:eastAsia="zh-CN" w:bidi="ar-SA"/>
              </w:rPr>
              <w:t>2、工程一切险承诺（12分）</w:t>
            </w:r>
          </w:p>
          <w:p>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（1）赔偿限额承诺（6分）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所有参与询价单位承诺赔偿限额排名，最高者得6分，第二名得4.8分，第三名得4.2分，三名以外均得3.6分。</w:t>
            </w:r>
          </w:p>
          <w:p>
            <w:pPr>
              <w:numPr>
                <w:ilvl w:val="0"/>
                <w:numId w:val="2"/>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每次事故免赔承诺（6分）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所有参与询价单位承诺赔偿限额由低至高排名，最低者得6分，第二名得4.8分，第三名得4.2分，三名以外均得3.6分。</w:t>
            </w:r>
          </w:p>
          <w:p>
            <w:pPr>
              <w:numPr>
                <w:ilvl w:val="0"/>
                <w:numId w:val="3"/>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第三者责任险承诺（12分）</w:t>
            </w:r>
          </w:p>
          <w:p>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（1）每次事故赔偿限额承诺（6分）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所有参与询价单位承诺赔偿限额排名，最高者得6分，第二名得4.8分，第三名得4.2分，三名以外均得3.6分。</w:t>
            </w:r>
          </w:p>
          <w:p>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（2）每次事故免赔承诺（6分）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所有参与询价单位承诺赔偿限额由低至高排名，最低者得6分，第二名得4.8分，第三名得4.2分，三名以外均得3.6分。</w:t>
            </w:r>
          </w:p>
          <w:p>
            <w:pPr>
              <w:pStyle w:val="2"/>
              <w:rPr>
                <w:rFonts w:hint="eastAsia"/>
                <w:lang w:val="en-US" w:eastAsia="zh-CN"/>
              </w:rPr>
            </w:pPr>
            <w:r>
              <w:rPr>
                <w:rFonts w:hint="eastAsia" w:ascii="宋体" w:hAnsi="宋体" w:eastAsia="宋体" w:cs="宋体"/>
                <w:snapToGrid/>
                <w:kern w:val="0"/>
                <w:sz w:val="24"/>
                <w:highlight w:val="none"/>
              </w:rPr>
              <w:t>注：以上“事故”是指每一次事故或由同一原因/同一事件引起的一系列事故。</w:t>
            </w:r>
          </w:p>
          <w:p>
            <w:pPr>
              <w:numPr>
                <w:ilvl w:val="0"/>
                <w:numId w:val="3"/>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售后服务方案（14分）</w:t>
            </w:r>
          </w:p>
          <w:p>
            <w:pPr>
              <w:numPr>
                <w:ilvl w:val="0"/>
                <w:numId w:val="4"/>
              </w:num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对售后服务团队建设、后续理赔方案及承诺（2分）</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248"/>
              <w:gridCol w:w="975"/>
              <w:gridCol w:w="1111"/>
              <w:gridCol w:w="1111"/>
              <w:gridCol w:w="1111"/>
              <w:gridCol w:w="1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人员配备</w:t>
            </w:r>
            <w:r>
              <w:rPr>
                <w:rFonts w:hint="default" w:ascii="仿宋_GB2312" w:hAnsi="华文楷体" w:eastAsia="仿宋_GB2312" w:cs="宋体"/>
                <w:b w:val="0"/>
                <w:color w:val="auto"/>
                <w:kern w:val="0"/>
                <w:sz w:val="28"/>
                <w:szCs w:val="28"/>
                <w:lang w:val="en-US" w:eastAsia="zh-CN" w:bidi="ar-SA"/>
              </w:rPr>
              <w:t>合理的得</w:t>
            </w:r>
            <w:r>
              <w:rPr>
                <w:rFonts w:hint="eastAsia" w:ascii="仿宋_GB2312" w:hAnsi="华文楷体" w:eastAsia="仿宋_GB2312" w:cs="宋体"/>
                <w:b w:val="0"/>
                <w:color w:val="auto"/>
                <w:kern w:val="0"/>
                <w:sz w:val="28"/>
                <w:szCs w:val="28"/>
                <w:lang w:val="en-US" w:eastAsia="zh-CN" w:bidi="ar-SA"/>
              </w:rPr>
              <w:t>2</w:t>
            </w:r>
            <w:r>
              <w:rPr>
                <w:rFonts w:hint="default" w:ascii="仿宋_GB2312" w:hAnsi="华文楷体" w:eastAsia="仿宋_GB2312" w:cs="宋体"/>
                <w:b w:val="0"/>
                <w:color w:val="auto"/>
                <w:kern w:val="0"/>
                <w:sz w:val="28"/>
                <w:szCs w:val="28"/>
                <w:lang w:val="en-US" w:eastAsia="zh-CN" w:bidi="ar-SA"/>
              </w:rPr>
              <w:t>分， 较合理的得</w:t>
            </w:r>
            <w:r>
              <w:rPr>
                <w:rFonts w:hint="eastAsia" w:ascii="仿宋_GB2312" w:hAnsi="华文楷体" w:eastAsia="仿宋_GB2312" w:cs="宋体"/>
                <w:b w:val="0"/>
                <w:color w:val="auto"/>
                <w:kern w:val="0"/>
                <w:sz w:val="28"/>
                <w:szCs w:val="28"/>
                <w:lang w:val="en-US" w:eastAsia="zh-CN" w:bidi="ar-SA"/>
              </w:rPr>
              <w:t>1-2</w:t>
            </w:r>
            <w:r>
              <w:rPr>
                <w:rFonts w:hint="default" w:ascii="仿宋_GB2312" w:hAnsi="华文楷体" w:eastAsia="仿宋_GB2312" w:cs="宋体"/>
                <w:b w:val="0"/>
                <w:color w:val="auto"/>
                <w:kern w:val="0"/>
                <w:sz w:val="28"/>
                <w:szCs w:val="28"/>
                <w:lang w:val="en-US" w:eastAsia="zh-CN" w:bidi="ar-SA"/>
              </w:rPr>
              <w:t>分，一般的得</w:t>
            </w:r>
            <w:r>
              <w:rPr>
                <w:rFonts w:hint="eastAsia" w:ascii="仿宋_GB2312" w:hAnsi="华文楷体" w:eastAsia="仿宋_GB2312" w:cs="宋体"/>
                <w:b w:val="0"/>
                <w:color w:val="auto"/>
                <w:kern w:val="0"/>
                <w:sz w:val="28"/>
                <w:szCs w:val="28"/>
                <w:lang w:val="en-US" w:eastAsia="zh-CN" w:bidi="ar-SA"/>
              </w:rPr>
              <w:t>0-1</w:t>
            </w:r>
            <w:r>
              <w:rPr>
                <w:rFonts w:hint="default" w:ascii="仿宋_GB2312" w:hAnsi="华文楷体" w:eastAsia="仿宋_GB2312" w:cs="宋体"/>
                <w:b w:val="0"/>
                <w:color w:val="auto"/>
                <w:kern w:val="0"/>
                <w:sz w:val="28"/>
                <w:szCs w:val="28"/>
                <w:lang w:val="en-US" w:eastAsia="zh-CN" w:bidi="ar-SA"/>
              </w:rPr>
              <w:t>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个工作日内支付赔款（4分）；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个工作日内支付赔款（4分）；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个工作日内支付赔款（4分）；</w:t>
            </w:r>
          </w:p>
          <w:p>
            <w:pPr>
              <w:numPr>
                <w:ilvl w:val="0"/>
                <w:numId w:val="0"/>
              </w:numPr>
              <w:ind w:firstLine="560" w:firstLineChars="200"/>
              <w:rPr>
                <w:rFonts w:hint="default" w:ascii="仿宋_GB2312" w:hAnsi="华文楷体" w:eastAsia="仿宋_GB2312" w:cs="宋体"/>
                <w:b w:val="0"/>
                <w:color w:val="auto"/>
                <w:kern w:val="0"/>
                <w:sz w:val="28"/>
                <w:szCs w:val="28"/>
                <w:lang w:val="en-US" w:eastAsia="zh-CN" w:bidi="ar-SA"/>
              </w:rPr>
            </w:pPr>
            <w:r>
              <w:rPr>
                <w:rFonts w:hint="default" w:ascii="仿宋_GB2312" w:hAnsi="华文楷体" w:eastAsia="仿宋_GB2312" w:cs="宋体"/>
                <w:b w:val="0"/>
                <w:color w:val="auto"/>
                <w:kern w:val="0"/>
                <w:sz w:val="28"/>
                <w:szCs w:val="28"/>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理赔时效承诺时间最短者得4分，第二名得3.2分，第三名得2.8分，三名以外均得2.4分</w:t>
            </w:r>
          </w:p>
          <w:p>
            <w:p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（2）现场踏勘（4分）</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所有参与询价单位承诺，保险责任事故发生并接到投保人报险电话后，保险公司查勘员到达现场进行现场踏勘工作时效排名，时间最短者得4分，第二名得3.2分，第三名得2.8分，三名以外均得2.4分。</w:t>
            </w:r>
          </w:p>
          <w:p>
            <w:pPr>
              <w:pStyle w:val="2"/>
              <w:rPr>
                <w:rFonts w:hint="default"/>
                <w:b/>
                <w:bCs/>
                <w:sz w:val="28"/>
                <w:szCs w:val="22"/>
                <w:lang w:val="en-US" w:eastAsia="zh-CN"/>
              </w:rPr>
            </w:pPr>
            <w:r>
              <w:rPr>
                <w:rFonts w:hint="eastAsia" w:ascii="仿宋_GB2312" w:hAnsi="华文楷体" w:eastAsia="仿宋_GB2312" w:cs="宋体"/>
                <w:b/>
                <w:bCs/>
                <w:color w:val="auto"/>
                <w:kern w:val="0"/>
                <w:sz w:val="24"/>
                <w:szCs w:val="24"/>
                <w:lang w:val="en-US" w:eastAsia="zh-CN" w:bidi="ar-SA"/>
              </w:rPr>
              <w:t>备注：当多个询价单位承诺一致时，采用并列排名。</w:t>
            </w:r>
          </w:p>
          <w:p>
            <w:pPr>
              <w:rPr>
                <w:rFonts w:hint="default"/>
                <w:lang w:val="en-US" w:eastAsia="zh-CN"/>
              </w:rPr>
            </w:pPr>
          </w:p>
        </w:tc>
      </w:tr>
    </w:tbl>
    <w:p>
      <w:pPr>
        <w:widowControl/>
        <w:jc w:val="left"/>
        <w:rPr>
          <w:rFonts w:ascii="仿宋_GB2312" w:hAnsi="华文楷体" w:eastAsia="仿宋_GB2312"/>
        </w:rPr>
      </w:pPr>
    </w:p>
    <w:p>
      <w:pPr>
        <w:rPr>
          <w:rFonts w:ascii="宋体" w:hAnsi="宋体"/>
          <w:bCs/>
          <w:sz w:val="24"/>
        </w:rPr>
      </w:pPr>
      <w:r>
        <w:rPr>
          <w:rFonts w:ascii="宋体" w:hAnsi="宋体"/>
          <w:bCs/>
          <w:sz w:val="24"/>
        </w:rPr>
        <w:br w:type="page"/>
      </w:r>
    </w:p>
    <w:p>
      <w:pPr>
        <w:pStyle w:val="3"/>
        <w:jc w:val="center"/>
        <w:rPr>
          <w:rFonts w:hint="eastAsia"/>
          <w:highlight w:val="none"/>
          <w:lang w:eastAsia="zh-CN"/>
        </w:rPr>
      </w:pPr>
      <w:bookmarkStart w:id="46" w:name="_Toc2277"/>
      <w:r>
        <w:rPr>
          <w:rFonts w:hint="eastAsia"/>
          <w:highlight w:val="none"/>
          <w:lang w:eastAsia="zh-CN"/>
        </w:rPr>
        <w:t>第</w:t>
      </w:r>
      <w:r>
        <w:rPr>
          <w:rFonts w:hint="eastAsia"/>
          <w:highlight w:val="none"/>
          <w:lang w:val="en-US" w:eastAsia="zh-CN"/>
        </w:rPr>
        <w:t>三</w:t>
      </w:r>
      <w:r>
        <w:rPr>
          <w:rFonts w:hint="eastAsia"/>
          <w:highlight w:val="none"/>
          <w:lang w:eastAsia="zh-CN"/>
        </w:rPr>
        <w:t>章 保险条件</w:t>
      </w:r>
      <w:bookmarkEnd w:id="46"/>
    </w:p>
    <w:p>
      <w:pPr>
        <w:pStyle w:val="4"/>
        <w:rPr>
          <w:rFonts w:hint="eastAsia"/>
          <w:color w:val="auto"/>
          <w:highlight w:val="none"/>
          <w:lang w:eastAsia="zh-CN"/>
        </w:rPr>
      </w:pPr>
      <w:bookmarkStart w:id="47" w:name="_Toc21337"/>
      <w:r>
        <w:rPr>
          <w:rFonts w:hint="eastAsia"/>
          <w:color w:val="auto"/>
          <w:highlight w:val="none"/>
          <w:lang w:eastAsia="zh-CN"/>
        </w:rPr>
        <w:t>一、保险协议书</w:t>
      </w:r>
      <w:bookmarkEnd w:id="47"/>
    </w:p>
    <w:p>
      <w:pPr>
        <w:tabs>
          <w:tab w:val="right" w:pos="8951"/>
        </w:tabs>
        <w:adjustRightInd w:val="0"/>
        <w:snapToGrid w:val="0"/>
        <w:spacing w:line="360" w:lineRule="auto"/>
        <w:ind w:firstLine="397" w:firstLineChars="192"/>
        <w:rPr>
          <w:rFonts w:hint="eastAsia" w:ascii="宋体" w:hAnsi="宋体"/>
          <w:b/>
          <w:spacing w:val="-2"/>
          <w:sz w:val="21"/>
          <w:szCs w:val="21"/>
          <w:highlight w:val="none"/>
          <w:lang w:eastAsia="zh-CN"/>
        </w:rPr>
      </w:pPr>
    </w:p>
    <w:p>
      <w:pPr>
        <w:tabs>
          <w:tab w:val="right" w:pos="8951"/>
        </w:tabs>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甲方（投保人）：</w:t>
      </w:r>
    </w:p>
    <w:p>
      <w:pPr>
        <w:spacing w:line="360" w:lineRule="auto"/>
        <w:rPr>
          <w:rFonts w:hint="eastAsia" w:ascii="宋体" w:hAnsi="宋体"/>
          <w:b/>
          <w:spacing w:val="-2"/>
          <w:sz w:val="21"/>
          <w:szCs w:val="21"/>
          <w:highlight w:val="none"/>
          <w:lang w:eastAsia="zh-CN"/>
        </w:rPr>
      </w:pPr>
      <w:r>
        <w:rPr>
          <w:rFonts w:hint="eastAsia" w:ascii="宋体" w:hAnsi="宋体"/>
          <w:b/>
          <w:sz w:val="21"/>
          <w:szCs w:val="21"/>
          <w:highlight w:val="none"/>
          <w:lang w:eastAsia="zh-CN"/>
        </w:rPr>
        <w:t xml:space="preserve">    地址 ：</w:t>
      </w:r>
    </w:p>
    <w:p>
      <w:pPr>
        <w:adjustRightInd w:val="0"/>
        <w:snapToGrid w:val="0"/>
        <w:spacing w:line="360" w:lineRule="auto"/>
        <w:ind w:firstLine="397" w:firstLineChars="192"/>
        <w:rPr>
          <w:rFonts w:hint="eastAsia" w:ascii="宋体" w:hAnsi="宋体"/>
          <w:b/>
          <w:spacing w:val="-2"/>
          <w:sz w:val="21"/>
          <w:szCs w:val="21"/>
          <w:highlight w:val="none"/>
          <w:lang w:eastAsia="zh-CN"/>
        </w:rPr>
      </w:pPr>
    </w:p>
    <w:p>
      <w:pPr>
        <w:adjustRightInd w:val="0"/>
        <w:snapToGrid w:val="0"/>
        <w:spacing w:line="360" w:lineRule="auto"/>
        <w:ind w:firstLine="397" w:firstLineChars="192"/>
        <w:rPr>
          <w:rFonts w:hint="eastAsia" w:ascii="宋体" w:hAnsi="宋体"/>
          <w:b/>
          <w:spacing w:val="-2"/>
          <w:sz w:val="21"/>
          <w:szCs w:val="21"/>
          <w:highlight w:val="none"/>
          <w:lang w:eastAsia="zh-CN"/>
        </w:rPr>
      </w:pPr>
      <w:r>
        <w:rPr>
          <w:rFonts w:hint="eastAsia" w:ascii="宋体" w:hAnsi="宋体"/>
          <w:b/>
          <w:spacing w:val="-2"/>
          <w:sz w:val="21"/>
          <w:szCs w:val="21"/>
          <w:highlight w:val="none"/>
          <w:lang w:eastAsia="zh-CN"/>
        </w:rPr>
        <w:t xml:space="preserve">乙方（保险人）： </w:t>
      </w:r>
    </w:p>
    <w:p>
      <w:pPr>
        <w:adjustRightInd w:val="0"/>
        <w:snapToGrid w:val="0"/>
        <w:spacing w:line="360" w:lineRule="auto"/>
        <w:ind w:firstLine="397" w:firstLineChars="192"/>
        <w:rPr>
          <w:rFonts w:hint="eastAsia"/>
          <w:highlight w:val="none"/>
          <w:lang w:eastAsia="zh-CN"/>
        </w:rPr>
      </w:pPr>
      <w:r>
        <w:rPr>
          <w:rFonts w:hint="eastAsia" w:ascii="宋体" w:hAnsi="宋体"/>
          <w:b/>
          <w:spacing w:val="-2"/>
          <w:sz w:val="21"/>
          <w:szCs w:val="21"/>
          <w:highlight w:val="none"/>
          <w:lang w:eastAsia="zh-CN"/>
        </w:rPr>
        <w:t xml:space="preserve">地址： </w:t>
      </w:r>
    </w:p>
    <w:p>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甲方、乙方本着自愿、平等、互</w:t>
      </w:r>
      <w:r>
        <w:rPr>
          <w:rFonts w:hint="eastAsia" w:ascii="宋体" w:hAnsi="宋体" w:eastAsia="宋体" w:cs="Times New Roman"/>
          <w:sz w:val="21"/>
          <w:szCs w:val="21"/>
          <w:highlight w:val="none"/>
          <w:lang w:eastAsia="zh-CN"/>
        </w:rPr>
        <w:t>利和诚实信用的原则，经充分协商，就</w:t>
      </w:r>
      <w:r>
        <w:rPr>
          <w:rFonts w:hint="eastAsia" w:ascii="宋体" w:hAnsi="宋体" w:cs="Times New Roman"/>
          <w:sz w:val="21"/>
          <w:szCs w:val="21"/>
          <w:highlight w:val="none"/>
          <w:lang w:val="en-US" w:eastAsia="zh-CN"/>
        </w:rPr>
        <w:t>江西联兴公路工程有限公司</w:t>
      </w:r>
      <w:r>
        <w:rPr>
          <w:rFonts w:hint="eastAsia" w:ascii="宋体" w:hAnsi="宋体" w:eastAsia="宋体" w:cs="Times New Roman"/>
          <w:sz w:val="21"/>
          <w:szCs w:val="21"/>
          <w:highlight w:val="none"/>
          <w:lang w:eastAsia="zh-CN"/>
        </w:rPr>
        <w:t>通过公开</w:t>
      </w:r>
      <w:r>
        <w:rPr>
          <w:rFonts w:hint="eastAsia" w:ascii="宋体" w:hAnsi="宋体" w:cs="Times New Roman"/>
          <w:sz w:val="21"/>
          <w:szCs w:val="21"/>
          <w:highlight w:val="none"/>
          <w:lang w:val="en-US" w:eastAsia="zh-CN"/>
        </w:rPr>
        <w:t>询价</w:t>
      </w:r>
      <w:r>
        <w:rPr>
          <w:rFonts w:hint="eastAsia" w:ascii="宋体" w:hAnsi="宋体" w:eastAsia="宋体" w:cs="Times New Roman"/>
          <w:sz w:val="21"/>
          <w:szCs w:val="21"/>
          <w:highlight w:val="none"/>
          <w:lang w:eastAsia="zh-CN"/>
        </w:rPr>
        <w:t>方式为龙杨高速省界收费站改建停车区项目土建工程建筑工程一切险</w:t>
      </w:r>
      <w:r>
        <w:rPr>
          <w:rFonts w:hint="eastAsia" w:ascii="宋体" w:hAnsi="宋体" w:cs="Times New Roman"/>
          <w:sz w:val="21"/>
          <w:szCs w:val="21"/>
          <w:highlight w:val="none"/>
          <w:lang w:eastAsia="zh-CN"/>
        </w:rPr>
        <w:t>、</w:t>
      </w:r>
      <w:r>
        <w:rPr>
          <w:rFonts w:hint="eastAsia" w:ascii="宋体" w:hAnsi="宋体" w:eastAsia="宋体" w:cs="Times New Roman"/>
          <w:sz w:val="21"/>
          <w:szCs w:val="21"/>
          <w:highlight w:val="none"/>
          <w:lang w:eastAsia="zh-CN"/>
        </w:rPr>
        <w:t>第三者责任险</w:t>
      </w:r>
      <w:r>
        <w:rPr>
          <w:rFonts w:hint="eastAsia" w:ascii="宋体" w:hAnsi="宋体" w:cs="Times New Roman"/>
          <w:sz w:val="21"/>
          <w:szCs w:val="21"/>
          <w:highlight w:val="none"/>
          <w:lang w:val="en-US" w:eastAsia="zh-CN"/>
        </w:rPr>
        <w:t>及第三者责任险</w:t>
      </w:r>
      <w:r>
        <w:rPr>
          <w:rFonts w:hint="eastAsia" w:ascii="宋体" w:hAnsi="宋体" w:eastAsia="宋体" w:cs="Times New Roman"/>
          <w:sz w:val="21"/>
          <w:szCs w:val="21"/>
          <w:highlight w:val="none"/>
          <w:lang w:eastAsia="zh-CN"/>
        </w:rPr>
        <w:t>达成本保险协议。</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1.1 本合同组成文件</w:t>
      </w:r>
    </w:p>
    <w:p>
      <w:pPr>
        <w:spacing w:after="0" w:line="360" w:lineRule="auto"/>
        <w:ind w:firstLine="414" w:firstLineChars="200"/>
        <w:rPr>
          <w:rFonts w:hint="eastAsia" w:ascii="宋体" w:hAnsi="宋体"/>
          <w:bCs/>
          <w:spacing w:val="-2"/>
          <w:sz w:val="21"/>
          <w:szCs w:val="21"/>
          <w:highlight w:val="none"/>
          <w:lang w:eastAsia="zh-CN"/>
        </w:rPr>
      </w:pPr>
      <w:r>
        <w:rPr>
          <w:rFonts w:hint="eastAsia" w:ascii="宋体" w:hAnsi="宋体"/>
          <w:b/>
          <w:bCs/>
          <w:spacing w:val="-2"/>
          <w:sz w:val="21"/>
          <w:szCs w:val="21"/>
          <w:highlight w:val="none"/>
          <w:lang w:eastAsia="zh-CN"/>
        </w:rPr>
        <w:t>1.1.1</w:t>
      </w:r>
      <w:r>
        <w:rPr>
          <w:rFonts w:hint="eastAsia" w:ascii="宋体" w:hAnsi="宋体"/>
          <w:bCs/>
          <w:spacing w:val="-2"/>
          <w:sz w:val="21"/>
          <w:szCs w:val="21"/>
          <w:highlight w:val="none"/>
          <w:lang w:eastAsia="zh-CN"/>
        </w:rPr>
        <w:t xml:space="preserve">  下述文件共同组成本合同：</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（1）批单；</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（2）本保险协议书；</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（3）保险单；</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（4）投保单；</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（5）中标通知书；</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（6）</w:t>
      </w:r>
      <w:r>
        <w:rPr>
          <w:rFonts w:hint="eastAsia" w:ascii="宋体" w:hAnsi="宋体"/>
          <w:bCs/>
          <w:spacing w:val="-2"/>
          <w:sz w:val="21"/>
          <w:szCs w:val="21"/>
          <w:highlight w:val="none"/>
          <w:lang w:val="en-US" w:eastAsia="zh-CN"/>
        </w:rPr>
        <w:t>报价</w:t>
      </w:r>
      <w:r>
        <w:rPr>
          <w:rFonts w:hint="eastAsia" w:ascii="宋体" w:hAnsi="宋体"/>
          <w:bCs/>
          <w:spacing w:val="-2"/>
          <w:sz w:val="21"/>
          <w:szCs w:val="21"/>
          <w:highlight w:val="none"/>
          <w:lang w:eastAsia="zh-CN"/>
        </w:rPr>
        <w:t>文件（含澄清文件及承诺）；</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（7）</w:t>
      </w:r>
      <w:r>
        <w:rPr>
          <w:rFonts w:hint="eastAsia" w:ascii="宋体" w:hAnsi="宋体"/>
          <w:bCs/>
          <w:spacing w:val="-2"/>
          <w:sz w:val="21"/>
          <w:szCs w:val="21"/>
          <w:highlight w:val="none"/>
          <w:lang w:val="en-US" w:eastAsia="zh-CN"/>
        </w:rPr>
        <w:t>询价</w:t>
      </w:r>
      <w:r>
        <w:rPr>
          <w:rFonts w:hint="eastAsia" w:ascii="宋体" w:hAnsi="宋体"/>
          <w:bCs/>
          <w:spacing w:val="-2"/>
          <w:sz w:val="21"/>
          <w:szCs w:val="21"/>
          <w:highlight w:val="none"/>
          <w:lang w:eastAsia="zh-CN"/>
        </w:rPr>
        <w:t>文件（含招标文件补充通知）；</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（8）形成合同的其他有关文件。</w:t>
      </w:r>
    </w:p>
    <w:p>
      <w:pPr>
        <w:spacing w:after="0" w:line="360" w:lineRule="auto"/>
        <w:ind w:firstLine="420" w:firstLineChars="200"/>
        <w:rPr>
          <w:rFonts w:hint="eastAsia" w:ascii="宋体" w:hAnsi="宋体"/>
          <w:bCs/>
          <w:spacing w:val="-2"/>
          <w:sz w:val="21"/>
          <w:szCs w:val="21"/>
          <w:highlight w:val="none"/>
          <w:lang w:eastAsia="zh-CN"/>
        </w:rPr>
      </w:pPr>
      <w:r>
        <w:rPr>
          <w:rFonts w:hint="eastAsia" w:ascii="宋体" w:hAnsi="宋体"/>
          <w:sz w:val="21"/>
          <w:szCs w:val="21"/>
          <w:highlight w:val="none"/>
          <w:lang w:eastAsia="zh-CN"/>
        </w:rPr>
        <w:t>上述文件应互为补充和解释，如有不清或互相矛盾之处，以上面所列文件顺序在前的为准，甲、乙双方另有明确约定的情况除外。</w:t>
      </w:r>
    </w:p>
    <w:p>
      <w:pPr>
        <w:spacing w:after="0" w:line="360" w:lineRule="auto"/>
        <w:ind w:firstLine="412" w:firstLineChars="200"/>
        <w:rPr>
          <w:rFonts w:hint="eastAsia" w:ascii="宋体" w:hAnsi="宋体"/>
          <w:bCs/>
          <w:spacing w:val="-2"/>
          <w:sz w:val="21"/>
          <w:szCs w:val="21"/>
          <w:highlight w:val="none"/>
          <w:lang w:eastAsia="zh-CN"/>
        </w:rPr>
      </w:pPr>
      <w:r>
        <w:rPr>
          <w:rFonts w:hint="eastAsia" w:ascii="宋体" w:hAnsi="宋体"/>
          <w:bCs/>
          <w:spacing w:val="-2"/>
          <w:sz w:val="21"/>
          <w:szCs w:val="21"/>
          <w:highlight w:val="none"/>
          <w:lang w:eastAsia="zh-CN"/>
        </w:rPr>
        <w:t>1.1.2 在本保险合同终止前经甲、乙双方共同签署确认的对本保险合同的补充与修正文件将作为本协议的有效组成部分，效力优于第1.1.1款所列全部文件。</w:t>
      </w:r>
    </w:p>
    <w:p>
      <w:pPr>
        <w:spacing w:after="0" w:line="360" w:lineRule="auto"/>
        <w:ind w:firstLine="422" w:firstLineChars="200"/>
        <w:rPr>
          <w:rFonts w:hint="eastAsia" w:ascii="宋体" w:hAnsi="宋体"/>
          <w:b/>
          <w:bCs/>
          <w:spacing w:val="-2"/>
          <w:sz w:val="21"/>
          <w:szCs w:val="21"/>
          <w:highlight w:val="none"/>
          <w:lang w:eastAsia="zh-CN"/>
        </w:rPr>
      </w:pPr>
      <w:r>
        <w:rPr>
          <w:rFonts w:hint="eastAsia" w:ascii="宋体" w:hAnsi="宋体"/>
          <w:b/>
          <w:szCs w:val="21"/>
          <w:highlight w:val="none"/>
          <w:lang w:eastAsia="zh-CN"/>
        </w:rPr>
        <w:t>1.</w:t>
      </w:r>
      <w:r>
        <w:rPr>
          <w:rFonts w:hint="eastAsia" w:ascii="宋体" w:hAnsi="宋体"/>
          <w:b/>
          <w:szCs w:val="21"/>
          <w:highlight w:val="none"/>
          <w:lang w:val="en-US" w:eastAsia="zh-CN"/>
        </w:rPr>
        <w:t>2</w:t>
      </w:r>
      <w:r>
        <w:rPr>
          <w:rFonts w:hint="eastAsia" w:ascii="宋体" w:hAnsi="宋体"/>
          <w:b/>
          <w:szCs w:val="21"/>
          <w:highlight w:val="none"/>
          <w:lang w:eastAsia="zh-CN"/>
        </w:rPr>
        <w:t xml:space="preserve"> </w:t>
      </w:r>
      <w:r>
        <w:rPr>
          <w:rFonts w:hint="eastAsia" w:ascii="宋体" w:hAnsi="宋体"/>
          <w:b/>
          <w:bCs/>
          <w:spacing w:val="-2"/>
          <w:sz w:val="21"/>
          <w:szCs w:val="21"/>
          <w:highlight w:val="none"/>
          <w:lang w:eastAsia="zh-CN"/>
        </w:rPr>
        <w:t>投保出单</w:t>
      </w:r>
    </w:p>
    <w:p>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由甲方向乙方办理投保手续，乙方根据本保险协议的承保方案及承保条件并经甲方确认后出具正式保险单，若保险单有关条款与本协议存在矛盾或不一致之处，应按本协议的规定优先执行。</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保险费及保险条件</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.1 保险费：</w:t>
      </w:r>
    </w:p>
    <w:p>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保险费：RMB___________元</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4</w:t>
      </w:r>
      <w:r>
        <w:rPr>
          <w:rFonts w:hint="eastAsia" w:ascii="宋体" w:hAnsi="宋体"/>
          <w:b/>
          <w:bCs/>
          <w:spacing w:val="-2"/>
          <w:sz w:val="21"/>
          <w:szCs w:val="21"/>
          <w:highlight w:val="none"/>
          <w:lang w:eastAsia="zh-CN"/>
        </w:rPr>
        <w:t xml:space="preserve"> 保险费支付方式</w:t>
      </w:r>
    </w:p>
    <w:p>
      <w:pPr>
        <w:spacing w:line="420" w:lineRule="exact"/>
        <w:ind w:firstLine="480" w:firstLineChars="200"/>
        <w:outlineLvl w:val="1"/>
        <w:rPr>
          <w:rFonts w:hint="eastAsia" w:ascii="宋体" w:hAnsi="宋体" w:cs="Times New Roman"/>
          <w:bCs/>
          <w:sz w:val="24"/>
        </w:rPr>
      </w:pPr>
      <w:r>
        <w:rPr>
          <w:rFonts w:hint="eastAsia" w:ascii="宋体" w:hAnsi="宋体" w:cs="Times New Roman"/>
          <w:bCs/>
          <w:sz w:val="24"/>
          <w:lang w:val="en-US" w:eastAsia="zh-CN"/>
        </w:rPr>
        <w:t>合同签订完成，并提供有效的增值税专用发票后一次性付款。</w:t>
      </w:r>
    </w:p>
    <w:p>
      <w:pPr>
        <w:spacing w:after="0" w:line="360" w:lineRule="auto"/>
        <w:rPr>
          <w:rFonts w:hint="eastAsia" w:ascii="宋体" w:hAnsi="宋体"/>
          <w:bCs/>
          <w:sz w:val="21"/>
          <w:szCs w:val="21"/>
          <w:highlight w:val="none"/>
          <w:lang w:eastAsia="zh-CN"/>
        </w:rPr>
      </w:pP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服务条款</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 专项服务小组的建立</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专门成立本保险项目专项服务小组，在保险生效后立即投入正式运作，任何有关的保险服务事宜，甲方只需与乙方为本保险项目成立的专项服务小组联系即可，专项服务小组成员必须受理并积极协调内部具体负责人员负责落实，不得推诿拖延。专项服务小组成员如有更换应提前通知甲方。</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专项服务小组应由组长（由乙方的相关领导担任，负责项目的总体管理）、组员（专职负责承保、理赔、风险管理等工作）构成。</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专项服务小组的人员组成及各自职责应在本协议签署时同时提供。</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0" w:type="dxa"/>
          <w:bottom w:w="0" w:type="dxa"/>
          <w:right w:w="0" w:type="dxa"/>
        </w:tblCellMar>
      </w:tblPr>
      <w:tblGrid>
        <w:gridCol w:w="1562"/>
        <w:gridCol w:w="1563"/>
        <w:gridCol w:w="1562"/>
        <w:gridCol w:w="1563"/>
        <w:gridCol w:w="1562"/>
        <w:gridCol w:w="1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9375" w:type="dxa"/>
            <w:gridSpan w:val="6"/>
            <w:tcBorders>
              <w:top w:val="single" w:color="auto" w:sz="12" w:space="0"/>
              <w:bottom w:val="single" w:color="auto" w:sz="4" w:space="0"/>
            </w:tcBorders>
            <w:shd w:val="clear" w:color="auto" w:fill="CCCCCC"/>
            <w:noWrap w:val="0"/>
            <w:vAlign w:val="center"/>
          </w:tcPr>
          <w:p>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lang w:eastAsia="zh-CN"/>
              </w:rPr>
              <w:t>（保险人名称）</w:t>
            </w:r>
          </w:p>
          <w:p>
            <w:pPr>
              <w:spacing w:after="0" w:line="480" w:lineRule="exact"/>
              <w:jc w:val="center"/>
              <w:rPr>
                <w:rFonts w:ascii="宋体" w:hAnsi="宋体" w:eastAsia="宋体"/>
                <w:b/>
                <w:sz w:val="21"/>
                <w:szCs w:val="21"/>
                <w:highlight w:val="none"/>
                <w:lang w:eastAsia="zh-CN"/>
              </w:rPr>
            </w:pPr>
            <w:r>
              <w:rPr>
                <w:rFonts w:ascii="宋体" w:hAnsi="宋体" w:eastAsia="宋体"/>
                <w:b/>
                <w:sz w:val="21"/>
                <w:szCs w:val="21"/>
                <w:highlight w:val="none"/>
                <w:lang w:eastAsia="zh-CN"/>
              </w:rPr>
              <w:t>（项目名称）保险服务小组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563"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562"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563"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562"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563"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tcBorders>
              <w:top w:val="single" w:color="auto" w:sz="4" w:space="0"/>
            </w:tcBorders>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563"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562"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563"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563" w:type="dxa"/>
            <w:noWrap w:val="0"/>
            <w:vAlign w:val="center"/>
          </w:tcPr>
          <w:p>
            <w:pPr>
              <w:spacing w:after="0" w:line="480" w:lineRule="exact"/>
              <w:jc w:val="center"/>
              <w:rPr>
                <w:rFonts w:ascii="宋体" w:hAnsi="宋体" w:eastAsia="宋体"/>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563" w:type="dxa"/>
            <w:noWrap w:val="0"/>
            <w:vAlign w:val="center"/>
          </w:tcPr>
          <w:p>
            <w:pPr>
              <w:spacing w:after="0" w:line="480" w:lineRule="exact"/>
              <w:jc w:val="center"/>
              <w:rPr>
                <w:rFonts w:ascii="宋体" w:hAnsi="宋体" w:eastAsia="宋体"/>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563" w:type="dxa"/>
            <w:noWrap w:val="0"/>
            <w:vAlign w:val="center"/>
          </w:tcPr>
          <w:p>
            <w:pPr>
              <w:spacing w:after="0" w:line="480" w:lineRule="exact"/>
              <w:jc w:val="center"/>
              <w:rPr>
                <w:rFonts w:ascii="宋体" w:hAnsi="宋体" w:eastAsia="宋体"/>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563" w:type="dxa"/>
            <w:noWrap w:val="0"/>
            <w:vAlign w:val="center"/>
          </w:tcPr>
          <w:p>
            <w:pPr>
              <w:spacing w:after="0" w:line="480" w:lineRule="exact"/>
              <w:jc w:val="center"/>
              <w:rPr>
                <w:rFonts w:ascii="宋体" w:hAnsi="宋体" w:eastAsia="宋体"/>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563" w:type="dxa"/>
            <w:noWrap w:val="0"/>
            <w:vAlign w:val="center"/>
          </w:tcPr>
          <w:p>
            <w:pPr>
              <w:spacing w:after="0" w:line="480" w:lineRule="exact"/>
              <w:jc w:val="center"/>
              <w:rPr>
                <w:rFonts w:ascii="宋体" w:hAnsi="宋体" w:eastAsia="宋体"/>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563" w:type="dxa"/>
            <w:noWrap w:val="0"/>
            <w:vAlign w:val="center"/>
          </w:tcPr>
          <w:p>
            <w:pPr>
              <w:spacing w:after="0" w:line="480" w:lineRule="exact"/>
              <w:jc w:val="center"/>
              <w:rPr>
                <w:rFonts w:ascii="宋体" w:hAnsi="宋体" w:eastAsia="宋体"/>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56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563" w:type="dxa"/>
            <w:noWrap w:val="0"/>
            <w:vAlign w:val="center"/>
          </w:tcPr>
          <w:p>
            <w:pPr>
              <w:spacing w:after="0" w:line="480" w:lineRule="exact"/>
              <w:jc w:val="center"/>
              <w:rPr>
                <w:rFonts w:ascii="宋体" w:hAnsi="宋体" w:eastAsia="宋体"/>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562" w:type="dxa"/>
            <w:noWrap w:val="0"/>
            <w:vAlign w:val="center"/>
          </w:tcPr>
          <w:p>
            <w:pPr>
              <w:spacing w:after="0" w:line="480" w:lineRule="exact"/>
              <w:jc w:val="center"/>
              <w:rPr>
                <w:rFonts w:ascii="宋体" w:hAnsi="宋体" w:eastAsia="宋体"/>
                <w:sz w:val="21"/>
                <w:szCs w:val="21"/>
                <w:highlight w:val="none"/>
              </w:rPr>
            </w:pPr>
          </w:p>
        </w:tc>
        <w:tc>
          <w:tcPr>
            <w:tcW w:w="1563"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9375" w:type="dxa"/>
            <w:gridSpan w:val="6"/>
            <w:tcBorders>
              <w:bottom w:val="single" w:color="auto" w:sz="4" w:space="0"/>
            </w:tcBorders>
            <w:noWrap w:val="0"/>
            <w:vAlign w:val="center"/>
          </w:tcPr>
          <w:p>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pPr>
              <w:pStyle w:val="6"/>
              <w:snapToGrid w:val="0"/>
              <w:spacing w:after="0" w:line="264" w:lineRule="auto"/>
              <w:rPr>
                <w:rFonts w:hint="eastAsia" w:ascii="宋体" w:hAnsi="宋体" w:eastAsia="宋体"/>
                <w:szCs w:val="21"/>
                <w:highlight w:val="none"/>
                <w:lang w:bidi="en-US"/>
              </w:rPr>
            </w:pPr>
            <w:r>
              <w:rPr>
                <w:rFonts w:ascii="宋体" w:hAnsi="宋体" w:eastAsia="宋体"/>
                <w:szCs w:val="21"/>
                <w:highlight w:val="none"/>
                <w:lang w:bidi="en-US"/>
              </w:rPr>
              <w:t>联系地址：                                  邮编：</w:t>
            </w:r>
          </w:p>
          <w:p>
            <w:pPr>
              <w:pStyle w:val="6"/>
              <w:snapToGrid w:val="0"/>
              <w:spacing w:after="0" w:line="264" w:lineRule="auto"/>
              <w:rPr>
                <w:rFonts w:ascii="宋体" w:hAnsi="宋体" w:eastAsia="宋体"/>
                <w:szCs w:val="21"/>
                <w:highlight w:val="none"/>
                <w:lang w:eastAsia="en-US" w:bidi="en-US"/>
              </w:rPr>
            </w:pPr>
            <w:r>
              <w:rPr>
                <w:rFonts w:hint="eastAsia" w:ascii="宋体" w:hAnsi="宋体" w:eastAsia="宋体"/>
                <w:szCs w:val="21"/>
                <w:highlight w:val="none"/>
                <w:lang w:eastAsia="en-US" w:bidi="en-US"/>
              </w:rPr>
              <w:t>…………</w:t>
            </w:r>
          </w:p>
        </w:tc>
      </w:tr>
    </w:tbl>
    <w:p>
      <w:pPr>
        <w:spacing w:line="360" w:lineRule="auto"/>
        <w:rPr>
          <w:rFonts w:hint="eastAsia" w:ascii="宋体" w:hAnsi="宋体"/>
          <w:b/>
          <w:sz w:val="21"/>
          <w:szCs w:val="21"/>
          <w:highlight w:val="none"/>
          <w:lang w:eastAsia="zh-CN"/>
        </w:rPr>
      </w:pPr>
      <w:r>
        <w:rPr>
          <w:rFonts w:hint="eastAsia" w:ascii="宋体" w:hAnsi="宋体"/>
          <w:b/>
          <w:sz w:val="21"/>
          <w:szCs w:val="21"/>
          <w:highlight w:val="none"/>
          <w:lang w:eastAsia="zh-CN"/>
        </w:rPr>
        <w:t>表格可自行延展，但必须包含上表内容。</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 客户服务专线的设立</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乙方设立本保险客户服务专线及专人负责手机电话（联系人</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，联系电话：__________），提供24小时受理报案服务及保险理赔咨询服务。</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客服专线号码：___________</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3</w:t>
      </w:r>
      <w:r>
        <w:rPr>
          <w:rFonts w:hint="eastAsia" w:ascii="宋体" w:hAnsi="宋体"/>
          <w:b/>
          <w:bCs/>
          <w:spacing w:val="-2"/>
          <w:sz w:val="21"/>
          <w:szCs w:val="21"/>
          <w:highlight w:val="none"/>
          <w:lang w:eastAsia="zh-CN"/>
        </w:rPr>
        <w:t xml:space="preserve"> 投保服务</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乙方应协助甲方办理相关投保手续，并及时送达保险合同、保费发票等。</w:t>
      </w:r>
    </w:p>
    <w:p>
      <w:pPr>
        <w:spacing w:after="0" w:line="360" w:lineRule="auto"/>
        <w:ind w:firstLine="414" w:firstLineChars="200"/>
        <w:rPr>
          <w:rFonts w:hint="eastAsia" w:ascii="宋体" w:hAnsi="宋体"/>
          <w:b/>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4</w:t>
      </w:r>
      <w:r>
        <w:rPr>
          <w:rFonts w:hint="eastAsia" w:ascii="宋体" w:hAnsi="宋体"/>
          <w:b/>
          <w:sz w:val="21"/>
          <w:szCs w:val="21"/>
          <w:highlight w:val="none"/>
          <w:lang w:eastAsia="zh-CN"/>
        </w:rPr>
        <w:t>防灾防损和安全管理</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在保险期间，乙方应为被保险人提供防灾防损及安全管理服务。</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（1）工程施工期间，乙方应协助被保险人对施工现场进行日常防灾防损检查并及时向被保险人提交专业的防灾、防损建议；</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乙方在做好工程所在地自然灾害认识及分析评价的基础上，有针对性地向被保险人提供预防措施，协助被保险人在每年雨季、台风季节、冬季重点做好突发性洪水、台风、干燥天气、易发火灾及雪灾引起重大损失的防范工作；</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乙方在保险期内，应派风险管理顾问定期到现场（每年不少于二次，另外，每一工程重大施工节点至少提供一次现场的风险评估服务）对施工单位进行现场风险管理咨询服务，协助被保险人完善和执行一般和重大事故应急预案和报告程序，协助被保险人进行防灾防损，在气象预报自然灾害发生前协助被保险人采取必要的措施做好相应的防范；</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（4）根据项目施工进度，积极与气象、水文、地震等部门联络，建立气象及地震灾害预警系统，提供灾害防御服务；</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（5）乙方应对被保险人进行现场救护知识宣传；</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（6）上述保险服务不免除保险人的赔偿责任。</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 xml:space="preserve"> 理赔服务</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.1接报案</w:t>
      </w:r>
    </w:p>
    <w:p>
      <w:pPr>
        <w:spacing w:after="0"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发生保险事故后，乙方在接到甲方报案后，应</w:t>
      </w:r>
      <w:r>
        <w:rPr>
          <w:rFonts w:hint="eastAsia" w:ascii="宋体" w:hAnsi="宋体" w:eastAsia="宋体" w:cs="Times New Roman"/>
          <w:sz w:val="21"/>
          <w:szCs w:val="21"/>
          <w:highlight w:val="none"/>
          <w:lang w:eastAsia="zh-CN"/>
        </w:rPr>
        <w:t>在1小时内提出处理意见，并回复是否前往现场查勘。如果乙方未按上述规定进行回复，则表示不去现场查勘并同意以甲方提供的索赔材料为理赔依据。</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.2现场查勘</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乙方在接到甲方的报案后，应</w:t>
      </w:r>
      <w:r>
        <w:rPr>
          <w:rFonts w:hint="eastAsia" w:ascii="宋体" w:hAnsi="宋体" w:eastAsia="宋体" w:cs="Times New Roman"/>
          <w:sz w:val="21"/>
          <w:szCs w:val="21"/>
          <w:highlight w:val="none"/>
          <w:lang w:eastAsia="zh-CN"/>
        </w:rPr>
        <w:t>与被保险人约定到达现场的预估时间。若保险人代表超出预估时间</w:t>
      </w:r>
      <w:r>
        <w:rPr>
          <w:rFonts w:hint="eastAsia" w:ascii="宋体" w:hAnsi="宋体" w:cs="Times New Roman"/>
          <w:sz w:val="21"/>
          <w:szCs w:val="21"/>
          <w:highlight w:val="none"/>
          <w:u w:val="single"/>
          <w:lang w:val="en-US" w:eastAsia="zh-CN"/>
        </w:rPr>
        <w:t xml:space="preserve">  （同技术文件承诺）   </w:t>
      </w:r>
      <w:r>
        <w:rPr>
          <w:rFonts w:hint="eastAsia" w:ascii="宋体" w:hAnsi="宋体" w:eastAsia="宋体" w:cs="Times New Roman"/>
          <w:sz w:val="21"/>
          <w:szCs w:val="21"/>
          <w:highlight w:val="none"/>
          <w:lang w:eastAsia="zh-CN"/>
        </w:rPr>
        <w:t>小时未赶到现场，被保险人可根据工程损失现状及检验需要，事故现场在拍照保留证据后不再保留。同时乙方不得以被保险人未保留现场为由拒赔。</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.3索赔材料认定</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在接到甲方提交的索赔材料（《工程险索赔资料清单》）后应立即审查核实，若认为有关证明和材料不完整，应立即以书面或口头方式一次性通知甲方应补充提供的有关证明或资料，若在接到索赔资料后3个工作日内未提出有关审核意见，则视为乙方认可索赔资料完整。</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乙方应当尽量简化理赔程序，严格按照本协议所附《工程险索赔资料清单》要求收集甲方索赔材料，不得加重甲方的举证责任。</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.4定责定损</w:t>
      </w:r>
    </w:p>
    <w:p>
      <w:pPr>
        <w:spacing w:after="0" w:line="360" w:lineRule="auto"/>
        <w:ind w:firstLine="420" w:firstLineChars="200"/>
        <w:rPr>
          <w:rFonts w:hint="eastAsia" w:ascii="宋体" w:hAnsi="宋体"/>
          <w:b/>
          <w:bCs/>
          <w:spacing w:val="-2"/>
          <w:sz w:val="21"/>
          <w:szCs w:val="21"/>
          <w:highlight w:val="none"/>
          <w:lang w:eastAsia="zh-CN"/>
        </w:rPr>
      </w:pPr>
      <w:r>
        <w:rPr>
          <w:rFonts w:hint="eastAsia" w:ascii="宋体" w:hAnsi="宋体"/>
          <w:sz w:val="21"/>
          <w:szCs w:val="21"/>
          <w:highlight w:val="none"/>
          <w:lang w:eastAsia="zh-CN"/>
        </w:rPr>
        <w:t>乙方自现场查勘工作结束后，应当及时核定其保险责任和实际损失。如乙方在未按规定去现场查勘的，则自收到甲方的索赔材料后，应当及时核定其保险责任和实际损失。</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.5预付赔款</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发生重大保险事故（估计损失金额超过100万元人民币）后，经查勘属于保险责任，但未能完全确定赔偿金额时，根据甲方的书面申请，乙方应在7个工作日内根据已有证明和资料可以确定的最低数额预付赔偿金（但不得少于预估损失金额的50%）。乙方最终确定赔偿金额和赔付处理意见后，应当支付相应的差额。乙方逾期不予支付预付赔款的，每拖延一日，按应预付金额的千分之一向甲方支付滞纳金，如果乙方不及时支付滞纳金，甲方有权从履约保证金中扣除。若履约保证金全部扣除后，乙方还未及时支付预付赔款，甲方有权向赣州市人民法院提起诉讼且在中国银行保险监督管理委员会备案。</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w:t>
      </w:r>
      <w:r>
        <w:rPr>
          <w:rFonts w:hint="eastAsia" w:ascii="宋体" w:hAnsi="宋体"/>
          <w:b/>
          <w:bCs/>
          <w:spacing w:val="-2"/>
          <w:sz w:val="21"/>
          <w:szCs w:val="21"/>
          <w:highlight w:val="none"/>
          <w:lang w:val="en-US" w:eastAsia="zh-CN"/>
        </w:rPr>
        <w:t>5</w:t>
      </w:r>
      <w:r>
        <w:rPr>
          <w:rFonts w:hint="eastAsia" w:ascii="宋体" w:hAnsi="宋体"/>
          <w:b/>
          <w:bCs/>
          <w:spacing w:val="-2"/>
          <w:sz w:val="21"/>
          <w:szCs w:val="21"/>
          <w:highlight w:val="none"/>
          <w:lang w:eastAsia="zh-CN"/>
        </w:rPr>
        <w:t>.6赔款支付</w:t>
      </w:r>
    </w:p>
    <w:p>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乙方自与甲方就保险赔付达成一致意见并签署相关文件之日起，在以下时限内结案并向甲方支付全部赔款。</w:t>
      </w:r>
    </w:p>
    <w:p>
      <w:pPr>
        <w:spacing w:after="0" w:line="360" w:lineRule="auto"/>
        <w:ind w:firstLine="420" w:firstLineChars="200"/>
        <w:rPr>
          <w:rFonts w:hint="eastAsia" w:ascii="宋体" w:hAnsi="宋体"/>
          <w:bCs/>
          <w:sz w:val="21"/>
          <w:szCs w:val="21"/>
          <w:highlight w:val="none"/>
          <w:lang w:eastAsia="zh-CN"/>
        </w:rPr>
      </w:pPr>
      <w:r>
        <w:rPr>
          <w:rFonts w:hint="eastAsia" w:ascii="宋体" w:hAnsi="宋体"/>
          <w:bCs/>
          <w:sz w:val="21"/>
          <w:szCs w:val="21"/>
          <w:highlight w:val="none"/>
          <w:lang w:eastAsia="zh-CN"/>
        </w:rPr>
        <w:t>(1) 赔款金额在人民币100万元以下，</w:t>
      </w:r>
      <w:r>
        <w:rPr>
          <w:rFonts w:hint="eastAsia" w:ascii="宋体" w:hAnsi="宋体"/>
          <w:bCs/>
          <w:color w:val="0000FF"/>
          <w:sz w:val="21"/>
          <w:szCs w:val="21"/>
          <w:highlight w:val="none"/>
          <w:u w:val="single"/>
          <w:lang w:val="en-US" w:eastAsia="zh-CN"/>
        </w:rPr>
        <w:t xml:space="preserve"> </w:t>
      </w:r>
      <w:r>
        <w:rPr>
          <w:rFonts w:hint="eastAsia" w:ascii="宋体" w:hAnsi="宋体" w:cs="Times New Roman"/>
          <w:color w:val="0000FF"/>
          <w:sz w:val="21"/>
          <w:szCs w:val="21"/>
          <w:highlight w:val="none"/>
          <w:u w:val="single"/>
          <w:lang w:val="en-US" w:eastAsia="zh-CN"/>
        </w:rPr>
        <w:t xml:space="preserve">    </w:t>
      </w:r>
      <w:r>
        <w:rPr>
          <w:rFonts w:hint="eastAsia" w:ascii="宋体" w:hAnsi="宋体"/>
          <w:bCs/>
          <w:color w:val="0000FF"/>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pPr>
        <w:spacing w:after="0" w:line="360" w:lineRule="auto"/>
        <w:ind w:firstLine="420" w:firstLineChars="200"/>
        <w:rPr>
          <w:rFonts w:hint="eastAsia" w:ascii="宋体" w:hAnsi="宋体"/>
          <w:sz w:val="21"/>
          <w:szCs w:val="21"/>
          <w:highlight w:val="none"/>
          <w:lang w:eastAsia="zh-CN"/>
        </w:rPr>
      </w:pPr>
      <w:r>
        <w:rPr>
          <w:rFonts w:hint="eastAsia" w:ascii="宋体" w:hAnsi="宋体"/>
          <w:bCs/>
          <w:sz w:val="21"/>
          <w:szCs w:val="21"/>
          <w:highlight w:val="none"/>
          <w:lang w:eastAsia="zh-CN"/>
        </w:rPr>
        <w:t>(2) 赔款金额在人民币100万元（含）以上，300万元以下，</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pPr>
        <w:spacing w:after="0" w:line="360" w:lineRule="auto"/>
        <w:ind w:firstLine="420" w:firstLineChars="200"/>
        <w:rPr>
          <w:rFonts w:hint="eastAsia" w:ascii="宋体" w:hAnsi="宋体"/>
          <w:bCs/>
          <w:sz w:val="21"/>
          <w:szCs w:val="21"/>
          <w:highlight w:val="none"/>
          <w:lang w:eastAsia="zh-CN"/>
        </w:rPr>
      </w:pPr>
      <w:r>
        <w:rPr>
          <w:rFonts w:hint="eastAsia" w:ascii="宋体" w:hAnsi="宋体"/>
          <w:sz w:val="21"/>
          <w:szCs w:val="21"/>
          <w:highlight w:val="none"/>
          <w:lang w:eastAsia="zh-CN"/>
        </w:rPr>
        <w:t>(3)</w:t>
      </w:r>
      <w:r>
        <w:rPr>
          <w:rFonts w:hint="eastAsia" w:ascii="宋体" w:hAnsi="宋体"/>
          <w:bCs/>
          <w:sz w:val="21"/>
          <w:szCs w:val="21"/>
          <w:highlight w:val="none"/>
          <w:lang w:eastAsia="zh-CN"/>
        </w:rPr>
        <w:t>赔款金额在人民币300万元（含）以上</w:t>
      </w:r>
      <w:r>
        <w:rPr>
          <w:rFonts w:hint="eastAsia" w:ascii="宋体" w:hAnsi="宋体"/>
          <w:bCs/>
          <w:sz w:val="21"/>
          <w:szCs w:val="21"/>
          <w:highlight w:val="none"/>
          <w:u w:val="singl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bCs/>
          <w:sz w:val="21"/>
          <w:szCs w:val="21"/>
          <w:highlight w:val="none"/>
          <w:lang w:eastAsia="zh-CN"/>
        </w:rPr>
        <w:t>个工作日内支付赔款；</w:t>
      </w:r>
    </w:p>
    <w:p>
      <w:pPr>
        <w:spacing w:after="0" w:line="360" w:lineRule="auto"/>
        <w:ind w:firstLine="420" w:firstLineChars="200"/>
        <w:rPr>
          <w:rFonts w:hint="eastAsia"/>
          <w:highlight w:val="none"/>
          <w:lang w:eastAsia="zh-CN"/>
        </w:rPr>
      </w:pPr>
      <w:r>
        <w:rPr>
          <w:rFonts w:hint="eastAsia" w:ascii="宋体" w:hAnsi="宋体"/>
          <w:sz w:val="21"/>
          <w:szCs w:val="21"/>
          <w:highlight w:val="none"/>
          <w:lang w:eastAsia="zh-CN"/>
        </w:rPr>
        <w:t>乙方逾期不予支付预付赔款的，每拖延一日，按应赔付金额的千分之一向甲方支付滞纳金，如果乙方不及时支付滞纳金，甲方有权从履约保证金中扣除。若履约保证金全部扣除后，乙方还未及时支付赔款，甲方有权向赣州市人民法院提起诉讼且在中国银行保险监督管理委员会备案。</w:t>
      </w:r>
    </w:p>
    <w:p>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6</w:t>
      </w:r>
      <w:r>
        <w:rPr>
          <w:rFonts w:hint="eastAsia" w:ascii="宋体" w:hAnsi="宋体"/>
          <w:b/>
          <w:sz w:val="21"/>
          <w:szCs w:val="21"/>
          <w:highlight w:val="none"/>
          <w:lang w:eastAsia="zh-CN"/>
        </w:rPr>
        <w:t xml:space="preserve"> 保险联席会议</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应被保险人要求，乙方根据被保险人的需要，不定期召开保险联席会议，由被保险人有关部门及相关参建方参加，相互沟通，协商解决有关保险事宜。</w:t>
      </w:r>
    </w:p>
    <w:p>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7</w:t>
      </w:r>
      <w:r>
        <w:rPr>
          <w:rFonts w:hint="eastAsia" w:ascii="宋体" w:hAnsi="宋体"/>
          <w:b/>
          <w:sz w:val="21"/>
          <w:szCs w:val="21"/>
          <w:highlight w:val="none"/>
          <w:lang w:eastAsia="zh-CN"/>
        </w:rPr>
        <w:t xml:space="preserve"> 法律援助</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当甲方或被保险人因第三者责任事故而被索赔或者诉讼，乙方应主动为被保险人提供法律服务支持，为甲方或被保险人提供法律咨询，代为聘请律师，必要时可以甲方或被保险人的名义代理诉讼行为，并按照本保险合同约定及时赔偿必要的法律费用。</w:t>
      </w:r>
    </w:p>
    <w:p>
      <w:pPr>
        <w:spacing w:after="0" w:line="360" w:lineRule="auto"/>
        <w:ind w:firstLine="422" w:firstLineChars="200"/>
        <w:rPr>
          <w:rFonts w:hint="eastAsia" w:ascii="宋体" w:hAnsi="宋体"/>
          <w:b/>
          <w:sz w:val="21"/>
          <w:szCs w:val="21"/>
          <w:highlight w:val="none"/>
          <w:lang w:eastAsia="zh-CN"/>
        </w:rPr>
      </w:pPr>
      <w:r>
        <w:rPr>
          <w:rFonts w:hint="eastAsia" w:ascii="宋体" w:hAnsi="宋体"/>
          <w:b/>
          <w:sz w:val="21"/>
          <w:szCs w:val="21"/>
          <w:highlight w:val="none"/>
          <w:lang w:eastAsia="zh-CN"/>
        </w:rPr>
        <w:t>1.</w:t>
      </w:r>
      <w:r>
        <w:rPr>
          <w:rFonts w:hint="eastAsia" w:ascii="宋体" w:hAnsi="宋体"/>
          <w:b/>
          <w:sz w:val="21"/>
          <w:szCs w:val="21"/>
          <w:highlight w:val="none"/>
          <w:lang w:val="en-US" w:eastAsia="zh-CN"/>
        </w:rPr>
        <w:t>5</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8</w:t>
      </w:r>
      <w:r>
        <w:rPr>
          <w:rFonts w:hint="eastAsia" w:ascii="宋体" w:hAnsi="宋体"/>
          <w:b/>
          <w:sz w:val="21"/>
          <w:szCs w:val="21"/>
          <w:highlight w:val="none"/>
          <w:lang w:eastAsia="zh-CN"/>
        </w:rPr>
        <w:t xml:space="preserve"> 人员变动及时通知</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专项服务小组成员将各司其职，互相配合，手机均保持24小时开通。如果小组成员由于工作原因调动离岗，乙方应在第一时间内通知各被保险人；同时，告知接替人员的工作经验、简历和联系方式；接替人员也应在最短时间内熟悉情况，进入工作状态。</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6</w:t>
      </w:r>
      <w:r>
        <w:rPr>
          <w:rFonts w:hint="eastAsia" w:ascii="宋体" w:hAnsi="宋体"/>
          <w:b/>
          <w:bCs/>
          <w:spacing w:val="-2"/>
          <w:sz w:val="21"/>
          <w:szCs w:val="21"/>
          <w:highlight w:val="none"/>
          <w:lang w:eastAsia="zh-CN"/>
        </w:rPr>
        <w:t xml:space="preserve"> 赔案监督与协调</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乙方应设立投诉电话</w:t>
      </w:r>
      <w:r>
        <w:rPr>
          <w:rFonts w:hint="eastAsia" w:ascii="宋体" w:hAnsi="宋体"/>
          <w:sz w:val="21"/>
          <w:szCs w:val="21"/>
          <w:highlight w:val="none"/>
          <w:u w:val="single"/>
          <w:lang w:eastAsia="zh-CN"/>
        </w:rPr>
        <w:t xml:space="preserve">           </w:t>
      </w:r>
      <w:r>
        <w:rPr>
          <w:rFonts w:hint="eastAsia" w:ascii="宋体" w:hAnsi="宋体"/>
          <w:sz w:val="21"/>
          <w:szCs w:val="21"/>
          <w:highlight w:val="none"/>
          <w:lang w:eastAsia="zh-CN"/>
        </w:rPr>
        <w:t>，如乙方服务人员未有效履行服务约定，甲方可向乙方投诉，投诉应在3个工作日内提出反馈意见。</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 xml:space="preserve">  一般条款</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.1 协议的生效</w:t>
      </w:r>
    </w:p>
    <w:p>
      <w:pPr>
        <w:tabs>
          <w:tab w:val="left" w:pos="0"/>
          <w:tab w:val="left" w:pos="180"/>
        </w:tabs>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本协议自20</w:t>
      </w:r>
      <w:r>
        <w:rPr>
          <w:rFonts w:hint="eastAsia" w:ascii="宋体" w:hAnsi="宋体"/>
          <w:sz w:val="21"/>
          <w:szCs w:val="21"/>
          <w:highlight w:val="none"/>
          <w:lang w:val="en-US" w:eastAsia="zh-CN"/>
        </w:rPr>
        <w:t>23</w:t>
      </w:r>
      <w:r>
        <w:rPr>
          <w:rFonts w:hint="eastAsia" w:ascii="宋体" w:hAnsi="宋体"/>
          <w:sz w:val="21"/>
          <w:szCs w:val="21"/>
          <w:highlight w:val="none"/>
          <w:lang w:eastAsia="zh-CN"/>
        </w:rPr>
        <w:t>年__月__日0:00时起生效，且在保单有效期间内持续有效。如果该保单的保险期限结束后存在遗留问题，则本协议将持续有效，至保单涉及各项遗留事宜最终处理完毕时为止。</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.2 协议的变更与解除</w:t>
      </w:r>
    </w:p>
    <w:p>
      <w:pPr>
        <w:tabs>
          <w:tab w:val="left" w:pos="0"/>
        </w:tabs>
        <w:spacing w:after="0" w:line="360" w:lineRule="auto"/>
        <w:ind w:firstLine="412" w:firstLineChars="200"/>
        <w:rPr>
          <w:rFonts w:hint="eastAsia" w:ascii="宋体" w:hAnsi="宋体"/>
          <w:b/>
          <w:bCs/>
          <w:spacing w:val="-2"/>
          <w:sz w:val="21"/>
          <w:szCs w:val="21"/>
          <w:highlight w:val="none"/>
          <w:lang w:eastAsia="zh-CN"/>
        </w:rPr>
      </w:pPr>
      <w:r>
        <w:rPr>
          <w:rFonts w:hint="eastAsia" w:ascii="宋体" w:hAnsi="宋体"/>
          <w:spacing w:val="-2"/>
          <w:sz w:val="21"/>
          <w:szCs w:val="21"/>
          <w:highlight w:val="none"/>
          <w:lang w:eastAsia="zh-CN"/>
        </w:rPr>
        <w:t>如需要修改、变更本协议的，应经甲、乙双方协商一致并达成书面协议，该修改、变更效力优于本协议相关内容。如因特殊情况确有需要解除本协议的，甲方可随时通知乙方终止本协议，并可提前30天通知乙方注销保单；乙方不可终止本协议。</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.3 保密条款</w:t>
      </w:r>
    </w:p>
    <w:p>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除非下列情况，自本协议生效之日起，甲方和乙方不得将本协议涉及的所有有形、无形的信息及资料（包括但不限于双方的往来书面文字文件、电子邮件及信息、移动存储设备资料等）泄露给第三方：</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（1）提供给为执行本协议而提供相关服务的雇员或顾问；</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（2）应法院或仲裁机构要求而提供；</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（3）告诉给根据本协议确定的提供保险服务的保险人；</w:t>
      </w:r>
    </w:p>
    <w:p>
      <w:pPr>
        <w:spacing w:after="0"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（4）经甲方和乙方书面同意。</w:t>
      </w:r>
    </w:p>
    <w:p>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本协议任何一方因过错造成泄密而给另一方造成损失的，由过错一方承担经济赔偿责任。</w:t>
      </w:r>
    </w:p>
    <w:p>
      <w:pPr>
        <w:pStyle w:val="6"/>
        <w:adjustRightInd/>
        <w:spacing w:after="0" w:line="360" w:lineRule="auto"/>
        <w:ind w:firstLineChars="200"/>
        <w:rPr>
          <w:rFonts w:hint="eastAsia" w:ascii="宋体" w:hAnsi="宋体"/>
          <w:szCs w:val="21"/>
          <w:highlight w:val="none"/>
        </w:rPr>
      </w:pPr>
      <w:r>
        <w:rPr>
          <w:rFonts w:hint="eastAsia" w:ascii="宋体" w:hAnsi="宋体"/>
          <w:szCs w:val="21"/>
          <w:highlight w:val="none"/>
        </w:rPr>
        <w:t>本协议终止时本保密条款继续有效五年。</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7</w:t>
      </w:r>
      <w:r>
        <w:rPr>
          <w:rFonts w:hint="eastAsia" w:ascii="宋体" w:hAnsi="宋体"/>
          <w:b/>
          <w:bCs/>
          <w:spacing w:val="-2"/>
          <w:sz w:val="21"/>
          <w:szCs w:val="21"/>
          <w:highlight w:val="none"/>
          <w:lang w:eastAsia="zh-CN"/>
        </w:rPr>
        <w:t>.4 争议的解决</w:t>
      </w:r>
    </w:p>
    <w:p>
      <w:pPr>
        <w:tabs>
          <w:tab w:val="left" w:pos="0"/>
        </w:tabs>
        <w:spacing w:after="0" w:line="360" w:lineRule="auto"/>
        <w:ind w:firstLine="412" w:firstLineChars="200"/>
        <w:rPr>
          <w:rFonts w:hint="eastAsia" w:ascii="宋体" w:hAnsi="宋体"/>
          <w:spacing w:val="-2"/>
          <w:sz w:val="21"/>
          <w:szCs w:val="21"/>
          <w:highlight w:val="none"/>
          <w:lang w:eastAsia="zh-CN"/>
        </w:rPr>
      </w:pPr>
      <w:r>
        <w:rPr>
          <w:rFonts w:hint="eastAsia" w:ascii="宋体" w:hAnsi="宋体"/>
          <w:spacing w:val="-2"/>
          <w:sz w:val="21"/>
          <w:szCs w:val="21"/>
          <w:highlight w:val="none"/>
          <w:lang w:eastAsia="zh-CN"/>
        </w:rPr>
        <w:t>甲乙双方就履行本协议发生的争议，应首先通过友好协商解决。甲乙双方不能协商解决的，应向甲方所在地人民法院提起诉讼。</w:t>
      </w:r>
    </w:p>
    <w:p>
      <w:pPr>
        <w:spacing w:after="0" w:line="360" w:lineRule="auto"/>
        <w:ind w:firstLine="414" w:firstLineChars="200"/>
        <w:rPr>
          <w:rFonts w:hint="eastAsia"/>
          <w:b/>
          <w:bCs/>
          <w:spacing w:val="-2"/>
          <w:sz w:val="21"/>
          <w:highlight w:val="none"/>
          <w:lang w:eastAsia="zh-CN"/>
        </w:rPr>
      </w:pPr>
      <w:r>
        <w:rPr>
          <w:rFonts w:hint="eastAsia"/>
          <w:b/>
          <w:bCs/>
          <w:spacing w:val="-2"/>
          <w:sz w:val="21"/>
          <w:highlight w:val="none"/>
          <w:lang w:eastAsia="zh-CN"/>
        </w:rPr>
        <w:t>1.</w:t>
      </w:r>
      <w:r>
        <w:rPr>
          <w:rFonts w:hint="eastAsia"/>
          <w:b/>
          <w:bCs/>
          <w:spacing w:val="-2"/>
          <w:sz w:val="21"/>
          <w:highlight w:val="none"/>
          <w:lang w:val="en-US" w:eastAsia="zh-CN"/>
        </w:rPr>
        <w:t>7</w:t>
      </w:r>
      <w:r>
        <w:rPr>
          <w:rFonts w:hint="eastAsia"/>
          <w:b/>
          <w:bCs/>
          <w:spacing w:val="-2"/>
          <w:sz w:val="21"/>
          <w:highlight w:val="none"/>
          <w:lang w:eastAsia="zh-CN"/>
        </w:rPr>
        <w:t>.5 法律责任</w:t>
      </w:r>
    </w:p>
    <w:p>
      <w:pPr>
        <w:pStyle w:val="6"/>
        <w:adjustRightInd/>
        <w:spacing w:after="0" w:line="360" w:lineRule="auto"/>
        <w:ind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由于本协议任何一方当事人的过错，造成本协议不能履行或者不能完全履行的，由有过错的一方依法承担违约责任；如属双方当事人的过错，则根据甲乙双方当事人过错的实际情况，由甲乙双方当事人分别承担各自应负的违约责任。</w:t>
      </w:r>
    </w:p>
    <w:p>
      <w:pPr>
        <w:pStyle w:val="6"/>
        <w:adjustRightInd/>
        <w:spacing w:after="0" w:line="360" w:lineRule="auto"/>
        <w:ind w:firstLineChars="200"/>
        <w:rPr>
          <w:rFonts w:hint="eastAsia" w:ascii="宋体" w:hAnsi="宋体"/>
          <w:szCs w:val="21"/>
          <w:highlight w:val="none"/>
        </w:rPr>
      </w:pPr>
      <w:r>
        <w:rPr>
          <w:rFonts w:hint="eastAsia" w:ascii="宋体" w:hAnsi="宋体" w:eastAsia="宋体" w:cs="Times New Roman"/>
          <w:szCs w:val="21"/>
          <w:highlight w:val="none"/>
        </w:rPr>
        <w:t>若发生违约情形，违约方依法依约承担其相应</w:t>
      </w:r>
      <w:r>
        <w:rPr>
          <w:rFonts w:hint="eastAsia" w:ascii="宋体" w:hAnsi="宋体"/>
          <w:szCs w:val="21"/>
          <w:highlight w:val="none"/>
        </w:rPr>
        <w:t>法律责任后，除非守约方同意终止本协议的，本协议仍须继续履行。</w:t>
      </w:r>
    </w:p>
    <w:p>
      <w:pPr>
        <w:spacing w:after="0" w:line="360" w:lineRule="auto"/>
        <w:ind w:firstLine="414" w:firstLineChars="200"/>
        <w:rPr>
          <w:rFonts w:hint="eastAsia" w:ascii="宋体" w:hAnsi="宋体"/>
          <w:b/>
          <w:bCs/>
          <w:spacing w:val="-2"/>
          <w:sz w:val="21"/>
          <w:szCs w:val="21"/>
          <w:highlight w:val="none"/>
          <w:lang w:eastAsia="zh-CN"/>
        </w:rPr>
      </w:pPr>
      <w:r>
        <w:rPr>
          <w:rFonts w:hint="eastAsia" w:ascii="宋体" w:hAnsi="宋体"/>
          <w:b/>
          <w:bCs/>
          <w:spacing w:val="-2"/>
          <w:sz w:val="21"/>
          <w:szCs w:val="21"/>
          <w:highlight w:val="none"/>
          <w:lang w:eastAsia="zh-CN"/>
        </w:rPr>
        <w:t>1.</w:t>
      </w:r>
      <w:r>
        <w:rPr>
          <w:rFonts w:hint="eastAsia" w:ascii="宋体" w:hAnsi="宋体"/>
          <w:b/>
          <w:bCs/>
          <w:spacing w:val="-2"/>
          <w:sz w:val="21"/>
          <w:szCs w:val="21"/>
          <w:highlight w:val="none"/>
          <w:lang w:val="en-US" w:eastAsia="zh-CN"/>
        </w:rPr>
        <w:t>8</w:t>
      </w:r>
      <w:r>
        <w:rPr>
          <w:rFonts w:hint="eastAsia" w:ascii="宋体" w:hAnsi="宋体"/>
          <w:b/>
          <w:bCs/>
          <w:spacing w:val="-2"/>
          <w:sz w:val="21"/>
          <w:szCs w:val="21"/>
          <w:highlight w:val="none"/>
          <w:lang w:eastAsia="zh-CN"/>
        </w:rPr>
        <w:t xml:space="preserve"> 附则</w:t>
      </w:r>
    </w:p>
    <w:p>
      <w:pPr>
        <w:tabs>
          <w:tab w:val="left" w:pos="0"/>
        </w:tabs>
        <w:spacing w:after="0" w:line="360" w:lineRule="auto"/>
        <w:ind w:firstLine="412" w:firstLineChars="200"/>
        <w:rPr>
          <w:rFonts w:hint="eastAsia" w:ascii="宋体" w:hAnsi="宋体"/>
          <w:sz w:val="21"/>
          <w:szCs w:val="21"/>
          <w:highlight w:val="none"/>
          <w:lang w:eastAsia="zh-CN"/>
        </w:rPr>
      </w:pPr>
      <w:r>
        <w:rPr>
          <w:rFonts w:hint="eastAsia" w:ascii="宋体" w:hAnsi="宋体"/>
          <w:bCs/>
          <w:spacing w:val="-2"/>
          <w:sz w:val="21"/>
          <w:szCs w:val="21"/>
          <w:highlight w:val="none"/>
          <w:lang w:eastAsia="zh-CN"/>
        </w:rPr>
        <w:t>1.</w:t>
      </w:r>
      <w:r>
        <w:rPr>
          <w:rFonts w:hint="eastAsia" w:ascii="宋体" w:hAnsi="宋体"/>
          <w:bCs/>
          <w:spacing w:val="-2"/>
          <w:sz w:val="21"/>
          <w:szCs w:val="21"/>
          <w:highlight w:val="none"/>
          <w:lang w:val="en-US" w:eastAsia="zh-CN"/>
        </w:rPr>
        <w:t>8</w:t>
      </w:r>
      <w:r>
        <w:rPr>
          <w:rFonts w:hint="eastAsia" w:ascii="宋体" w:hAnsi="宋体"/>
          <w:bCs/>
          <w:spacing w:val="-2"/>
          <w:sz w:val="21"/>
          <w:szCs w:val="21"/>
          <w:highlight w:val="none"/>
          <w:lang w:eastAsia="zh-CN"/>
        </w:rPr>
        <w:t>.1</w:t>
      </w:r>
      <w:r>
        <w:rPr>
          <w:rFonts w:hint="eastAsia" w:ascii="宋体" w:hAnsi="宋体"/>
          <w:sz w:val="21"/>
          <w:szCs w:val="21"/>
          <w:highlight w:val="none"/>
          <w:lang w:eastAsia="zh-CN"/>
        </w:rPr>
        <w:t>乙方按本协议出具的各险种保单作为本协议的有效组成部分，保单与本协议矛盾、冲突或不一致之处，以本协议内容为准，本协议另有明确约定的情况除外。</w:t>
      </w:r>
    </w:p>
    <w:p>
      <w:pPr>
        <w:tabs>
          <w:tab w:val="left" w:pos="0"/>
        </w:tabs>
        <w:spacing w:after="0" w:line="360" w:lineRule="auto"/>
        <w:ind w:firstLine="412" w:firstLineChars="200"/>
        <w:rPr>
          <w:rFonts w:hint="eastAsia"/>
          <w:highlight w:val="none"/>
          <w:lang w:eastAsia="zh-CN"/>
        </w:rPr>
      </w:pPr>
      <w:r>
        <w:rPr>
          <w:rFonts w:hint="eastAsia" w:ascii="宋体" w:hAnsi="宋体"/>
          <w:bCs/>
          <w:spacing w:val="-2"/>
          <w:sz w:val="21"/>
          <w:szCs w:val="21"/>
          <w:highlight w:val="none"/>
          <w:lang w:eastAsia="zh-CN"/>
        </w:rPr>
        <w:t>1.</w:t>
      </w:r>
      <w:r>
        <w:rPr>
          <w:rFonts w:hint="eastAsia" w:ascii="宋体" w:hAnsi="宋体"/>
          <w:spacing w:val="-2"/>
          <w:sz w:val="21"/>
          <w:szCs w:val="21"/>
          <w:highlight w:val="none"/>
          <w:lang w:val="en-US" w:eastAsia="zh-CN"/>
        </w:rPr>
        <w:t>8</w:t>
      </w:r>
      <w:r>
        <w:rPr>
          <w:rFonts w:hint="eastAsia" w:ascii="宋体" w:hAnsi="宋体"/>
          <w:spacing w:val="-2"/>
          <w:sz w:val="21"/>
          <w:szCs w:val="21"/>
          <w:highlight w:val="none"/>
          <w:lang w:eastAsia="zh-CN"/>
        </w:rPr>
        <w:t>.2 本协议适用中华人民共和国有关法律。</w:t>
      </w:r>
    </w:p>
    <w:p>
      <w:pPr>
        <w:pStyle w:val="6"/>
        <w:adjustRightInd/>
        <w:spacing w:after="0" w:line="360" w:lineRule="auto"/>
        <w:ind w:firstLine="412" w:firstLineChars="200"/>
        <w:rPr>
          <w:rFonts w:hint="eastAsia" w:ascii="宋体" w:hAnsi="宋体"/>
          <w:spacing w:val="-2"/>
          <w:szCs w:val="21"/>
          <w:highlight w:val="none"/>
        </w:rPr>
      </w:pPr>
      <w:r>
        <w:rPr>
          <w:rFonts w:hint="eastAsia" w:ascii="宋体" w:hAnsi="宋体"/>
          <w:bCs/>
          <w:spacing w:val="-2"/>
          <w:szCs w:val="21"/>
          <w:highlight w:val="none"/>
        </w:rPr>
        <w:t>1.</w:t>
      </w:r>
      <w:r>
        <w:rPr>
          <w:rFonts w:hint="eastAsia" w:ascii="宋体" w:hAnsi="宋体"/>
          <w:spacing w:val="-2"/>
          <w:szCs w:val="21"/>
          <w:highlight w:val="none"/>
          <w:lang w:val="en-US" w:eastAsia="zh-CN"/>
        </w:rPr>
        <w:t>8</w:t>
      </w:r>
      <w:r>
        <w:rPr>
          <w:rFonts w:hint="eastAsia" w:ascii="宋体" w:hAnsi="宋体"/>
          <w:spacing w:val="-2"/>
          <w:szCs w:val="21"/>
          <w:highlight w:val="none"/>
        </w:rPr>
        <w:t>.3 本协议壹式陆份，甲方、乙方各执贰份，具有同等法律效力。</w:t>
      </w:r>
    </w:p>
    <w:p>
      <w:pPr>
        <w:pStyle w:val="6"/>
        <w:adjustRightInd/>
        <w:spacing w:after="0" w:line="360" w:lineRule="auto"/>
        <w:ind w:firstLine="412" w:firstLineChars="200"/>
        <w:rPr>
          <w:rFonts w:hint="eastAsia" w:ascii="宋体" w:hAnsi="宋体"/>
          <w:spacing w:val="-2"/>
          <w:szCs w:val="21"/>
          <w:highlight w:val="none"/>
          <w:lang w:bidi="en-US"/>
        </w:rPr>
      </w:pPr>
      <w:r>
        <w:rPr>
          <w:rFonts w:hint="eastAsia" w:ascii="宋体" w:hAnsi="宋体"/>
          <w:spacing w:val="-2"/>
          <w:szCs w:val="21"/>
          <w:highlight w:val="none"/>
        </w:rPr>
        <w:t>附件：</w:t>
      </w:r>
      <w:r>
        <w:rPr>
          <w:rFonts w:hint="eastAsia" w:ascii="宋体" w:hAnsi="宋体"/>
          <w:spacing w:val="-2"/>
          <w:szCs w:val="21"/>
          <w:highlight w:val="none"/>
          <w:lang w:bidi="en-US"/>
        </w:rPr>
        <w:t>工程险索赔资料清单</w:t>
      </w:r>
    </w:p>
    <w:p>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（以下无正文）</w:t>
      </w:r>
    </w:p>
    <w:p>
      <w:pPr>
        <w:pStyle w:val="6"/>
        <w:spacing w:before="50" w:line="360" w:lineRule="auto"/>
        <w:ind w:firstLine="412" w:firstLineChars="200"/>
        <w:rPr>
          <w:rFonts w:hint="eastAsia" w:ascii="宋体" w:hAnsi="宋体"/>
          <w:spacing w:val="-2"/>
          <w:szCs w:val="21"/>
          <w:highlight w:val="none"/>
        </w:rPr>
      </w:pPr>
      <w:r>
        <w:rPr>
          <w:rFonts w:hint="eastAsia" w:ascii="宋体" w:hAnsi="宋体"/>
          <w:spacing w:val="-2"/>
          <w:szCs w:val="21"/>
          <w:highlight w:val="none"/>
        </w:rPr>
        <w:t xml:space="preserve">甲方签章：                          </w:t>
      </w:r>
      <w:r>
        <w:rPr>
          <w:rFonts w:hint="eastAsia" w:ascii="宋体" w:hAnsi="宋体"/>
          <w:kern w:val="2"/>
          <w:szCs w:val="21"/>
          <w:highlight w:val="none"/>
        </w:rPr>
        <w:t>乙方签章</w:t>
      </w:r>
      <w:r>
        <w:rPr>
          <w:rFonts w:hint="eastAsia" w:ascii="宋体" w:hAnsi="宋体"/>
          <w:spacing w:val="-2"/>
          <w:szCs w:val="21"/>
          <w:highlight w:val="none"/>
        </w:rPr>
        <w:t>：</w:t>
      </w:r>
    </w:p>
    <w:p>
      <w:pPr>
        <w:pStyle w:val="6"/>
        <w:spacing w:before="50" w:line="360" w:lineRule="auto"/>
        <w:ind w:firstLine="0"/>
        <w:rPr>
          <w:rFonts w:hint="eastAsia" w:ascii="宋体" w:hAnsi="宋体"/>
          <w:kern w:val="2"/>
          <w:szCs w:val="21"/>
          <w:highlight w:val="none"/>
        </w:rPr>
      </w:pPr>
      <w:r>
        <w:rPr>
          <w:rFonts w:hint="eastAsia" w:ascii="宋体" w:hAnsi="宋体"/>
          <w:spacing w:val="-2"/>
          <w:szCs w:val="21"/>
          <w:highlight w:val="none"/>
        </w:rPr>
        <w:t xml:space="preserve">    年   月   日                        年   月   日</w:t>
      </w:r>
      <w:r>
        <w:rPr>
          <w:rFonts w:hint="eastAsia" w:ascii="宋体" w:hAnsi="宋体"/>
          <w:kern w:val="2"/>
          <w:szCs w:val="21"/>
          <w:highlight w:val="none"/>
        </w:rPr>
        <w:t>：</w:t>
      </w:r>
      <w:r>
        <w:rPr>
          <w:rFonts w:hint="eastAsia" w:ascii="宋体" w:hAnsi="宋体"/>
          <w:spacing w:val="-2"/>
          <w:szCs w:val="21"/>
          <w:highlight w:val="none"/>
          <w:lang w:bidi="en-US"/>
        </w:rPr>
        <w:t xml:space="preserve">   </w:t>
      </w:r>
      <w:r>
        <w:rPr>
          <w:rFonts w:hint="eastAsia" w:ascii="宋体" w:hAnsi="宋体"/>
          <w:kern w:val="2"/>
          <w:szCs w:val="21"/>
          <w:highlight w:val="none"/>
        </w:rPr>
        <w:t xml:space="preserve"> </w:t>
      </w:r>
    </w:p>
    <w:p>
      <w:pPr>
        <w:tabs>
          <w:tab w:val="left" w:pos="1350"/>
          <w:tab w:val="center" w:pos="4819"/>
        </w:tabs>
        <w:rPr>
          <w:rFonts w:hint="eastAsia" w:ascii="宋体" w:hAnsi="宋体"/>
          <w:b/>
          <w:sz w:val="24"/>
          <w:szCs w:val="24"/>
          <w:highlight w:val="none"/>
          <w:lang w:eastAsia="zh-CN"/>
        </w:rPr>
      </w:pPr>
      <w:r>
        <w:rPr>
          <w:rFonts w:ascii="宋体" w:hAnsi="宋体"/>
          <w:b/>
          <w:sz w:val="24"/>
          <w:szCs w:val="24"/>
          <w:highlight w:val="none"/>
          <w:lang w:eastAsia="zh-CN"/>
        </w:rPr>
        <w:br w:type="page"/>
      </w:r>
      <w:r>
        <w:rPr>
          <w:rFonts w:hint="eastAsia" w:ascii="宋体" w:hAnsi="宋体"/>
          <w:b/>
          <w:sz w:val="24"/>
          <w:szCs w:val="24"/>
          <w:highlight w:val="none"/>
          <w:lang w:eastAsia="zh-CN"/>
        </w:rPr>
        <w:t>附件：</w:t>
      </w:r>
    </w:p>
    <w:p>
      <w:pPr>
        <w:tabs>
          <w:tab w:val="left" w:pos="1350"/>
          <w:tab w:val="center" w:pos="4819"/>
        </w:tabs>
        <w:jc w:val="center"/>
        <w:rPr>
          <w:rFonts w:hint="eastAsia" w:ascii="宋体" w:hAnsi="宋体"/>
          <w:b/>
          <w:sz w:val="24"/>
          <w:szCs w:val="24"/>
          <w:highlight w:val="none"/>
          <w:lang w:eastAsia="zh-CN"/>
        </w:rPr>
      </w:pPr>
      <w:r>
        <w:rPr>
          <w:rFonts w:hint="eastAsia" w:ascii="宋体" w:hAnsi="宋体"/>
          <w:b/>
          <w:sz w:val="24"/>
          <w:szCs w:val="24"/>
          <w:highlight w:val="none"/>
          <w:lang w:eastAsia="zh-CN"/>
        </w:rPr>
        <w:t>工程保险索赔资料清单</w:t>
      </w:r>
    </w:p>
    <w:p>
      <w:pPr>
        <w:tabs>
          <w:tab w:val="left" w:pos="1350"/>
          <w:tab w:val="center" w:pos="4819"/>
        </w:tabs>
        <w:jc w:val="center"/>
        <w:rPr>
          <w:rFonts w:hint="eastAsia" w:ascii="宋体" w:hAnsi="宋体"/>
          <w:b/>
          <w:sz w:val="24"/>
          <w:szCs w:val="24"/>
          <w:highlight w:val="none"/>
          <w:lang w:eastAsia="zh-CN"/>
        </w:rPr>
      </w:pP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1、发生物质损失时，按实际需要提供的单证包括：</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（1）保单正本复印件、出险</w:t>
      </w:r>
      <w:r>
        <w:rPr>
          <w:rFonts w:hint="eastAsia" w:ascii="宋体" w:hAnsi="宋体"/>
          <w:sz w:val="24"/>
          <w:szCs w:val="24"/>
          <w:highlight w:val="none"/>
          <w:lang w:val="en-US" w:eastAsia="zh-CN"/>
        </w:rPr>
        <w:t>项目</w:t>
      </w:r>
      <w:r>
        <w:rPr>
          <w:rFonts w:hint="eastAsia" w:ascii="宋体" w:hAnsi="宋体"/>
          <w:sz w:val="24"/>
          <w:szCs w:val="24"/>
          <w:highlight w:val="none"/>
          <w:lang w:eastAsia="zh-CN"/>
        </w:rPr>
        <w:t>投保工程量清单；</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（2）出险通知书及索赔申请书；</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（3）经监理认可的财产损失清单、施救清单、修复工程量清单；</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（4）对业主施工合同、可证明施工过程的资料（可以是经监理确认的施工日志、或监理日志、或验收资料、或现场照片）；</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（5）保险公估公司出具的损失理算报告（聘请公估公司时提供）；</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（6）事故出险证明材料，可以是新闻媒体报道的报纸或电脑截图、或其它满足事故鉴定要求的直接或间接资料（含施工单位经监理确认后的自测的资料,但必须有当时的图片或视频资料备查）；</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（7）财产修复或重新购置发票（或加盖公章的复印件）或修复费用预算表；</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（8）诉讼材料,包括法院判决书、调解书（发生诉讼时提供）；</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（9）现场照片（保险人未进行现场查勘时提供）；</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（10）权益转让书（涉及第三方赔偿时提供）；</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（11）预付赔款申请书、赔款收据（发生预付赔款时提供）；</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（12）对于被保险人所拥有的权属不清的财产损失，须提供固定资产卡片或被保险人出具的书面证明。</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2、发生第三者责任事故时，需提供的单证包括：</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（1）出险通知书（含传真件）；</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（2）索赔申请书；</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（3）伤者医疗费收据或发票、门诊病历本复印件、出院证明；</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（4）伤残鉴定书（造成第三者伤残时）；</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（5）公安部门或相关医疗机构出具的死亡证明（造成第三者死亡时）；</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（6）伤者所在单位出具的收入证明（涉及误工费时）；</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（7）伤者护理费证明（涉及护理费时）；</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（8）被抚养人供养证明；</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（9）交通报销凭证、住宿费报销凭证；</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（10）公估公司出具的损失理算报告（聘请公估公司时提供）；</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（11）权益转让书（涉及其他责任方时）；</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（12）法院民事赔偿判决书（调解书）或其他诉讼材料（发生诉讼时）；</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（13）照片（仅发生财产损失且在保险公司未进行现场查勘时提供）；</w:t>
      </w:r>
    </w:p>
    <w:p>
      <w:pPr>
        <w:spacing w:after="0" w:line="360" w:lineRule="auto"/>
        <w:ind w:firstLine="480" w:firstLineChars="200"/>
        <w:rPr>
          <w:rFonts w:ascii="宋体" w:hAnsi="宋体"/>
          <w:sz w:val="24"/>
          <w:szCs w:val="24"/>
          <w:highlight w:val="none"/>
          <w:lang w:eastAsia="zh-CN"/>
        </w:rPr>
      </w:pPr>
      <w:r>
        <w:rPr>
          <w:rFonts w:hint="eastAsia" w:ascii="宋体" w:hAnsi="宋体"/>
          <w:sz w:val="24"/>
          <w:szCs w:val="24"/>
          <w:highlight w:val="none"/>
          <w:lang w:eastAsia="zh-CN"/>
        </w:rPr>
        <w:t>（14）财产损失清单及相关费用原始单据（如果有，如果没有则按出险时市场购置价或费用价格）</w:t>
      </w:r>
    </w:p>
    <w:p>
      <w:pPr>
        <w:pStyle w:val="4"/>
        <w:rPr>
          <w:rFonts w:hint="eastAsia"/>
          <w:color w:val="auto"/>
          <w:highlight w:val="none"/>
          <w:lang w:eastAsia="zh-CN"/>
        </w:rPr>
      </w:pPr>
      <w:bookmarkStart w:id="48" w:name="_Toc498844807"/>
      <w:r>
        <w:rPr>
          <w:color w:val="auto"/>
          <w:highlight w:val="none"/>
          <w:lang w:eastAsia="zh-CN"/>
        </w:rPr>
        <w:br w:type="page"/>
      </w:r>
      <w:bookmarkStart w:id="49" w:name="_Toc21075"/>
      <w:r>
        <w:rPr>
          <w:rFonts w:hint="eastAsia"/>
          <w:color w:val="auto"/>
          <w:highlight w:val="none"/>
          <w:lang w:eastAsia="zh-CN"/>
        </w:rPr>
        <w:t>二、保险</w:t>
      </w:r>
      <w:bookmarkStart w:id="50" w:name="_Toc393898447"/>
      <w:r>
        <w:rPr>
          <w:rFonts w:hint="eastAsia"/>
          <w:color w:val="auto"/>
          <w:highlight w:val="none"/>
          <w:lang w:eastAsia="zh-CN"/>
        </w:rPr>
        <w:t>方案</w:t>
      </w:r>
      <w:bookmarkEnd w:id="48"/>
      <w:bookmarkEnd w:id="49"/>
    </w:p>
    <w:bookmarkEnd w:id="50"/>
    <w:p>
      <w:pPr>
        <w:spacing w:line="360" w:lineRule="auto"/>
        <w:jc w:val="center"/>
        <w:rPr>
          <w:rFonts w:hint="eastAsia" w:ascii="宋体" w:hAnsi="宋体"/>
          <w:b/>
          <w:bCs/>
          <w:sz w:val="28"/>
          <w:szCs w:val="28"/>
          <w:highlight w:val="none"/>
          <w:lang w:eastAsia="zh-CN"/>
        </w:rPr>
      </w:pPr>
      <w:bookmarkStart w:id="51" w:name="_Toc243639256"/>
      <w:bookmarkStart w:id="52" w:name="_Toc395623564"/>
      <w:bookmarkStart w:id="53" w:name="_Toc211851506"/>
      <w:bookmarkStart w:id="54" w:name="_Toc32253"/>
      <w:bookmarkStart w:id="55" w:name="_Toc209598969"/>
      <w:r>
        <w:rPr>
          <w:rFonts w:hint="eastAsia" w:ascii="宋体" w:hAnsi="宋体"/>
          <w:b/>
          <w:bCs/>
          <w:sz w:val="28"/>
          <w:szCs w:val="28"/>
          <w:highlight w:val="none"/>
          <w:lang w:eastAsia="zh-CN"/>
        </w:rPr>
        <w:t>（一）明细表</w:t>
      </w:r>
    </w:p>
    <w:tbl>
      <w:tblPr>
        <w:tblStyle w:val="2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一、投保人名称地址：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投保人名称：</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color w:val="auto"/>
                <w:kern w:val="0"/>
                <w:sz w:val="24"/>
                <w:highlight w:val="none"/>
              </w:rPr>
              <w:t>投保人地址：</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二、被保险人：</w:t>
            </w:r>
          </w:p>
        </w:tc>
        <w:tc>
          <w:tcPr>
            <w:tcW w:w="7014" w:type="dxa"/>
            <w:noWrap w:val="0"/>
            <w:vAlign w:val="center"/>
          </w:tcPr>
          <w:p>
            <w:pPr>
              <w:spacing w:after="0" w:line="360" w:lineRule="auto"/>
              <w:rPr>
                <w:rFonts w:ascii="宋体" w:hAnsi="宋体" w:eastAsia="宋体"/>
                <w:b/>
                <w:szCs w:val="21"/>
                <w:highlight w:val="none"/>
                <w:lang w:eastAsia="zh-CN"/>
              </w:rPr>
            </w:pPr>
            <w:r>
              <w:rPr>
                <w:rFonts w:hint="eastAsia" w:ascii="宋体" w:hAnsi="宋体" w:eastAsia="宋体"/>
                <w:b/>
                <w:sz w:val="24"/>
                <w:szCs w:val="24"/>
                <w:highlight w:val="none"/>
                <w:lang w:eastAsia="zh-CN"/>
              </w:rPr>
              <w:t>①工程所有人：</w:t>
            </w:r>
          </w:p>
          <w:p>
            <w:pPr>
              <w:spacing w:after="0" w:line="360" w:lineRule="auto"/>
              <w:rPr>
                <w:rFonts w:ascii="宋体" w:hAnsi="宋体" w:eastAsia="宋体"/>
                <w:bCs/>
                <w:szCs w:val="21"/>
                <w:highlight w:val="none"/>
                <w:lang w:eastAsia="zh-CN"/>
              </w:rPr>
            </w:pPr>
            <w:r>
              <w:rPr>
                <w:rFonts w:hint="eastAsia" w:ascii="宋体" w:hAnsi="宋体" w:eastAsia="宋体"/>
                <w:b/>
                <w:sz w:val="24"/>
                <w:szCs w:val="24"/>
                <w:highlight w:val="none"/>
                <w:lang w:eastAsia="zh-CN"/>
              </w:rPr>
              <w:t>②工程承包人</w:t>
            </w:r>
            <w:r>
              <w:rPr>
                <w:rFonts w:hint="eastAsia" w:ascii="宋体" w:hAnsi="宋体" w:eastAsia="宋体" w:cs="宋体"/>
                <w:b/>
                <w:sz w:val="24"/>
                <w:szCs w:val="24"/>
                <w:highlight w:val="none"/>
                <w:lang w:eastAsia="zh-CN"/>
              </w:rPr>
              <w:t>：</w:t>
            </w:r>
          </w:p>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lang w:eastAsia="zh-CN"/>
              </w:rPr>
            </w:pPr>
            <w:r>
              <w:rPr>
                <w:rFonts w:hint="eastAsia" w:ascii="宋体" w:hAnsi="宋体" w:eastAsia="宋体"/>
                <w:b/>
                <w:sz w:val="24"/>
                <w:szCs w:val="24"/>
                <w:highlight w:val="none"/>
                <w:lang w:eastAsia="zh-CN"/>
              </w:rPr>
              <w:t>③其他关系方:</w:t>
            </w:r>
            <w:r>
              <w:rPr>
                <w:rFonts w:hint="eastAsia" w:ascii="宋体" w:hAnsi="宋体" w:eastAsia="宋体" w:cs="宋体"/>
                <w:sz w:val="24"/>
                <w:highlight w:val="none"/>
                <w:lang w:eastAsia="zh-CN"/>
              </w:rPr>
              <w:t>工程承包商、分包商，设备和材料制造商、供应商等；工程设计、监理、其他工程建设合同关系方。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三、保险工程名称：</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龙杨高速省界收费站改建停车区项目土建工程（以下简称“本项目”）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四、保险工程地址范围：</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lang w:eastAsia="zh-CN"/>
              </w:rPr>
              <w:t>本项目</w:t>
            </w:r>
            <w:r>
              <w:rPr>
                <w:rFonts w:hint="eastAsia" w:ascii="宋体" w:hAnsi="宋体" w:eastAsia="宋体" w:cs="宋体"/>
                <w:snapToGrid/>
                <w:kern w:val="0"/>
                <w:sz w:val="24"/>
                <w:highlight w:val="none"/>
              </w:rPr>
              <w:t>工程所在地，</w:t>
            </w:r>
            <w:r>
              <w:rPr>
                <w:rFonts w:hint="eastAsia" w:ascii="宋体" w:hAnsi="宋体" w:eastAsia="宋体" w:cs="宋体"/>
                <w:snapToGrid w:val="0"/>
                <w:kern w:val="0"/>
                <w:sz w:val="24"/>
                <w:highlight w:val="none"/>
              </w:rPr>
              <w:t>地址范围包括但不限于保险工程项目永久工程所在地及为实施施工专用施工区域（水域）、材料预制构件基地、工程设备和材料运达、存放的场所、取土/石场、弃渣场、搅拌站、工棚/库房等，和其它临时工程、临时建筑、临时设施所在地，上述各地域之间的运输途中以及国内工程物资供货地点至上述地域的内陆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第一部分：物质损失部分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Cs/>
                <w:snapToGrid/>
                <w:kern w:val="0"/>
                <w:sz w:val="24"/>
                <w:highlight w:val="none"/>
              </w:rPr>
              <w:t>保险金额</w:t>
            </w:r>
          </w:p>
        </w:tc>
        <w:tc>
          <w:tcPr>
            <w:tcW w:w="7014" w:type="dxa"/>
            <w:noWrap w:val="0"/>
            <w:vAlign w:val="center"/>
          </w:tcPr>
          <w:p>
            <w:pPr>
              <w:spacing w:line="240" w:lineRule="auto"/>
              <w:jc w:val="left"/>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物质损失部分保险金额为</w:t>
            </w:r>
            <w:r>
              <w:rPr>
                <w:rFonts w:hint="eastAsia" w:ascii="宋体" w:hAnsi="宋体" w:eastAsia="宋体" w:cs="宋体"/>
                <w:snapToGrid/>
                <w:kern w:val="0"/>
                <w:sz w:val="24"/>
                <w:szCs w:val="22"/>
                <w:highlight w:val="none"/>
                <w:lang w:eastAsia="zh-CN"/>
              </w:rPr>
              <w:t>签约</w:t>
            </w:r>
            <w:r>
              <w:rPr>
                <w:rFonts w:hint="eastAsia" w:ascii="宋体" w:hAnsi="宋体" w:eastAsia="宋体" w:cs="宋体"/>
                <w:snapToGrid/>
                <w:kern w:val="0"/>
                <w:sz w:val="24"/>
                <w:highlight w:val="none"/>
              </w:rPr>
              <w:t>合同</w:t>
            </w:r>
            <w:r>
              <w:rPr>
                <w:rFonts w:hint="eastAsia" w:ascii="宋体" w:hAnsi="宋体" w:eastAsia="宋体" w:cs="宋体"/>
                <w:sz w:val="24"/>
                <w:szCs w:val="22"/>
                <w:highlight w:val="none"/>
                <w:lang w:val="en-US" w:eastAsia="zh-CN"/>
              </w:rPr>
              <w:t>RMB</w:t>
            </w:r>
            <w:r>
              <w:rPr>
                <w:rFonts w:hint="eastAsia" w:ascii="宋体" w:hAnsi="宋体" w:cs="宋体"/>
                <w:sz w:val="24"/>
                <w:szCs w:val="22"/>
                <w:highlight w:val="none"/>
                <w:lang w:val="en-US" w:eastAsia="zh-CN"/>
              </w:rPr>
              <w:t>31135541</w:t>
            </w:r>
            <w:r>
              <w:rPr>
                <w:rFonts w:hint="eastAsia" w:ascii="宋体" w:hAnsi="宋体" w:eastAsia="宋体" w:cs="宋体"/>
                <w:sz w:val="24"/>
                <w:szCs w:val="22"/>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97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第二部分：第三者责任部分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赔偿限额：</w:t>
            </w:r>
          </w:p>
        </w:tc>
        <w:tc>
          <w:tcPr>
            <w:tcW w:w="7014" w:type="dxa"/>
            <w:noWrap w:val="0"/>
            <w:vAlign w:val="center"/>
          </w:tcPr>
          <w:p>
            <w:pPr>
              <w:spacing w:line="240" w:lineRule="auto"/>
              <w:ind w:firstLine="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每次事故及累计赔偿限额：</w:t>
            </w:r>
            <w:r>
              <w:rPr>
                <w:rFonts w:hint="eastAsia" w:ascii="宋体" w:hAnsi="宋体" w:cs="宋体"/>
                <w:kern w:val="0"/>
                <w:sz w:val="24"/>
                <w:highlight w:val="none"/>
                <w:lang w:val="en-US" w:eastAsia="zh-CN"/>
              </w:rPr>
              <w:t xml:space="preserve"> </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r>
              <w:rPr>
                <w:rFonts w:hint="eastAsia" w:ascii="宋体" w:hAnsi="宋体" w:cs="宋体"/>
                <w:kern w:val="0"/>
                <w:sz w:val="24"/>
                <w:highlight w:val="none"/>
                <w:lang w:val="en-US" w:eastAsia="zh-CN"/>
              </w:rPr>
              <w:t xml:space="preserve">  </w:t>
            </w:r>
          </w:p>
          <w:p>
            <w:pPr>
              <w:spacing w:line="240" w:lineRule="auto"/>
              <w:jc w:val="left"/>
              <w:rPr>
                <w:rFonts w:hint="eastAsia" w:ascii="宋体" w:hAnsi="宋体" w:eastAsia="宋体" w:cs="宋体"/>
                <w:highlight w:val="none"/>
              </w:rPr>
            </w:pPr>
            <w:r>
              <w:rPr>
                <w:rFonts w:hint="eastAsia" w:ascii="宋体" w:hAnsi="宋体" w:eastAsia="宋体" w:cs="宋体"/>
                <w:kern w:val="0"/>
                <w:sz w:val="24"/>
                <w:highlight w:val="none"/>
              </w:rPr>
              <w:t>每人每次事故责任限额：</w:t>
            </w:r>
            <w:r>
              <w:rPr>
                <w:rFonts w:hint="eastAsia" w:ascii="宋体" w:hAnsi="宋体" w:cs="Times New Roman"/>
                <w:sz w:val="21"/>
                <w:szCs w:val="21"/>
                <w:highlight w:val="none"/>
                <w:u w:val="single"/>
                <w:lang w:val="en-US" w:eastAsia="zh-CN"/>
              </w:rPr>
              <w:t xml:space="preserve">                  </w:t>
            </w:r>
            <w:r>
              <w:rPr>
                <w:rFonts w:hint="eastAsia" w:ascii="宋体" w:hAnsi="宋体"/>
                <w:bCs/>
                <w:sz w:val="21"/>
                <w:szCs w:val="21"/>
                <w:highlight w:val="none"/>
                <w:u w:val="single"/>
                <w:lang w:val="en-US" w:eastAsia="zh-CN"/>
              </w:rPr>
              <w:t xml:space="preserve">  </w:t>
            </w:r>
            <w:r>
              <w:rPr>
                <w:rFonts w:hint="eastAsia" w:ascii="宋体" w:hAnsi="宋体" w:eastAsia="宋体" w:cs="宋体"/>
                <w:kern w:val="0"/>
                <w:sz w:val="24"/>
                <w:highlight w:val="none"/>
              </w:rPr>
              <w:t>万元</w:t>
            </w:r>
          </w:p>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注：以上“事故”是指每一次事故或由同一原因/同一事件引起的一系列事故。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97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六、保险期间：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snapToGrid/>
                <w:kern w:val="0"/>
                <w:sz w:val="24"/>
                <w:highlight w:val="none"/>
              </w:rPr>
              <w:t>建</w:t>
            </w:r>
            <w:r>
              <w:rPr>
                <w:rFonts w:hint="eastAsia" w:ascii="宋体" w:hAnsi="宋体" w:eastAsia="宋体" w:cs="宋体"/>
                <w:snapToGrid/>
                <w:kern w:val="0"/>
                <w:sz w:val="24"/>
                <w:highlight w:val="none"/>
                <w:lang w:eastAsia="zh-CN"/>
              </w:rPr>
              <w:t>设</w:t>
            </w:r>
            <w:r>
              <w:rPr>
                <w:rFonts w:hint="eastAsia" w:ascii="宋体" w:hAnsi="宋体" w:eastAsia="宋体" w:cs="宋体"/>
                <w:snapToGrid/>
                <w:kern w:val="0"/>
                <w:sz w:val="24"/>
                <w:highlight w:val="none"/>
              </w:rPr>
              <w:t>期：</w:t>
            </w:r>
          </w:p>
        </w:tc>
        <w:tc>
          <w:tcPr>
            <w:tcW w:w="701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left"/>
              <w:textAlignment w:val="auto"/>
              <w:outlineLvl w:val="9"/>
              <w:rPr>
                <w:rFonts w:hint="eastAsia"/>
                <w:highlight w:val="none"/>
              </w:rPr>
            </w:pPr>
            <w:r>
              <w:rPr>
                <w:rFonts w:hint="eastAsia"/>
                <w:highlight w:val="none"/>
              </w:rPr>
              <w:t>从</w:t>
            </w:r>
            <w:r>
              <w:rPr>
                <w:rFonts w:hint="eastAsia"/>
                <w:highlight w:val="none"/>
                <w:lang w:eastAsia="zh-CN"/>
              </w:rPr>
              <w:t>签订合同之日起</w:t>
            </w:r>
            <w:r>
              <w:rPr>
                <w:rFonts w:hint="eastAsia"/>
                <w:highlight w:val="none"/>
              </w:rPr>
              <w:t>至</w:t>
            </w:r>
            <w:r>
              <w:rPr>
                <w:rFonts w:hint="eastAsia"/>
                <w:highlight w:val="none"/>
                <w:lang w:val="en-US" w:eastAsia="zh-CN"/>
              </w:rPr>
              <w:t>工程完工之日24时止</w:t>
            </w:r>
            <w:r>
              <w:rPr>
                <w:rFonts w:hint="eastAsia"/>
                <w:highlight w:val="none"/>
              </w:rPr>
              <w:t>。</w:t>
            </w:r>
          </w:p>
          <w:p>
            <w:pPr>
              <w:spacing w:line="240" w:lineRule="auto"/>
              <w:jc w:val="left"/>
              <w:rPr>
                <w:rFonts w:hint="eastAsia"/>
                <w:highlight w:val="none"/>
              </w:rPr>
            </w:pPr>
            <w:r>
              <w:rPr>
                <w:rFonts w:hint="eastAsia" w:ascii="宋体" w:hAnsi="宋体" w:eastAsia="宋体" w:cs="宋体"/>
                <w:kern w:val="0"/>
                <w:sz w:val="24"/>
                <w:highlight w:val="none"/>
              </w:rPr>
              <w:t>若本工程在上述期限中未按时整体竣工，本保险期限将自动延长180天，并不</w:t>
            </w:r>
            <w:r>
              <w:rPr>
                <w:rFonts w:hint="eastAsia" w:ascii="宋体" w:hAnsi="宋体" w:eastAsia="宋体" w:cs="宋体"/>
                <w:kern w:val="0"/>
                <w:sz w:val="24"/>
                <w:highlight w:val="none"/>
                <w:lang w:eastAsia="zh-CN"/>
              </w:rPr>
              <w:t>因</w:t>
            </w:r>
            <w:r>
              <w:rPr>
                <w:rFonts w:hint="eastAsia" w:ascii="宋体" w:hAnsi="宋体" w:eastAsia="宋体" w:cs="宋体"/>
                <w:kern w:val="0"/>
                <w:sz w:val="24"/>
                <w:highlight w:val="none"/>
              </w:rPr>
              <w:t>此加收任何附加保险费。若工程延期 180 天后，工程仍未整体竣工，保险人同意按照被保险人提前</w:t>
            </w:r>
            <w:r>
              <w:rPr>
                <w:rFonts w:hint="eastAsia" w:ascii="宋体" w:hAnsi="宋体" w:eastAsia="宋体" w:cs="宋体"/>
                <w:kern w:val="0"/>
                <w:sz w:val="24"/>
                <w:highlight w:val="none"/>
                <w:lang w:eastAsia="zh-CN"/>
              </w:rPr>
              <w:t>申</w:t>
            </w:r>
            <w:r>
              <w:rPr>
                <w:rFonts w:hint="eastAsia" w:ascii="宋体" w:hAnsi="宋体" w:eastAsia="宋体" w:cs="宋体"/>
                <w:kern w:val="0"/>
                <w:sz w:val="24"/>
                <w:highlight w:val="none"/>
              </w:rPr>
              <w:t>报而延长保险期限，但被保险人需按照日比例补缴相应的附加保费，附加保费=原保费</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超过180天后的延期天数÷(原保险期限天数+180天)</w:t>
            </w:r>
            <w:r>
              <w:rPr>
                <w:rFonts w:hint="eastAsia" w:ascii="宋体" w:hAnsi="宋体" w:eastAsia="宋体" w:cs="宋体"/>
                <w:kern w:val="0"/>
                <w:sz w:val="24"/>
                <w:highlight w:val="none"/>
                <w:lang w:val="en-US" w:eastAsia="zh-CN"/>
              </w:rPr>
              <w:t>×0.8</w:t>
            </w:r>
            <w:r>
              <w:rPr>
                <w:rFonts w:hint="eastAsia" w:ascii="宋体" w:hAnsi="宋体" w:eastAsia="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七、每次事故绝对免赔额：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color w:val="FF0000"/>
                <w:kern w:val="0"/>
                <w:sz w:val="24"/>
                <w:highlight w:val="none"/>
              </w:rPr>
            </w:pPr>
            <w:r>
              <w:rPr>
                <w:rFonts w:hint="eastAsia" w:ascii="宋体" w:hAnsi="宋体" w:eastAsia="宋体" w:cs="宋体"/>
                <w:color w:val="000000"/>
                <w:kern w:val="21"/>
                <w:sz w:val="24"/>
                <w:szCs w:val="24"/>
                <w:highlight w:val="none"/>
              </w:rPr>
              <w:t>物质损失部分：</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b/>
                <w:snapToGrid/>
                <w:color w:val="FF0000"/>
                <w:kern w:val="0"/>
                <w:sz w:val="24"/>
                <w:highlight w:val="none"/>
                <w:lang w:val="en-US"/>
              </w:rPr>
            </w:pPr>
            <w:r>
              <w:rPr>
                <w:rFonts w:hint="eastAsia" w:ascii="宋体" w:hAnsi="宋体" w:cs="Times New Roman"/>
                <w:sz w:val="21"/>
                <w:szCs w:val="21"/>
                <w:highlight w:val="none"/>
                <w:u w:val="single"/>
                <w:lang w:val="en-US" w:eastAsia="zh-CN"/>
              </w:rPr>
              <w:t xml:space="preserve"> 50000元或损失金额的5%，以高者为准。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第三者责任部分：</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rPr>
            </w:pPr>
            <w:r>
              <w:rPr>
                <w:rFonts w:hint="eastAsia" w:ascii="宋体" w:hAnsi="宋体" w:cs="Times New Roman"/>
                <w:sz w:val="21"/>
                <w:szCs w:val="21"/>
                <w:highlight w:val="none"/>
                <w:u w:val="single"/>
                <w:lang w:val="en-US" w:eastAsia="zh-CN"/>
              </w:rPr>
              <w:t xml:space="preserve"> 2000元或损失金额10%，以高者为准。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7"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rPr>
              <w:t>注：</w:t>
            </w:r>
            <w:r>
              <w:rPr>
                <w:rFonts w:hint="eastAsia" w:ascii="宋体" w:hAnsi="宋体" w:eastAsia="宋体" w:cs="宋体"/>
                <w:snapToGrid/>
                <w:kern w:val="0"/>
                <w:sz w:val="24"/>
                <w:highlight w:val="none"/>
              </w:rPr>
              <w:t>以上“事故”是指每一次事故或由同一事件引起的一系列事故。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eastAsia="宋体" w:cs="宋体"/>
                <w:b/>
                <w:snapToGrid/>
                <w:kern w:val="0"/>
                <w:sz w:val="24"/>
                <w:highlight w:val="none"/>
                <w:lang w:eastAsia="zh-CN"/>
              </w:rPr>
              <w:t>八</w:t>
            </w:r>
            <w:r>
              <w:rPr>
                <w:rFonts w:hint="eastAsia" w:ascii="宋体" w:hAnsi="宋体" w:eastAsia="宋体" w:cs="宋体"/>
                <w:b/>
                <w:snapToGrid/>
                <w:kern w:val="0"/>
                <w:sz w:val="24"/>
                <w:highlight w:val="none"/>
              </w:rPr>
              <w:t>、保险费：</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default" w:ascii="宋体" w:hAnsi="宋体" w:eastAsia="宋体" w:cs="宋体"/>
                <w:snapToGrid/>
                <w:kern w:val="0"/>
                <w:sz w:val="24"/>
                <w:highlight w:val="none"/>
                <w:lang w:val="en-US" w:eastAsia="zh-CN"/>
              </w:rPr>
            </w:pPr>
            <w:r>
              <w:rPr>
                <w:rFonts w:hint="eastAsia" w:ascii="宋体" w:hAnsi="宋体" w:eastAsia="宋体" w:cs="宋体"/>
                <w:snapToGrid/>
                <w:kern w:val="0"/>
                <w:sz w:val="24"/>
                <w:highlight w:val="none"/>
              </w:rPr>
              <w:t>物质损失部分及第三者责任部分：</w:t>
            </w:r>
            <w:r>
              <w:rPr>
                <w:rFonts w:hint="eastAsia" w:ascii="宋体" w:hAnsi="宋体" w:eastAsia="宋体" w:cs="宋体"/>
                <w:snapToGrid/>
                <w:kern w:val="0"/>
                <w:sz w:val="24"/>
                <w:szCs w:val="24"/>
                <w:highlight w:val="none"/>
                <w:lang w:val="en-US" w:eastAsia="zh-CN" w:bidi="ar-SA"/>
              </w:rPr>
              <w:t xml:space="preserve">RMB </w:t>
            </w:r>
            <w:r>
              <w:rPr>
                <w:rFonts w:hint="eastAsia" w:ascii="宋体" w:hAnsi="宋体" w:cs="宋体"/>
                <w:kern w:val="0"/>
                <w:sz w:val="24"/>
                <w:highlight w:val="none"/>
                <w:lang w:val="en-US" w:eastAsia="zh-CN"/>
              </w:rPr>
              <w:t xml:space="preserve">   </w:t>
            </w:r>
            <w:r>
              <w:rPr>
                <w:rFonts w:hint="eastAsia" w:ascii="宋体" w:hAnsi="宋体" w:eastAsia="宋体" w:cs="宋体"/>
                <w:snapToGrid/>
                <w:kern w:val="0"/>
                <w:sz w:val="24"/>
                <w:szCs w:val="24"/>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b/>
                <w:snapToGrid/>
                <w:kern w:val="0"/>
                <w:sz w:val="24"/>
                <w:highlight w:val="none"/>
                <w:lang w:val="en-US" w:eastAsia="zh-CN"/>
              </w:rPr>
            </w:pPr>
            <w:r>
              <w:rPr>
                <w:rFonts w:hint="eastAsia" w:ascii="宋体" w:hAnsi="宋体" w:eastAsia="宋体" w:cs="宋体"/>
                <w:b/>
                <w:snapToGrid/>
                <w:kern w:val="0"/>
                <w:sz w:val="24"/>
                <w:highlight w:val="none"/>
                <w:lang w:eastAsia="zh-CN"/>
              </w:rPr>
              <w:t>九</w:t>
            </w:r>
            <w:r>
              <w:rPr>
                <w:rFonts w:hint="eastAsia" w:ascii="宋体" w:hAnsi="宋体" w:eastAsia="宋体" w:cs="宋体"/>
                <w:b/>
                <w:snapToGrid/>
                <w:kern w:val="0"/>
                <w:sz w:val="24"/>
                <w:highlight w:val="none"/>
              </w:rPr>
              <w:t>、基本条款：</w:t>
            </w:r>
          </w:p>
        </w:tc>
        <w:tc>
          <w:tcPr>
            <w:tcW w:w="701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cs="宋体"/>
                <w:kern w:val="21"/>
                <w:sz w:val="24"/>
                <w:szCs w:val="24"/>
                <w:highlight w:val="none"/>
                <w:lang w:val="en-US" w:eastAsia="zh-CN"/>
              </w:rPr>
            </w:pPr>
            <w:r>
              <w:rPr>
                <w:rFonts w:hint="eastAsia" w:ascii="宋体" w:hAnsi="宋体" w:eastAsia="宋体" w:cs="宋体"/>
                <w:b w:val="0"/>
                <w:bCs w:val="0"/>
                <w:snapToGrid/>
                <w:color w:val="000000"/>
                <w:kern w:val="0"/>
                <w:sz w:val="24"/>
                <w:highlight w:val="none"/>
              </w:rPr>
              <w:t>建筑工程一切险条款</w:t>
            </w:r>
            <w:r>
              <w:rPr>
                <w:rFonts w:hint="eastAsia" w:ascii="宋体" w:hAnsi="宋体" w:eastAsia="宋体" w:cs="宋体"/>
                <w:b w:val="0"/>
                <w:bCs w:val="0"/>
                <w:snapToGrid/>
                <w:color w:val="000000"/>
                <w:kern w:val="0"/>
                <w:sz w:val="24"/>
                <w:highlight w:val="none"/>
                <w:lang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snapToGrid/>
                <w:kern w:val="0"/>
                <w:sz w:val="24"/>
                <w:highlight w:val="none"/>
              </w:rPr>
            </w:pPr>
            <w:r>
              <w:rPr>
                <w:rFonts w:hint="eastAsia" w:ascii="宋体" w:hAnsi="宋体" w:cs="宋体"/>
                <w:b/>
                <w:snapToGrid/>
                <w:kern w:val="0"/>
                <w:sz w:val="24"/>
                <w:highlight w:val="none"/>
                <w:lang w:val="en-US" w:eastAsia="zh-CN"/>
              </w:rPr>
              <w:t>十</w:t>
            </w:r>
            <w:r>
              <w:rPr>
                <w:rFonts w:hint="eastAsia" w:ascii="宋体" w:hAnsi="宋体" w:eastAsia="宋体" w:cs="宋体"/>
                <w:b/>
                <w:snapToGrid/>
                <w:kern w:val="0"/>
                <w:sz w:val="24"/>
                <w:highlight w:val="none"/>
              </w:rPr>
              <w:t>、特别约定：</w:t>
            </w:r>
          </w:p>
        </w:tc>
        <w:tc>
          <w:tcPr>
            <w:tcW w:w="7014" w:type="dxa"/>
            <w:noWrap w:val="0"/>
            <w:vAlign w:val="center"/>
          </w:tcPr>
          <w:p>
            <w:pPr>
              <w:pStyle w:val="48"/>
              <w:numPr>
                <w:ilvl w:val="0"/>
                <w:numId w:val="0"/>
              </w:numPr>
              <w:tabs>
                <w:tab w:val="left" w:pos="420"/>
              </w:tabs>
              <w:spacing w:line="240" w:lineRule="auto"/>
              <w:ind w:left="0" w:firstLine="0" w:firstLineChars="0"/>
              <w:jc w:val="left"/>
              <w:rPr>
                <w:rFonts w:hint="default" w:ascii="宋体" w:hAnsi="宋体" w:eastAsia="宋体" w:cs="宋体"/>
                <w:kern w:val="21"/>
                <w:sz w:val="24"/>
                <w:szCs w:val="24"/>
                <w:highlight w:val="none"/>
                <w:lang w:val="en-US" w:eastAsia="zh-CN"/>
              </w:rPr>
            </w:pPr>
            <w:r>
              <w:rPr>
                <w:rFonts w:hint="eastAsia" w:ascii="宋体" w:hAnsi="宋体" w:eastAsia="宋体" w:cs="宋体"/>
                <w:kern w:val="21"/>
                <w:sz w:val="24"/>
                <w:szCs w:val="24"/>
                <w:highlight w:val="none"/>
                <w:lang w:val="en-US" w:eastAsia="zh-CN"/>
              </w:rPr>
              <w:t>1.</w:t>
            </w:r>
            <w:r>
              <w:rPr>
                <w:rFonts w:hint="eastAsia" w:ascii="宋体" w:hAnsi="宋体" w:eastAsia="宋体" w:cs="宋体"/>
                <w:kern w:val="21"/>
                <w:sz w:val="24"/>
                <w:szCs w:val="24"/>
                <w:highlight w:val="none"/>
              </w:rPr>
              <w:t>条款效力优先约定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2.</w:t>
            </w:r>
            <w:r>
              <w:rPr>
                <w:rFonts w:hint="eastAsia" w:ascii="宋体" w:hAnsi="宋体" w:eastAsia="宋体" w:cs="宋体"/>
                <w:kern w:val="21"/>
                <w:sz w:val="24"/>
                <w:szCs w:val="24"/>
                <w:highlight w:val="none"/>
              </w:rPr>
              <w:t>第三方造成事故赔偿约定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3.</w:t>
            </w:r>
            <w:r>
              <w:rPr>
                <w:rFonts w:hint="eastAsia" w:ascii="宋体" w:hAnsi="宋体" w:eastAsia="宋体" w:cs="宋体"/>
                <w:kern w:val="21"/>
                <w:sz w:val="24"/>
                <w:szCs w:val="24"/>
                <w:highlight w:val="none"/>
              </w:rPr>
              <w:t>第三者责任之赔偿处理约定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4.</w:t>
            </w:r>
            <w:r>
              <w:rPr>
                <w:rFonts w:hint="eastAsia" w:ascii="宋体" w:hAnsi="宋体" w:eastAsia="宋体" w:cs="宋体"/>
                <w:kern w:val="21"/>
                <w:sz w:val="24"/>
                <w:szCs w:val="24"/>
                <w:highlight w:val="none"/>
              </w:rPr>
              <w:t>事故发生的通知义务</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5.</w:t>
            </w:r>
            <w:r>
              <w:rPr>
                <w:rFonts w:hint="eastAsia" w:ascii="宋体" w:hAnsi="宋体" w:eastAsia="宋体" w:cs="宋体"/>
                <w:kern w:val="21"/>
                <w:sz w:val="24"/>
                <w:szCs w:val="24"/>
                <w:highlight w:val="none"/>
              </w:rPr>
              <w:t>保单终止约定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6.</w:t>
            </w:r>
            <w:r>
              <w:rPr>
                <w:rFonts w:hint="eastAsia" w:ascii="宋体" w:hAnsi="宋体" w:eastAsia="宋体" w:cs="宋体"/>
                <w:kern w:val="21"/>
                <w:sz w:val="24"/>
                <w:szCs w:val="24"/>
                <w:highlight w:val="none"/>
              </w:rPr>
              <w:t>赔偿约定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7.</w:t>
            </w:r>
            <w:r>
              <w:rPr>
                <w:rFonts w:hint="eastAsia" w:ascii="宋体" w:hAnsi="宋体" w:eastAsia="宋体" w:cs="宋体"/>
                <w:kern w:val="21"/>
                <w:sz w:val="24"/>
                <w:szCs w:val="24"/>
                <w:highlight w:val="none"/>
              </w:rPr>
              <w:t>周转性材料及临时设施赔偿特别约定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8.</w:t>
            </w:r>
            <w:r>
              <w:rPr>
                <w:rFonts w:hint="eastAsia" w:ascii="宋体" w:hAnsi="宋体" w:eastAsia="宋体" w:cs="宋体"/>
                <w:kern w:val="21"/>
                <w:sz w:val="24"/>
                <w:szCs w:val="24"/>
                <w:highlight w:val="none"/>
              </w:rPr>
              <w:t>调整变更约定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9.</w:t>
            </w:r>
            <w:r>
              <w:rPr>
                <w:rFonts w:hint="eastAsia" w:ascii="宋体" w:hAnsi="宋体" w:eastAsia="宋体" w:cs="宋体"/>
                <w:kern w:val="21"/>
                <w:sz w:val="24"/>
                <w:szCs w:val="24"/>
                <w:highlight w:val="none"/>
              </w:rPr>
              <w:t>建（构）筑物裂缝责任特别约定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10.</w:t>
            </w:r>
            <w:r>
              <w:rPr>
                <w:rFonts w:hint="eastAsia" w:ascii="宋体" w:hAnsi="宋体" w:eastAsia="宋体" w:cs="宋体"/>
                <w:kern w:val="21"/>
                <w:sz w:val="24"/>
                <w:szCs w:val="24"/>
                <w:highlight w:val="none"/>
              </w:rPr>
              <w:t>损失理算约定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11.</w:t>
            </w:r>
            <w:r>
              <w:rPr>
                <w:rFonts w:hint="eastAsia" w:ascii="宋体" w:hAnsi="宋体" w:eastAsia="宋体" w:cs="宋体"/>
                <w:kern w:val="21"/>
                <w:sz w:val="24"/>
                <w:szCs w:val="24"/>
                <w:highlight w:val="none"/>
              </w:rPr>
              <w:t>工程宣传环境标志、标识标牌、安全标志约定</w:t>
            </w:r>
          </w:p>
          <w:p>
            <w:pPr>
              <w:pStyle w:val="48"/>
              <w:numPr>
                <w:ilvl w:val="0"/>
                <w:numId w:val="0"/>
              </w:numPr>
              <w:tabs>
                <w:tab w:val="left" w:pos="420"/>
              </w:tabs>
              <w:spacing w:line="240" w:lineRule="auto"/>
              <w:ind w:left="0" w:firstLine="0" w:firstLineChars="0"/>
              <w:jc w:val="left"/>
              <w:rPr>
                <w:rFonts w:hint="eastAsia" w:ascii="宋体" w:hAnsi="宋体" w:eastAsia="宋体" w:cs="宋体"/>
                <w:kern w:val="21"/>
                <w:sz w:val="24"/>
                <w:szCs w:val="24"/>
                <w:highlight w:val="none"/>
              </w:rPr>
            </w:pPr>
            <w:r>
              <w:rPr>
                <w:rFonts w:hint="eastAsia" w:ascii="宋体" w:hAnsi="宋体" w:eastAsia="宋体" w:cs="宋体"/>
                <w:kern w:val="21"/>
                <w:sz w:val="24"/>
                <w:szCs w:val="24"/>
                <w:highlight w:val="none"/>
                <w:lang w:val="en-US" w:eastAsia="zh-CN"/>
              </w:rPr>
              <w:t>1</w:t>
            </w:r>
            <w:r>
              <w:rPr>
                <w:rFonts w:hint="eastAsia" w:ascii="宋体" w:hAnsi="宋体" w:cs="宋体"/>
                <w:kern w:val="21"/>
                <w:sz w:val="24"/>
                <w:szCs w:val="24"/>
                <w:highlight w:val="none"/>
                <w:lang w:val="en-US" w:eastAsia="zh-CN"/>
              </w:rPr>
              <w:t>2</w:t>
            </w:r>
            <w:r>
              <w:rPr>
                <w:rFonts w:hint="eastAsia" w:ascii="宋体" w:hAnsi="宋体" w:eastAsia="宋体" w:cs="宋体"/>
                <w:kern w:val="21"/>
                <w:sz w:val="24"/>
                <w:szCs w:val="24"/>
                <w:highlight w:val="none"/>
                <w:lang w:val="en-US" w:eastAsia="zh-CN"/>
              </w:rPr>
              <w:t>.</w:t>
            </w:r>
            <w:r>
              <w:rPr>
                <w:rFonts w:hint="eastAsia" w:ascii="宋体" w:hAnsi="宋体" w:eastAsia="宋体" w:cs="宋体"/>
                <w:kern w:val="21"/>
                <w:sz w:val="24"/>
                <w:szCs w:val="24"/>
                <w:highlight w:val="none"/>
              </w:rPr>
              <w:t>保险期间延期约定</w:t>
            </w:r>
          </w:p>
          <w:p>
            <w:pPr>
              <w:pStyle w:val="48"/>
              <w:numPr>
                <w:ilvl w:val="0"/>
                <w:numId w:val="0"/>
              </w:numPr>
              <w:tabs>
                <w:tab w:val="left" w:pos="420"/>
              </w:tabs>
              <w:spacing w:line="240" w:lineRule="auto"/>
              <w:ind w:left="0" w:firstLine="0" w:firstLineChars="0"/>
              <w:jc w:val="left"/>
              <w:rPr>
                <w:rFonts w:hint="eastAsia" w:ascii="宋体" w:hAnsi="宋体" w:eastAsia="宋体" w:cs="宋体"/>
                <w:snapToGrid/>
                <w:kern w:val="0"/>
                <w:highlight w:val="none"/>
              </w:rPr>
            </w:pPr>
            <w:r>
              <w:rPr>
                <w:rFonts w:hint="eastAsia" w:ascii="宋体" w:hAnsi="宋体" w:cs="宋体"/>
                <w:kern w:val="21"/>
                <w:sz w:val="24"/>
                <w:szCs w:val="24"/>
                <w:highlight w:val="none"/>
                <w:lang w:val="en-US" w:eastAsia="zh-CN"/>
              </w:rPr>
              <w:t>13.</w:t>
            </w:r>
            <w:r>
              <w:rPr>
                <w:rFonts w:hint="eastAsia" w:ascii="宋体" w:hAnsi="宋体" w:eastAsia="宋体" w:cs="宋体"/>
                <w:kern w:val="21"/>
                <w:sz w:val="24"/>
                <w:szCs w:val="24"/>
                <w:highlight w:val="none"/>
              </w:rPr>
              <w:t>草木约定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kern w:val="0"/>
                <w:sz w:val="24"/>
                <w:highlight w:val="none"/>
              </w:rPr>
            </w:pPr>
            <w:r>
              <w:rPr>
                <w:rFonts w:hint="eastAsia" w:ascii="宋体" w:hAnsi="宋体" w:eastAsia="宋体" w:cs="宋体"/>
                <w:b/>
                <w:snapToGrid/>
                <w:kern w:val="0"/>
                <w:sz w:val="24"/>
                <w:highlight w:val="none"/>
              </w:rPr>
              <w:t>十</w:t>
            </w:r>
            <w:r>
              <w:rPr>
                <w:rFonts w:hint="eastAsia" w:ascii="宋体" w:hAnsi="宋体" w:cs="宋体"/>
                <w:b/>
                <w:snapToGrid/>
                <w:kern w:val="0"/>
                <w:sz w:val="24"/>
                <w:highlight w:val="none"/>
                <w:lang w:val="en-US" w:eastAsia="zh-CN"/>
              </w:rPr>
              <w:t>一</w:t>
            </w:r>
            <w:r>
              <w:rPr>
                <w:rFonts w:hint="eastAsia" w:ascii="宋体" w:hAnsi="宋体" w:eastAsia="宋体" w:cs="宋体"/>
                <w:b/>
                <w:snapToGrid/>
                <w:kern w:val="0"/>
                <w:sz w:val="24"/>
                <w:highlight w:val="none"/>
              </w:rPr>
              <w:t>、司法管辖：</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kern w:val="0"/>
                <w:sz w:val="24"/>
                <w:highlight w:val="none"/>
              </w:rPr>
            </w:pPr>
            <w:r>
              <w:rPr>
                <w:rFonts w:hint="eastAsia" w:ascii="宋体" w:hAnsi="宋体" w:eastAsia="宋体" w:cs="宋体"/>
                <w:snapToGrid/>
                <w:kern w:val="0"/>
                <w:sz w:val="24"/>
                <w:highlight w:val="none"/>
              </w:rPr>
              <w:t>中华人民共和国（不含港澳台）司法管辖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b/>
                <w:snapToGrid/>
                <w:color w:val="auto"/>
                <w:kern w:val="0"/>
                <w:sz w:val="24"/>
                <w:highlight w:val="none"/>
              </w:rPr>
            </w:pPr>
            <w:r>
              <w:rPr>
                <w:rFonts w:hint="eastAsia" w:ascii="宋体" w:hAnsi="宋体" w:eastAsia="宋体" w:cs="宋体"/>
                <w:b/>
                <w:snapToGrid/>
                <w:color w:val="auto"/>
                <w:kern w:val="0"/>
                <w:sz w:val="24"/>
                <w:highlight w:val="none"/>
              </w:rPr>
              <w:t>十</w:t>
            </w:r>
            <w:r>
              <w:rPr>
                <w:rFonts w:hint="eastAsia" w:ascii="宋体" w:hAnsi="宋体" w:cs="宋体"/>
                <w:b/>
                <w:snapToGrid/>
                <w:color w:val="auto"/>
                <w:kern w:val="0"/>
                <w:sz w:val="24"/>
                <w:highlight w:val="none"/>
                <w:lang w:val="en-US" w:eastAsia="zh-CN"/>
              </w:rPr>
              <w:t>二</w:t>
            </w:r>
            <w:r>
              <w:rPr>
                <w:rFonts w:hint="eastAsia" w:ascii="宋体" w:hAnsi="宋体" w:eastAsia="宋体" w:cs="宋体"/>
                <w:b/>
                <w:snapToGrid/>
                <w:color w:val="auto"/>
                <w:kern w:val="0"/>
                <w:sz w:val="24"/>
                <w:highlight w:val="none"/>
              </w:rPr>
              <w:t>、争议处理：</w:t>
            </w:r>
          </w:p>
        </w:tc>
        <w:tc>
          <w:tcPr>
            <w:tcW w:w="7014" w:type="dxa"/>
            <w:noWrap w:val="0"/>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eastAsia="宋体" w:cs="宋体"/>
                <w:snapToGrid/>
                <w:color w:val="auto"/>
                <w:kern w:val="0"/>
                <w:sz w:val="24"/>
                <w:highlight w:val="none"/>
              </w:rPr>
            </w:pPr>
            <w:r>
              <w:rPr>
                <w:rFonts w:hint="eastAsia" w:ascii="宋体" w:hAnsi="宋体" w:eastAsia="宋体" w:cs="宋体"/>
                <w:snapToGrid/>
                <w:color w:val="auto"/>
                <w:kern w:val="0"/>
                <w:sz w:val="24"/>
                <w:highlight w:val="none"/>
              </w:rPr>
              <w:t>通过友好协商，共同解决争端。如果协商不成，可选择向本保险合同签署地</w:t>
            </w:r>
            <w:r>
              <w:rPr>
                <w:rFonts w:hint="eastAsia" w:ascii="宋体" w:hAnsi="宋体" w:eastAsia="宋体" w:cs="宋体"/>
                <w:snapToGrid/>
                <w:color w:val="auto"/>
                <w:kern w:val="0"/>
                <w:sz w:val="24"/>
                <w:highlight w:val="none"/>
                <w:u w:val="single"/>
                <w:lang w:val="en-US" w:eastAsia="zh-CN"/>
              </w:rPr>
              <w:t>赣州市</w:t>
            </w:r>
            <w:r>
              <w:rPr>
                <w:rFonts w:hint="eastAsia" w:ascii="宋体" w:hAnsi="宋体" w:eastAsia="宋体" w:cs="宋体"/>
                <w:snapToGrid/>
                <w:color w:val="auto"/>
                <w:kern w:val="0"/>
                <w:sz w:val="24"/>
                <w:highlight w:val="none"/>
              </w:rPr>
              <w:t>人民法院提起诉讼。</w:t>
            </w:r>
          </w:p>
        </w:tc>
      </w:tr>
    </w:tbl>
    <w:p>
      <w:pPr>
        <w:pStyle w:val="4"/>
        <w:rPr>
          <w:rFonts w:hint="eastAsia"/>
          <w:highlight w:val="none"/>
          <w:lang w:eastAsia="zh-CN"/>
        </w:rPr>
      </w:pPr>
    </w:p>
    <w:p>
      <w:pPr>
        <w:spacing w:line="360" w:lineRule="auto"/>
        <w:rPr>
          <w:rFonts w:ascii="宋体" w:hAnsi="宋体"/>
          <w:b/>
          <w:bCs/>
          <w:sz w:val="32"/>
          <w:szCs w:val="32"/>
          <w:highlight w:val="none"/>
          <w:lang w:eastAsia="zh-CN"/>
        </w:rPr>
      </w:pPr>
    </w:p>
    <w:p>
      <w:pPr>
        <w:spacing w:line="360" w:lineRule="auto"/>
        <w:jc w:val="center"/>
        <w:rPr>
          <w:rFonts w:hint="eastAsia" w:ascii="宋体" w:hAnsi="宋体"/>
          <w:b/>
          <w:bCs/>
          <w:sz w:val="24"/>
          <w:highlight w:val="none"/>
          <w:lang w:eastAsia="zh-CN"/>
        </w:rPr>
        <w:sectPr>
          <w:footerReference r:id="rId4" w:type="default"/>
          <w:pgSz w:w="11907" w:h="16840"/>
          <w:pgMar w:top="1247" w:right="2268" w:bottom="1247" w:left="1418" w:header="851" w:footer="992" w:gutter="227"/>
          <w:pgNumType w:fmt="decimal" w:start="1"/>
          <w:cols w:space="720" w:num="1"/>
          <w:docGrid w:linePitch="312" w:charSpace="0"/>
        </w:sectPr>
      </w:pPr>
    </w:p>
    <w:p>
      <w:pPr>
        <w:spacing w:line="360" w:lineRule="auto"/>
        <w:jc w:val="center"/>
        <w:rPr>
          <w:rFonts w:hint="eastAsia" w:ascii="宋体" w:hAnsi="宋体"/>
          <w:b/>
          <w:bCs/>
          <w:sz w:val="24"/>
          <w:highlight w:val="none"/>
          <w:lang w:eastAsia="zh-CN"/>
        </w:rPr>
      </w:pPr>
      <w:r>
        <w:rPr>
          <w:rFonts w:hint="eastAsia" w:ascii="宋体" w:hAnsi="宋体"/>
          <w:b/>
          <w:bCs/>
          <w:sz w:val="24"/>
          <w:highlight w:val="none"/>
          <w:lang w:eastAsia="zh-CN"/>
        </w:rPr>
        <w:t>（二）条款措辞</w:t>
      </w:r>
    </w:p>
    <w:p>
      <w:pPr>
        <w:spacing w:line="360" w:lineRule="auto"/>
        <w:rPr>
          <w:rFonts w:hint="eastAsia" w:ascii="宋体" w:hAnsi="宋体"/>
          <w:b/>
          <w:bCs/>
          <w:szCs w:val="21"/>
          <w:highlight w:val="none"/>
          <w:lang w:eastAsia="zh-CN"/>
        </w:rPr>
      </w:pPr>
      <w:r>
        <w:rPr>
          <w:rFonts w:hint="eastAsia" w:ascii="宋体" w:hAnsi="宋体"/>
          <w:b/>
          <w:bCs/>
          <w:szCs w:val="21"/>
          <w:highlight w:val="none"/>
          <w:u w:val="single"/>
          <w:lang w:eastAsia="zh-CN"/>
        </w:rPr>
        <w:t>下列措辞以特别约定、特别条款、基本条款为序，排序在前者效力优先。</w:t>
      </w:r>
    </w:p>
    <w:p>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第一部分：特别约定</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1、条款效力优先约定：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本保单条款措辞由特别约定、特别条款、基本条款构成，并以排序在前者效力优先。</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2、第三方造成事故赔偿约定：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第三方原因造成本保险项下保险事故（含恶意破坏），保险人同意，被保险人在告知合理修复方案的前提下可先行修复，并按照本保单之规定给予赔付，但被保险人应将对第三方追偿之权利转让给保险人，并积极协助保险人进行追偿。</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3、第三者责任之赔偿处理约定：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发生第三者责任事故，保险公司应积极参与事故调解。若被保险人要求保险公司参与事故调解，保险公司应派员工参与事故调解，如保险公司不派员工参与，则视同保险公司完全认可被保险人与第三者达成的赔偿协议及调解结果。如在处理过程中聘请相关权威鉴定部门进行技术鉴定，由保险公司承担其鉴定费用。</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4、事故发生的通知义务：</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在事故发生后及时通知保险人，并积极配合保险人的查勘定损工作，双方进一步约定：1）保险人仅在投保人、被保险人或者受益人故意或者因重大过失未及时通知的情况下有权免责，而且免责的范围限于因上述人员未及时通知导致保险事故的性质、原因、损失程度等难以确定的部分；2）对于保险人可以通过其他途径已经及时知道或者应当及时知道保险事故发生的（如新闻媒体报道的重大事故等），不得以投保人、被保险人或者受益人未及时通知为由拒绝承担赔偿责任。</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5、保单终止约定：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投保人可提前30天书面申请通知保险人终止保单，保险人应按日比例计算退还保费。未经双方协商同意，除非投保人未按约定缴纳保费，保险人不得单方终止本保单。</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6、赔偿约定：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保险期间内，投保人应按保险单约定时间支付各期保险费，保险人自保险责任生效之日起承担保险责任。</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保险责任生效后，投保人因合理原因要求终止本保单合同的，投保人应按日费率向保险人缴纳投保人提出终止保险合同前保险期间内的保险费，保险人认可投保人在此期间为足额投保。对于投保人提出终止保险合同前发生的保险事故，保险人按照保险合同约定足额赔偿。</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7、周转性材料及临时设施赔偿特别约定：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本保单对保险责任造成周转性材料和临时设施的损失负责赔偿，其中：</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定义：临时设施是指业主或施工企业为本工程施工所必需的生活和生产用的临时建筑物、构筑物和其他设施，如：临时工棚、脚手架、电线、管道（包括吹泥管线等）、电话和其他通讯设施、照明和其他临时装置；场地办公室、工人帐篷、仓库和其他临时建筑物及其内部设备；木材、模板、临时桥梁、临时停靠码头、盖板、围堰、钢盖板、大栏杆及吊架杆、便道、临时铁轨、临时护墙、水路改道、取土坑和矸子山等。</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赔偿约定：无论其在本工程的工程合同明细清单中是否列明，保险人应按照如下方式进行赔偿：A.可在本工程中一次性摊销完毕的周转性材料和临时设施，如未使用前或使用过程中发生损失，则按照其重置价值赔偿；B.可重复使用或非在本工程中一次性摊销完毕的周转性材料和临时设施，则计算其在本工程中的摊销价值的方式和次数，扣除已经摊销部分后进行赔偿，但对于该部分标的赔偿最高不超过重置价值的50%。</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机械设备损失</w:t>
      </w:r>
      <w:r>
        <w:rPr>
          <w:rFonts w:hint="eastAsia" w:ascii="宋体" w:hAnsi="宋体" w:eastAsia="宋体" w:cs="宋体"/>
          <w:sz w:val="22"/>
          <w:szCs w:val="22"/>
          <w:highlight w:val="none"/>
          <w:lang w:eastAsia="zh-CN"/>
        </w:rPr>
        <w:t>只赔付因自然灾害造成设备的维修费用，不负责赔偿机器自身质量及操作等因素造成的标的的灭失及损失。</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8、调整变更约定：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工程在施工过程中将根据实际情况变更或调整设计规范、施工工艺方法等（简称“设计变更”），保险人同意只要上述变更或调整符合本项目的管理程序，被保险人不需要向保险人申报，设计变更部分（含新增部分）自动纳入保险金额，在此情况下如发生保险事故，保险人不得以设计变更为由拒赔，或以保险金额变化为由要求比例赔付，但保险人有权随时查阅上述变更或调整的相关文件、资料。</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9、建（构）筑物裂缝责任特别约定：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兹经双方同意，因爆破施工作业造成“特别条款 建（构）筑物裂缝责任扩展条款”规定的保险责任事故，保险人同意按如下约定处理：</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在一个施工标段及其邻近区域（作业面半径500米范围内），自第一次爆破开始至该施工标段最后一次爆破完成为止，在此期间所有因爆破施工导致的建（构）筑物裂缝责任事故，视为同一次事故；</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双方进一步约定，被保险人一旦获悉建（构）筑物裂缝责任事故发生，应及时向保险人报案，保险人应待该施工标段爆破施工全部完成后，统一合并处理。</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每次事故免赔为：RMB1万元或损失金额的15%，以高者为准。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宋体"/>
          <w:kern w:val="2"/>
          <w:sz w:val="22"/>
          <w:szCs w:val="22"/>
          <w:highlight w:val="none"/>
        </w:rPr>
        <w:t>关于裂缝责任损失的认定，保险人有权聘请有资质的专业机构进行评估后确定，聘</w:t>
      </w:r>
      <w:r>
        <w:rPr>
          <w:rFonts w:hint="eastAsia" w:ascii="宋体" w:hAnsi="宋体" w:eastAsia="宋体" w:cs="宋体"/>
          <w:kern w:val="2"/>
          <w:sz w:val="22"/>
          <w:szCs w:val="22"/>
          <w:highlight w:val="none"/>
          <w:lang w:eastAsia="zh-CN"/>
        </w:rPr>
        <w:t>请专业机构的费用完全由保险人承担。</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10、损失理算约定：</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发生保险事故后，如果预计物质损失部分的索赔金额超过RMB100万或对损失原因发生争议时，保险人可聘请投保人或被保险人、经纪公司认可的公估公司协助认定责任和/或金额，聘请公估人的费用由保险人支付。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11、工程宣传环境标志、标识标牌、安全标志约定</w:t>
      </w:r>
    </w:p>
    <w:p>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本保险单保险标的包括但不限于宣传栏（牌）、宣传标语、彩门、文化活动室、工程标识牌图、安全操作规程牌、安全标志等，具体以甲方标准化建设管理手册为准。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12、船舶碰撞事故约定（适用于含涉水工程项目）：</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兹经双方同意，本项目因船舶（包括外来船舶和本项目自用船舶）的碰撞或船舶缆绳影响，而造成保险财产的损失，不论碰撞标的物的部位，也不论此时水下地形有无冲刷或淤积变化均属保险责任范围。</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明确，因外来船舶碰撞造成保险财产的损失后，被保险人须严格履行我国有关航道或水路运输管理规定中的相关职责，同时立即采取一切必要措施，保全证据，并保留向责任方索赔的一切权利。在保险人支付赔款后，被保险人应将向该责任方追偿的权利转让给保险人，移交一切必要的单证，并协助保险人向责任方追偿。</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13、水面运输约定（适用于含涉水工程项目）：</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兹经双方同意，保险人负责赔偿被保险财产在中华人民共和国境内从供货地点到本保险单中列明的工地的水运途中因自然灾害或意外事故引起的损失。</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每次事故赔偿限额：见明细表</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14、保险期间延期约定</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保险期间内，如投保人需要对保险期间进行延期的，保险人同意：</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（1）为保证变更及时性，本《延期申请》由投保人或投保人项目经理部签章后，</w:t>
      </w:r>
      <w:r>
        <w:rPr>
          <w:rFonts w:hint="eastAsia" w:ascii="宋体" w:hAnsi="宋体" w:cs="宋体"/>
          <w:kern w:val="2"/>
          <w:sz w:val="22"/>
          <w:szCs w:val="22"/>
          <w:highlight w:val="none"/>
          <w:lang w:eastAsia="zh-CN"/>
        </w:rPr>
        <w:t>赣州高速公路有限责任公司</w:t>
      </w:r>
      <w:r>
        <w:rPr>
          <w:rFonts w:hint="eastAsia" w:ascii="宋体" w:hAnsi="宋体" w:eastAsia="宋体" w:cs="宋体"/>
          <w:kern w:val="2"/>
          <w:sz w:val="22"/>
          <w:szCs w:val="22"/>
          <w:highlight w:val="none"/>
        </w:rPr>
        <w:t>将《延期申请》扫描件以邮件形式发送至承保公司指定联络邮箱，即视为申请送达。</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（2）本项目延长期限在建筑安装期免费顺延期限及以内的，保险人承诺在收到《延期申请》扫描件后1个工作日内，完成保险期间批改并出具批单。</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3）本项目延长期限超过建筑安装期免费顺延期限的，保险人承诺在收到《延期申请》扫描件及按照保险协议约定方式计算的延长期限超过建筑安装期免费顺延期限部分的保险费后1个工作日内，完成保险期间批改并出具批单。</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eastAsia="zh-CN"/>
        </w:rPr>
        <w:t>15、草木约定</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公司同意赔偿由于自然灾害、意外事故造成本工程储存或种植的一切各类型植物（包括但不限于种子、花草树木、草皮）损失，赔偿范围包括但不限于苗木费、苗木包装费、运输到施工现场费用、清理及栽种等相关费用。</w:t>
      </w:r>
    </w:p>
    <w:p>
      <w:pPr>
        <w:pStyle w:val="48"/>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双方进一步明确：保险人不负责赔偿季节性枯萎、虫灾、鼠咬、人为践踏、渐变原因、偷盗、被保险人养护不当等造成的植物损失；</w:t>
      </w:r>
    </w:p>
    <w:p>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Times New Roman"/>
          <w:b/>
          <w:kern w:val="0"/>
          <w:sz w:val="24"/>
          <w:szCs w:val="22"/>
          <w:highlight w:val="none"/>
          <w:lang w:val="en-US" w:eastAsia="zh-CN" w:bidi="en-US"/>
        </w:rPr>
        <w:sectPr>
          <w:pgSz w:w="11907" w:h="16840"/>
          <w:pgMar w:top="1247" w:right="2268" w:bottom="1247" w:left="1418" w:header="851" w:footer="992" w:gutter="227"/>
          <w:pgNumType w:fmt="decimal"/>
          <w:cols w:space="720" w:num="1"/>
          <w:docGrid w:linePitch="312" w:charSpace="0"/>
        </w:sectPr>
      </w:pPr>
    </w:p>
    <w:p>
      <w:pPr>
        <w:pStyle w:val="48"/>
        <w:keepNext w:val="0"/>
        <w:keepLines w:val="0"/>
        <w:pageBreakBefore w:val="0"/>
        <w:widowControl/>
        <w:kinsoku/>
        <w:wordWrap/>
        <w:overflowPunct/>
        <w:topLinePunct w:val="0"/>
        <w:autoSpaceDN/>
        <w:bidi w:val="0"/>
        <w:adjustRightInd/>
        <w:snapToGrid/>
        <w:spacing w:after="0" w:line="360" w:lineRule="auto"/>
        <w:ind w:right="0" w:firstLine="482" w:firstLineChars="200"/>
        <w:jc w:val="center"/>
        <w:rPr>
          <w:rFonts w:hint="eastAsia" w:ascii="宋体" w:hAnsi="宋体" w:eastAsia="宋体" w:cs="宋体"/>
          <w:kern w:val="2"/>
          <w:sz w:val="22"/>
          <w:szCs w:val="22"/>
          <w:highlight w:val="none"/>
        </w:rPr>
      </w:pPr>
      <w:r>
        <w:rPr>
          <w:rFonts w:hint="eastAsia" w:ascii="宋体" w:hAnsi="宋体" w:eastAsia="宋体" w:cs="Times New Roman"/>
          <w:b/>
          <w:kern w:val="0"/>
          <w:sz w:val="24"/>
          <w:szCs w:val="22"/>
          <w:highlight w:val="none"/>
          <w:lang w:val="en-US" w:eastAsia="zh-CN" w:bidi="en-US"/>
        </w:rPr>
        <w:t>第二部分：特别条款措辞</w:t>
      </w:r>
    </w:p>
    <w:p>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适用于第一部分物质损失部分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lang w:eastAsia="zh-CN"/>
        </w:rPr>
        <w:t>罢工、暴乱及民众骚动扩展条款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本保险扩展承保由于罢工、暴乱及民众骚动引起的损失。但本扩展条款仅负责由下列原因直接引起的保险财产的损失：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任何个人参与他人进行社会骚乱的活动(无论是否与罢工有关)；</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任何合法当局对该骚乱进行平息或试图平息，或为减轻该骚乱造成的后果所采取的行动；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任何罢工者为扩大罢工规模，或抵制厂方关闭工厂而采取的故意行为；</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任何合法当局为预防，或试图预防该故意行为，或为减轻该故意行为造成的后果所采取的行动。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双方进一步同意：</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除下述特别条件另有规定外，本保险单所有条款、除外责任及条件等均适用于本扩展条款。本保险单的责任范围亦将包括本扩展条款承保的损失。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下述特别条件仅适用于本扩展条款。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①</w:t>
      </w:r>
      <w:r>
        <w:rPr>
          <w:rFonts w:hint="eastAsia" w:ascii="宋体" w:hAnsi="宋体" w:eastAsia="宋体" w:cs="宋体"/>
          <w:sz w:val="22"/>
          <w:szCs w:val="22"/>
          <w:highlight w:val="none"/>
        </w:rPr>
        <w:t xml:space="preserve">.本保险单对以下原因造成的损失不予负责： </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全部停工或部分停工，或工程实施过程中的延迟、中断、停止；</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 xml:space="preserve"> 任何合法当局没收、征用保险财产造成被保险人永久或临时的权益丧失；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 xml:space="preserve"> 任何人非法占有建筑物造成被保险人对该建筑物永久或临时的权益丧失；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但保险公司对上述</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及</w:t>
      </w: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项下被保险人的权益丧失之前，或临时丧失期间的保险财产的物质损失负责赔偿。</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②</w:t>
      </w:r>
      <w:r>
        <w:rPr>
          <w:rFonts w:hint="eastAsia" w:ascii="宋体" w:hAnsi="宋体" w:eastAsia="宋体" w:cs="宋体"/>
          <w:sz w:val="22"/>
          <w:szCs w:val="22"/>
          <w:highlight w:val="none"/>
        </w:rPr>
        <w:t>. 本保险对下列原因引起的直接或间接损失不予负责：</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战争、入侵、外敌行为、敌对行为、类似战争行为(无论宣战与否)、内乱；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兵变、民众骚动导致的全民起义、军队起义、暴动、叛乱、革命、军事行动或篡权行动；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代表任何组织，或与之有关联的任何个人采取的旨在动用武力推翻或用恐怖及暴力行为影响政府的行动 (合法的或事实上的)。</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一旦发生诉讼，且保险公司根据本特别条件申明损失不属本保险责任范围时，被保险人如有异议，则举证之责应由保险公司承担。</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lang w:eastAsia="zh-CN"/>
        </w:rPr>
        <w:t>设计师责任扩展条款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w:t>
      </w:r>
      <w:r>
        <w:rPr>
          <w:rFonts w:hint="eastAsia" w:ascii="宋体" w:hAnsi="宋体" w:eastAsia="宋体" w:cs="Times New Roman"/>
          <w:b/>
          <w:bCs/>
          <w:szCs w:val="21"/>
          <w:highlight w:val="none"/>
          <w:lang w:eastAsia="zh-CN"/>
        </w:rPr>
        <w:t>清理费用扩展条款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保险人负责赔偿被保险人因本保险单项下的保险财产损失而发生的：</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清除、拆除、打捞、转移受毁损财产的费用；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支撑受损财产的费用；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恢复在保险事故发生前已经客观存在的施工条件而产生的清理费用，即使该保险事故未造成被保险财产损失，如清理外来物、清理土石方等；</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lang w:eastAsia="zh-CN"/>
        </w:rPr>
        <w:t>专业费用条款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lang w:eastAsia="zh-CN"/>
        </w:rPr>
        <w:t>特别费用扩展条款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本条款项下每次事故赔偿限额：见明细表；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lang w:eastAsia="zh-CN"/>
        </w:rPr>
        <w:t>空运费扩展条款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兹经双方同意，鉴于被保险人已按约定缴付了附加的保险费，本保险扩展承保空运费，但该空运费须与本保险单项下予以赔偿的保险财产的损失有关。</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7.</w:t>
      </w:r>
      <w:r>
        <w:rPr>
          <w:rFonts w:hint="eastAsia" w:ascii="宋体" w:hAnsi="宋体" w:eastAsia="宋体" w:cs="Times New Roman"/>
          <w:b/>
          <w:bCs/>
          <w:szCs w:val="21"/>
          <w:highlight w:val="none"/>
          <w:lang w:eastAsia="zh-CN"/>
        </w:rPr>
        <w:t>灭火费用扩展条款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兹经双方同意，本保险扩展承保下列损失：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灭火过程中的费用；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暂时性防护设施建造费用；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清理水和其他物质的费用。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灭火费用不应计入本保单项下财产的重置价值内。</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8.</w:t>
      </w:r>
      <w:r>
        <w:rPr>
          <w:rFonts w:hint="eastAsia" w:ascii="宋体" w:hAnsi="宋体" w:eastAsia="宋体" w:cs="Times New Roman"/>
          <w:b/>
          <w:bCs/>
          <w:szCs w:val="21"/>
          <w:highlight w:val="none"/>
          <w:lang w:eastAsia="zh-CN"/>
        </w:rPr>
        <w:t>工程图纸、文件特别条款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兹经双方同意，保险人负责赔偿被保险人因本保险单项下承保风险造成工程图纸及文件的损失而产生的重新绘制、重新制作的费用。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9.</w:t>
      </w:r>
      <w:r>
        <w:rPr>
          <w:rFonts w:hint="eastAsia" w:ascii="宋体" w:hAnsi="宋体" w:eastAsia="宋体" w:cs="Times New Roman"/>
          <w:b/>
          <w:bCs/>
          <w:szCs w:val="21"/>
          <w:highlight w:val="none"/>
          <w:lang w:eastAsia="zh-CN"/>
        </w:rPr>
        <w:t>自动恢复保额条款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兹经双方同意，在保险人对保险财产的损失予以赔偿后，原保险金额自动恢复。且被保险人无须支付恢复保险金额部分的保险费。</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10.</w:t>
      </w:r>
      <w:r>
        <w:rPr>
          <w:rFonts w:hint="eastAsia" w:ascii="宋体" w:hAnsi="宋体" w:eastAsia="宋体" w:cs="Times New Roman"/>
          <w:b/>
          <w:bCs/>
          <w:szCs w:val="21"/>
          <w:highlight w:val="none"/>
          <w:lang w:eastAsia="zh-CN"/>
        </w:rPr>
        <w:t>扩展责任保证期扩展条款（保证期限：见明细表）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扩展承保以下列明的保证期内因被保险的承包人为履行工程合同在进行维修保养的过程中所造成的保险工程的损失，以及在完工证书签出前的建筑或安装期内由于施工原因导致保证期内发生的保险工程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保证期限：见明细表</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11.</w:t>
      </w:r>
      <w:r>
        <w:rPr>
          <w:rFonts w:hint="eastAsia" w:ascii="宋体" w:hAnsi="宋体" w:eastAsia="宋体" w:cs="Times New Roman"/>
          <w:b/>
          <w:bCs/>
          <w:szCs w:val="21"/>
          <w:highlight w:val="none"/>
          <w:lang w:eastAsia="zh-CN"/>
        </w:rPr>
        <w:t>工地外储存物特别条款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兹经双方同意，本保险合同扩展承保本保险合同明细表中列明的工地以外的储存物，但该储存物的金额应包括在保险金额中。被保险人应根据保险人要求提供：</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工地外储存的地址：</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储存物的最高金额：</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储存期限：</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被保险人应保证：</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上述工地外储存地点必须有安全警卫人员24小时值班；</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上述工地外储存地点必须符合储存物的存放要求。</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每一储存地点每次事故最高赔偿限额：见明细表</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12.</w:t>
      </w:r>
      <w:r>
        <w:rPr>
          <w:rFonts w:hint="eastAsia" w:ascii="宋体" w:hAnsi="宋体" w:eastAsia="宋体" w:cs="Times New Roman"/>
          <w:b/>
          <w:bCs/>
          <w:szCs w:val="21"/>
          <w:highlight w:val="none"/>
          <w:lang w:eastAsia="zh-CN"/>
        </w:rPr>
        <w:t>内陆运输条款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被保险人的保险财产在中华人民共和国境内供货地点到本保险合同中列明的工地除水运和空运以外的内陆运输途中因自然灾害或意外事故引起的损失。但被保险财产在运输时必须有合格的包装及装载。</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13.</w:t>
      </w:r>
      <w:r>
        <w:rPr>
          <w:rFonts w:hint="eastAsia" w:ascii="宋体" w:hAnsi="宋体" w:eastAsia="宋体" w:cs="Times New Roman"/>
          <w:b/>
          <w:bCs/>
          <w:szCs w:val="21"/>
          <w:highlight w:val="none"/>
          <w:lang w:eastAsia="zh-CN"/>
        </w:rPr>
        <w:t>运输险、工程险责任分摊条款</w:t>
      </w:r>
      <w:r>
        <w:rPr>
          <w:rFonts w:hint="eastAsia" w:ascii="宋体" w:hAnsi="宋体" w:eastAsia="宋体" w:cs="Times New Roman"/>
          <w:b/>
          <w:bCs/>
          <w:szCs w:val="21"/>
          <w:highlight w:val="none"/>
          <w:lang w:eastAsia="zh-CN"/>
        </w:rPr>
        <w:tab/>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兹经双方同意，本公司要求：</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一旦原材料及设备运抵工地，被保险人应立即检验其运输途中可能发生的损失，若裸装货物损失明显，被保险人应在运输险保险单下提出索赔。</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若包装的货物未立即开箱，需放置一段时间，则被保险人应观察检验外包装是否有货损迹象。若货损迹象明显,被保险人应在运输险保险单下提出索赔。</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若货物外包装无货损迹象，并且货物仍处于包装状态，直至货物开箱时才发现损失，该损失将视作发生在运输期间,除非从损失的性质上有明显的证据表明损失确系发生在运输保险终止后。</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若无明显证据确定损失的发生时间，则该损失将由运输保险及本保险各分摊50%。</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14.</w:t>
      </w:r>
      <w:r>
        <w:rPr>
          <w:rFonts w:hint="eastAsia" w:ascii="宋体" w:hAnsi="宋体" w:eastAsia="宋体" w:cs="Times New Roman"/>
          <w:b/>
          <w:bCs/>
          <w:szCs w:val="21"/>
          <w:highlight w:val="none"/>
          <w:lang w:eastAsia="zh-CN"/>
        </w:rPr>
        <w:t>地下文物责任扩展特别条款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兹经双方同意，本保险单扩展承保因为施工遭遇地下文物，文物管理部门要求的维护、照管等行为所发生的额外费用，并相应顺延保险期间。</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15.</w:t>
      </w:r>
      <w:r>
        <w:rPr>
          <w:rFonts w:hint="eastAsia" w:ascii="宋体" w:hAnsi="宋体" w:eastAsia="宋体" w:cs="Times New Roman"/>
          <w:b/>
          <w:bCs/>
          <w:szCs w:val="21"/>
          <w:highlight w:val="none"/>
          <w:lang w:eastAsia="zh-CN"/>
        </w:rPr>
        <w:t>转移至安全地点特别条款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兹经双方同意，被保险人为避免可能发生保险事故造成损失而将保险财产临时性转移至邻近的安全地点时的保险财产遭受的损失，保险人负责赔偿。</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16.</w:t>
      </w:r>
      <w:r>
        <w:rPr>
          <w:rFonts w:hint="eastAsia" w:ascii="宋体" w:hAnsi="宋体" w:eastAsia="宋体" w:cs="Times New Roman"/>
          <w:b/>
          <w:bCs/>
          <w:szCs w:val="21"/>
          <w:highlight w:val="none"/>
          <w:lang w:eastAsia="zh-CN"/>
        </w:rPr>
        <w:t>场外装配扩展条款</w:t>
      </w:r>
      <w:r>
        <w:rPr>
          <w:rFonts w:hint="eastAsia" w:ascii="宋体" w:hAnsi="宋体" w:eastAsia="宋体" w:cs="Times New Roman"/>
          <w:b/>
          <w:bCs/>
          <w:szCs w:val="21"/>
          <w:highlight w:val="none"/>
          <w:lang w:eastAsia="zh-CN"/>
        </w:rPr>
        <w:tab/>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兹经双方同意，本保单扩展承保保险财产在场外、临近现场区域装配、修理期间因本保险单承保风险发生导致的物质损失和损坏。</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17.</w:t>
      </w:r>
      <w:r>
        <w:rPr>
          <w:rFonts w:hint="eastAsia" w:ascii="宋体" w:hAnsi="宋体" w:eastAsia="宋体" w:cs="Times New Roman"/>
          <w:b/>
          <w:bCs/>
          <w:szCs w:val="21"/>
          <w:highlight w:val="none"/>
          <w:lang w:eastAsia="zh-CN"/>
        </w:rPr>
        <w:t>公共当局扩展条款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经双方同意，因保险事故造成保险标的损失，在重建或修复时，由于必须执行公共当局的有关法律、法令、法规产生的额外费用，保险人按照本保险合同的约定负责赔偿。但以下列约定为条件：</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下列情况下执行上述法律、法令、法规产生的额外费用，保险人不负责赔偿：</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本条款生效之前发生的损失；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B.</w:t>
      </w:r>
      <w:r>
        <w:rPr>
          <w:rFonts w:hint="eastAsia" w:ascii="宋体" w:hAnsi="宋体" w:eastAsia="宋体" w:cs="宋体"/>
          <w:sz w:val="22"/>
          <w:szCs w:val="22"/>
          <w:highlight w:val="none"/>
        </w:rPr>
        <w:t>本保险合同责任范围以外的损失；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C.</w:t>
      </w:r>
      <w:r>
        <w:rPr>
          <w:rFonts w:hint="eastAsia" w:ascii="宋体" w:hAnsi="宋体" w:eastAsia="宋体" w:cs="宋体"/>
          <w:sz w:val="22"/>
          <w:szCs w:val="22"/>
          <w:highlight w:val="none"/>
        </w:rPr>
        <w:t>发生损失前被保险人已接到有关当局关于拆除、重建的通知；</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D.</w:t>
      </w:r>
      <w:r>
        <w:rPr>
          <w:rFonts w:hint="eastAsia" w:ascii="宋体" w:hAnsi="宋体" w:eastAsia="宋体" w:cs="宋体"/>
          <w:sz w:val="22"/>
          <w:szCs w:val="22"/>
          <w:highlight w:val="none"/>
        </w:rPr>
        <w:t>未受损保险标的（但不包括被保险的地基）的修复、拆除、重建。</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的重建、修复工作必须立即实施，并在损失发生之日起十二个月或经保险人书面同意延长的期限内完工；若根据有关法律、法令、法规及其附则，该受损保险标的必须在其他地点重建、修复时，保险人亦可赔偿，但保险人的赔偿责任不得因此增加。</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若在本保险合同项下保险标的受损，但按本保险合同约定，保险人的赔偿责任减少时，则本附加条款项下的赔偿责任也相应减少。</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保险人对任何一项受损保险标的的赔偿金额不得超过该项目在本保险合同中列明的保险金额。</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18.</w:t>
      </w:r>
      <w:r>
        <w:rPr>
          <w:rFonts w:hint="eastAsia" w:ascii="宋体" w:hAnsi="宋体" w:eastAsia="宋体" w:cs="Times New Roman"/>
          <w:b/>
          <w:bCs/>
          <w:szCs w:val="21"/>
          <w:highlight w:val="none"/>
          <w:lang w:eastAsia="zh-CN"/>
        </w:rPr>
        <w:t>安装试车条款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兹经双方同意，本保险合同扩展承保本工程项目中安装工程部分在安装试车过程中因超负荷、超电压、碰线、电弧、漏电、短路、大气放电等电气或机械故障原因而造成保险标的本身及其它被保险财产的损失。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19.</w:t>
      </w:r>
      <w:r>
        <w:rPr>
          <w:rFonts w:hint="eastAsia" w:ascii="宋体" w:hAnsi="宋体" w:eastAsia="宋体" w:cs="Times New Roman"/>
          <w:b/>
          <w:bCs/>
          <w:szCs w:val="21"/>
          <w:highlight w:val="none"/>
          <w:lang w:eastAsia="zh-CN"/>
        </w:rPr>
        <w:t>被保险人控制财产扩展条款</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物质损失部分项下扩展承保工地内现有财产或被保险人所有、照看、照管或控制的工地内财产由于本保险单项下承保的工程施工所造成的损失或损坏。本保险单仅对在施工之前完好的并采取了必要保护措施的财产的损失或损坏负责赔偿。如因震动、移动或减弱支撑造成保险财产的损失或损坏，保险人仅负责赔偿保险财产由于全部或部分倒塌造成的损失，而对既不会影响建筑稳固也不会对其使用者造成危险的保险财产的表面损失，保险人不负责赔偿。</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保险人不负责赔偿下列损失：</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根据工程性质和挖掘方法，本可以预见到的损失；</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在保险期限内采取必要的防损措施所支付的费用。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20.</w:t>
      </w:r>
      <w:r>
        <w:rPr>
          <w:rFonts w:hint="eastAsia" w:ascii="宋体" w:hAnsi="宋体" w:eastAsia="宋体" w:cs="Times New Roman"/>
          <w:b/>
          <w:bCs/>
          <w:szCs w:val="21"/>
          <w:highlight w:val="none"/>
          <w:lang w:eastAsia="zh-CN"/>
        </w:rPr>
        <w:t>管理费用条款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兹经双方同意,保险人负责赔偿保险标的发生保险损失时,被保险人为修复工作所发生的额外的合理的管理费用，但施工合同金额内的管理费不在本保险赔偿范围。</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本保单所载其它条件不变。</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21.</w:t>
      </w:r>
      <w:r>
        <w:rPr>
          <w:rFonts w:hint="eastAsia" w:ascii="宋体" w:hAnsi="宋体" w:eastAsia="宋体" w:cs="Times New Roman"/>
          <w:b/>
          <w:bCs/>
          <w:szCs w:val="21"/>
          <w:highlight w:val="none"/>
          <w:lang w:eastAsia="zh-CN"/>
        </w:rPr>
        <w:t>赔偿基础条款（150%）</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将依据出险后以恢复受损标的之设计功能为基本赔偿原则，以恢复、修理、重置、替换和修复受损毁标的的全部费用为赔偿标准，但以不超过物质损失部分保险金额的150%为限（清理费用、施救费用等其他有关的赔偿费用另行计算），即使此费用不同于最初建筑费用或损失前价值。</w:t>
      </w:r>
    </w:p>
    <w:p>
      <w:pPr>
        <w:keepNext w:val="0"/>
        <w:keepLines w:val="0"/>
        <w:pageBreakBefore w:val="0"/>
        <w:widowControl/>
        <w:numPr>
          <w:ilvl w:val="0"/>
          <w:numId w:val="0"/>
        </w:numPr>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22.</w:t>
      </w:r>
      <w:r>
        <w:rPr>
          <w:rFonts w:hint="eastAsia" w:ascii="宋体" w:hAnsi="宋体" w:eastAsia="宋体" w:cs="Times New Roman"/>
          <w:b/>
          <w:bCs/>
          <w:szCs w:val="21"/>
          <w:highlight w:val="none"/>
          <w:lang w:eastAsia="zh-CN"/>
        </w:rPr>
        <w:t>预防措施条款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如果保险财产发生了实际损失（或即将发生损失，但需事先通知保险人并取得其认可），保险人将负责支付为了防止、降低或减少本可在本保险合同项下获得赔偿的此类损失而产生的必要的合理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适用于第二部分第三者责任部分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23.</w:t>
      </w:r>
      <w:r>
        <w:rPr>
          <w:rFonts w:hint="eastAsia" w:ascii="宋体" w:hAnsi="宋体" w:eastAsia="宋体" w:cs="Times New Roman"/>
          <w:b/>
          <w:bCs/>
          <w:szCs w:val="21"/>
          <w:highlight w:val="none"/>
          <w:lang w:eastAsia="zh-CN"/>
        </w:rPr>
        <w:t>交叉责任条款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 本保险单第三者责任项下的保障范围将适用于本保险单明细表列明的所有被保险人,就如同每一被保险人均持有一份独立的保险单, 但保险公司对被保险人不承担以下赔偿责任:</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已在或可在本保险合同物质损失部分投保的财产损失，包括因免赔额，或赔偿限额规定不予赔偿的损失；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已在或应在劳工保险或雇主责任保险项下投保的被保险人的雇员的疾病或人身伤亡。</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保险公司对所有被保险人由一次事故或同一事由引起的数次事故承担的全部责任不得超过保险单明细表中列明的每次事故赔偿限额。</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24.</w:t>
      </w:r>
      <w:r>
        <w:rPr>
          <w:rFonts w:hint="eastAsia" w:ascii="宋体" w:hAnsi="宋体" w:eastAsia="宋体" w:cs="Times New Roman"/>
          <w:b/>
          <w:bCs/>
          <w:szCs w:val="21"/>
          <w:highlight w:val="none"/>
          <w:lang w:eastAsia="zh-CN"/>
        </w:rPr>
        <w:t>震动、移动或减弱支撑扩展条款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兹经双方同意，鉴于投保人已缴付了附加的保险费，本保险合同第三者责任项下扩展承保由于震动、移动或减弱支撑而造成的第三者财产损失和人身伤亡责任，但以下列条件为限：</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第三者的财产、土地或建筑全部或部分倒塌；</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被保险人在施工开始之前，第三者的财产、土地或建筑物处于完好状态并采取了必要的防护措施；</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如经保险人要求，被保险人在施工开始之前应自负费用向保险人提供书面报告说明任何受到危及的第三者财产、土地或建筑物的情况。</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保险人不负责赔偿被保险人</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因工程性质和施工方式而导致的可预知的第三者财产损失和人身伤亡责任；</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既不影响第三者财产、土地或建筑物的稳定性，又不危及其拥有人的表面损坏；</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在保险期内，被保险人为防止损失发生而采取预防或减少损失的费用。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25.</w:t>
      </w:r>
      <w:r>
        <w:rPr>
          <w:rFonts w:hint="eastAsia" w:ascii="宋体" w:hAnsi="宋体" w:eastAsia="宋体" w:cs="Times New Roman"/>
          <w:b/>
          <w:bCs/>
          <w:szCs w:val="21"/>
          <w:highlight w:val="none"/>
          <w:lang w:eastAsia="zh-CN"/>
        </w:rPr>
        <w:t>工地访问条款</w:t>
      </w:r>
      <w:r>
        <w:rPr>
          <w:rFonts w:hint="eastAsia" w:ascii="宋体" w:hAnsi="宋体" w:eastAsia="宋体" w:cs="Times New Roman"/>
          <w:b/>
          <w:bCs/>
          <w:szCs w:val="21"/>
          <w:highlight w:val="none"/>
          <w:lang w:eastAsia="zh-CN"/>
        </w:rPr>
        <w:tab/>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工程访问者、参观者、检查者，或参加奠基、揭礼或类似典礼的，或任何其它没有直接参与工程建造的（含技术顾问、探亲人员等），但经工程所有人以及工程承包商同意在保险合同列明工地范围内活动的人员，皆属于本保险合同“第三者责任险”所指的第三者范畴。</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26.</w:t>
      </w:r>
      <w:r>
        <w:rPr>
          <w:rFonts w:hint="eastAsia" w:ascii="宋体" w:hAnsi="宋体" w:eastAsia="宋体" w:cs="Times New Roman"/>
          <w:b/>
          <w:bCs/>
          <w:szCs w:val="21"/>
          <w:highlight w:val="none"/>
          <w:lang w:eastAsia="zh-CN"/>
        </w:rPr>
        <w:t>妨碍、扰乱行为扩展条款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的保障将扩展赔偿被保险人由于妨碍、失去舒适、非法侵害或干扰道路、灯、空中、水中的使用权而引起的法律责任或任何原因引起干扰第三者的财产或工作或使用或价值，除非是由于工作性质不可避免的、合理的、可预见的。</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27.</w:t>
      </w:r>
      <w:r>
        <w:rPr>
          <w:rFonts w:hint="eastAsia" w:ascii="宋体" w:hAnsi="宋体" w:eastAsia="宋体" w:cs="Times New Roman"/>
          <w:b/>
          <w:bCs/>
          <w:szCs w:val="21"/>
          <w:highlight w:val="none"/>
          <w:lang w:eastAsia="zh-CN"/>
        </w:rPr>
        <w:t>急救费用条款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兹经双方同意，本保险合同扩展赔偿被保险人因本保险合同明细表中列明的施工场地及其邻近区域内发生意外事故造成第三者人身伤亡时应支付的合理急救和救护车的费用。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28.</w:t>
      </w:r>
      <w:r>
        <w:rPr>
          <w:rFonts w:hint="eastAsia" w:ascii="宋体" w:hAnsi="宋体" w:eastAsia="宋体" w:cs="Times New Roman"/>
          <w:b/>
          <w:bCs/>
          <w:szCs w:val="21"/>
          <w:highlight w:val="none"/>
          <w:lang w:eastAsia="zh-CN"/>
        </w:rPr>
        <w:t>建（构）筑物裂缝责任扩展条款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29.</w:t>
      </w:r>
      <w:r>
        <w:rPr>
          <w:rFonts w:hint="eastAsia" w:ascii="宋体" w:hAnsi="宋体" w:eastAsia="宋体" w:cs="Times New Roman"/>
          <w:b/>
          <w:bCs/>
          <w:szCs w:val="21"/>
          <w:highlight w:val="none"/>
          <w:lang w:eastAsia="zh-CN"/>
        </w:rPr>
        <w:t>自然灾害责任损失扩展条款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每次事故赔偿限额：见明细表；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30.</w:t>
      </w:r>
      <w:r>
        <w:rPr>
          <w:rFonts w:hint="eastAsia" w:ascii="宋体" w:hAnsi="宋体" w:eastAsia="宋体" w:cs="Times New Roman"/>
          <w:b/>
          <w:bCs/>
          <w:szCs w:val="21"/>
          <w:highlight w:val="none"/>
          <w:lang w:eastAsia="zh-CN"/>
        </w:rPr>
        <w:t>车辆/船舶装卸责任条款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兹经双方同意并约定，本附加险扩展承保被保险人因其拥有或租用的车辆/船舶在进行与被保险工程有关的装卸过程中发生意外事故造成第三者人身伤亡或财产损失时应负的赔偿责任。</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主险条款与本附加险条款相抵触之处，以本附加险条款为准；本附加险条款未约定事项，以主险条款为准。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31.</w:t>
      </w:r>
      <w:r>
        <w:rPr>
          <w:rFonts w:hint="eastAsia" w:ascii="宋体" w:hAnsi="宋体" w:eastAsia="宋体" w:cs="Times New Roman"/>
          <w:b/>
          <w:bCs/>
          <w:szCs w:val="21"/>
          <w:highlight w:val="none"/>
          <w:lang w:eastAsia="zh-CN"/>
        </w:rPr>
        <w:t>跨线施工条款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在施工过程中需要跨线(包括铁路、公路及乡间道路)而非故意损坏沿线相邻的铁路、公路及乡间道路设施或机车，汽车等财产及人员伤亡，依法应由本工程施工方负责的第三者经济损失，保险人负责赔偿。</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32.</w:t>
      </w:r>
      <w:r>
        <w:rPr>
          <w:rFonts w:hint="eastAsia" w:ascii="宋体" w:hAnsi="宋体" w:eastAsia="宋体" w:cs="Times New Roman"/>
          <w:b/>
          <w:bCs/>
          <w:szCs w:val="21"/>
          <w:highlight w:val="none"/>
          <w:lang w:eastAsia="zh-CN"/>
        </w:rPr>
        <w:t>地下电缆、管道及设施特别条款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公司负责赔偿被保险人对原有的地下电缆、管道或其它地下设施造成的损失。但被保险人须在工程开工前，向有关当局了解这些电缆、管道及其它地下设施的确切位置，并采取必要措施防止损失发生。</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每次事故免赔额2000元或损失金额的5%，以高者为准。</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任何损失赔偿仅限于电缆、管道及地下设施的修理费用，任何后果损失及罚金均不负责。</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p>
    <w:p>
      <w:pPr>
        <w:keepNext w:val="0"/>
        <w:keepLines w:val="0"/>
        <w:pageBreakBefore w:val="0"/>
        <w:widowControl/>
        <w:kinsoku/>
        <w:wordWrap/>
        <w:overflowPunct/>
        <w:topLinePunct w:val="0"/>
        <w:autoSpaceDN/>
        <w:bidi w:val="0"/>
        <w:adjustRightInd/>
        <w:snapToGrid/>
        <w:spacing w:after="0" w:line="360" w:lineRule="auto"/>
        <w:ind w:right="0"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同时适用于物质损失部分和第三者责任部分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33.</w:t>
      </w:r>
      <w:r>
        <w:rPr>
          <w:rFonts w:hint="eastAsia" w:ascii="宋体" w:hAnsi="宋体" w:eastAsia="宋体" w:cs="Times New Roman"/>
          <w:b/>
          <w:bCs/>
          <w:szCs w:val="21"/>
          <w:highlight w:val="none"/>
          <w:lang w:eastAsia="zh-CN"/>
        </w:rPr>
        <w:t>错误和遗漏条款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投保人、被保险人因过失而延迟、错误或遗漏向保险人告知或通知保险标的所占用的场地或价值的变更、保险标的危险程度增加或其他重要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34.</w:t>
      </w:r>
      <w:r>
        <w:rPr>
          <w:rFonts w:hint="eastAsia" w:ascii="宋体" w:hAnsi="宋体" w:eastAsia="宋体" w:cs="Times New Roman"/>
          <w:b/>
          <w:bCs/>
          <w:szCs w:val="21"/>
          <w:highlight w:val="none"/>
          <w:lang w:eastAsia="zh-CN"/>
        </w:rPr>
        <w:t>不受控制条款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经双方同意，被保险人在无法控制或不存在过错的情况下违反本保险合同的条件和保证，本保险合同的保障不受影响。</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35.</w:t>
      </w:r>
      <w:r>
        <w:rPr>
          <w:rFonts w:hint="eastAsia" w:ascii="宋体" w:hAnsi="宋体" w:eastAsia="宋体" w:cs="Times New Roman"/>
          <w:b/>
          <w:bCs/>
          <w:szCs w:val="21"/>
          <w:highlight w:val="none"/>
          <w:lang w:eastAsia="zh-CN"/>
        </w:rPr>
        <w:t>违反条件条款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本附加条款与主条款内容相悖之处，以本附加条款为准；未尽之处，以主条款为准。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36.</w:t>
      </w:r>
      <w:r>
        <w:rPr>
          <w:rFonts w:hint="eastAsia" w:ascii="宋体" w:hAnsi="宋体" w:eastAsia="宋体" w:cs="Times New Roman"/>
          <w:b/>
          <w:bCs/>
          <w:szCs w:val="21"/>
          <w:highlight w:val="none"/>
          <w:lang w:eastAsia="zh-CN"/>
        </w:rPr>
        <w:t>地下炸弹特别条款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兹经双方同意，本保险单总除外责任</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A</w:t>
      </w:r>
      <w:r>
        <w:rPr>
          <w:rFonts w:hint="eastAsia" w:ascii="宋体" w:hAnsi="宋体" w:eastAsia="宋体" w:cs="宋体"/>
          <w:sz w:val="22"/>
          <w:szCs w:val="22"/>
          <w:highlight w:val="none"/>
        </w:rPr>
        <w:t>.  "战争、类似战争行为、敌对行为、恐怖行动、谋杀、政变。"不适用于工程开工前就已在地下或水下埋藏的炸弹、地雷、鱼雷、弹药及其它军火引起的损失。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本保险单所载其它条件不变。  </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37.</w:t>
      </w:r>
      <w:r>
        <w:rPr>
          <w:rFonts w:hint="eastAsia" w:ascii="宋体" w:hAnsi="宋体" w:eastAsia="宋体" w:cs="Times New Roman"/>
          <w:b/>
          <w:bCs/>
          <w:szCs w:val="21"/>
          <w:highlight w:val="none"/>
          <w:lang w:eastAsia="zh-CN"/>
        </w:rPr>
        <w:t>停工损失扩展条款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兹经双方同意，本保险扩展承保被保险工程全部或部分停工期间发生本保险单项下的保险责任范围内的事故导致的损失。但仅限于连续停工不超过3个月的工程部分，并且被保险人</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（1）在发生停工时，必须及时书面通知保险人；</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（2）停工期间，必须对停工部分工程采取合理的防损措施；</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38.</w:t>
      </w:r>
      <w:r>
        <w:rPr>
          <w:rFonts w:hint="eastAsia" w:ascii="宋体" w:hAnsi="宋体" w:eastAsia="宋体" w:cs="Times New Roman"/>
          <w:b/>
          <w:bCs/>
          <w:szCs w:val="21"/>
          <w:highlight w:val="none"/>
          <w:lang w:eastAsia="zh-CN"/>
        </w:rPr>
        <w:t>突然及意外渗漏、污染、玷污条款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本保险合同扩展承保被保险人以下责任：</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由于泄漏、污染直接或间接导致的死亡、伤害、疾病、财产损失；</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清除、清理泄漏物、污染物的费用。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但上述泄漏、污染必须是在保险期间内由于突然、意外、无意和不期望而发生的。</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39.</w:t>
      </w:r>
      <w:r>
        <w:rPr>
          <w:rFonts w:hint="eastAsia" w:ascii="宋体" w:hAnsi="宋体" w:eastAsia="宋体" w:cs="Times New Roman"/>
          <w:b/>
          <w:bCs/>
          <w:szCs w:val="21"/>
          <w:highlight w:val="none"/>
          <w:lang w:eastAsia="zh-CN"/>
        </w:rPr>
        <w:t>保险金额及保费调整条款（±10%）</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明细表第一部分项下列明的保险金额是在工程开始期间根据估算、概算、预算或者合同价格确定的预计保险金额。待工程完成后，应根据工程决算调整保险金额和保险费。被保险人应在本保险单列明的保险期间届满三个月内向保险人申报最终的工程决算造价。</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若本保险单项下第一部分被保险工程决算造价的变动幅度不超过预计保险金额的±10%，保险人同意不再根据工程决算造价调整保险费。</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如本保险单项下第一部分被保险工程决算造价的变动幅度超过预计总保险金额的±10%时，双方同意对超出或低于第一部分预计保险金额的部分，按照本保险单明细表中的保险费率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对保险费进行相应的调增或调减。</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本附加险条款与主险条款内容相悖之处，以本附加险条款为准；未尽之处，以主险条款为准。</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40.</w:t>
      </w:r>
      <w:r>
        <w:rPr>
          <w:rFonts w:hint="eastAsia" w:ascii="宋体" w:hAnsi="宋体" w:eastAsia="宋体" w:cs="Times New Roman"/>
          <w:b/>
          <w:bCs/>
          <w:szCs w:val="21"/>
          <w:highlight w:val="none"/>
          <w:lang w:eastAsia="zh-CN"/>
        </w:rPr>
        <w:t>预付赔款条款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当发生保险事故后，在保险责任明确但损失金额尚不能确定的情况下，保险人按被保险人要求预先支付赔款于被保险人，其比例为初步核损赔偿金额（扣除免赔后）的50% 。待最终结案之后，按实际赔偿总数，多退少补。</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本保险合同所载其它条件不变。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41.</w:t>
      </w:r>
      <w:r>
        <w:rPr>
          <w:rFonts w:hint="eastAsia" w:ascii="宋体" w:hAnsi="宋体" w:eastAsia="宋体" w:cs="Times New Roman"/>
          <w:b/>
          <w:bCs/>
          <w:szCs w:val="21"/>
          <w:highlight w:val="none"/>
          <w:lang w:eastAsia="zh-CN"/>
        </w:rPr>
        <w:t>工程完工部分扩展条款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兹经双方同意，不论被保险人是否对本承保项目的部分工程已签发完工验收或临时验收证书或验收合格或实际占有，本保险单对于该已完工部分的保险责任继续有效不变，直至工程整体完工为止。</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42.</w:t>
      </w:r>
      <w:r>
        <w:rPr>
          <w:rFonts w:hint="eastAsia" w:ascii="宋体" w:hAnsi="宋体" w:eastAsia="宋体" w:cs="Times New Roman"/>
          <w:b/>
          <w:bCs/>
          <w:szCs w:val="21"/>
          <w:highlight w:val="none"/>
          <w:lang w:eastAsia="zh-CN"/>
        </w:rPr>
        <w:t>放弃代位追偿权条款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43.</w:t>
      </w:r>
      <w:r>
        <w:rPr>
          <w:rFonts w:hint="eastAsia" w:ascii="宋体" w:hAnsi="宋体" w:eastAsia="宋体" w:cs="Times New Roman"/>
          <w:b/>
          <w:bCs/>
          <w:szCs w:val="21"/>
          <w:highlight w:val="none"/>
          <w:lang w:eastAsia="zh-CN"/>
        </w:rPr>
        <w:t>共同被保险人条款</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兹经保险双方同意，鉴于组成被保险人之各方为不同的团体，每一团体在本保单项下之各方权益，均被视同各方独自拥有其独立保单以保障其权益。</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在发生本保单责任索赔后，而该索赔因组成被保险人各方中任何一方疏忽引致、及其行为并不存在有欺诈、欺骗、隐瞒或违约成分的，本公司同意放弃对该责任方采取任何代位求偿权力或行动。</w:t>
      </w:r>
    </w:p>
    <w:p>
      <w:pPr>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本保单明细表中所注之保险金额，并不因本条款所载之任何内容而有所增加。本保险单所载其它条件不变。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44.</w:t>
      </w:r>
      <w:r>
        <w:rPr>
          <w:rFonts w:hint="eastAsia" w:ascii="宋体" w:hAnsi="宋体" w:eastAsia="宋体" w:cs="Times New Roman"/>
          <w:b/>
          <w:bCs/>
          <w:szCs w:val="21"/>
          <w:highlight w:val="none"/>
          <w:lang w:eastAsia="zh-CN"/>
        </w:rPr>
        <w:t>重大过失条款</w:t>
      </w:r>
    </w:p>
    <w:p>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兹经双方同意，本保险单扩展承保被保险人及其代表的重大过失引起的被保险财产的物质损失和由此引发的对第三者的赔偿责任。</w:t>
      </w:r>
    </w:p>
    <w:p>
      <w:pPr>
        <w:pStyle w:val="49"/>
        <w:keepNext w:val="0"/>
        <w:keepLines w:val="0"/>
        <w:pageBreakBefore w:val="0"/>
        <w:widowControl/>
        <w:kinsoku/>
        <w:wordWrap/>
        <w:overflowPunct/>
        <w:topLinePunct w:val="0"/>
        <w:autoSpaceDN/>
        <w:bidi w:val="0"/>
        <w:adjustRightInd/>
        <w:snapToGrid/>
        <w:spacing w:after="0" w:line="360" w:lineRule="auto"/>
        <w:ind w:right="0" w:firstLine="440" w:firstLineChars="200"/>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rPr>
        <w:t>本条款每次事故赔偿限额：见明细表。</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45.</w:t>
      </w:r>
      <w:r>
        <w:rPr>
          <w:rFonts w:hint="eastAsia" w:ascii="宋体" w:hAnsi="宋体" w:eastAsia="宋体" w:cs="Times New Roman"/>
          <w:b/>
          <w:bCs/>
          <w:szCs w:val="21"/>
          <w:highlight w:val="none"/>
          <w:lang w:eastAsia="zh-CN"/>
        </w:rPr>
        <w:t>第一受益人条款</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兹经双方同意并约定，应被保险人要求，投保人或其指定受益人为本保单的第一受益人。保险公司应将本保险单物质损失项下的赔款支付给投保人或投保人指定受益人的账户。</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46.</w:t>
      </w:r>
      <w:r>
        <w:rPr>
          <w:rFonts w:hint="eastAsia" w:ascii="宋体" w:hAnsi="宋体" w:eastAsia="宋体" w:cs="Times New Roman"/>
          <w:b/>
          <w:bCs/>
          <w:szCs w:val="21"/>
          <w:highlight w:val="none"/>
          <w:lang w:eastAsia="zh-CN"/>
        </w:rPr>
        <w:t>持续损失特别条款</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兹经双方同意，本保险单终止时被保险财产的损失尚在持续发生过程中（没有其他保单来承担该损失），则应视为全部损失均发生在本保险单项下。</w:t>
      </w:r>
    </w:p>
    <w:p>
      <w:pPr>
        <w:keepNext w:val="0"/>
        <w:keepLines w:val="0"/>
        <w:pageBreakBefore w:val="0"/>
        <w:widowControl/>
        <w:numPr>
          <w:ilvl w:val="0"/>
          <w:numId w:val="0"/>
        </w:numPr>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本保险单所载其他条件不变。</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47.</w:t>
      </w:r>
      <w:r>
        <w:rPr>
          <w:rFonts w:hint="eastAsia" w:ascii="宋体" w:hAnsi="宋体" w:eastAsia="宋体" w:cs="Times New Roman"/>
          <w:b/>
          <w:bCs/>
          <w:szCs w:val="21"/>
          <w:highlight w:val="none"/>
          <w:lang w:eastAsia="zh-CN"/>
        </w:rPr>
        <w:t>优先条款</w:t>
      </w:r>
    </w:p>
    <w:p>
      <w:pPr>
        <w:keepNext w:val="0"/>
        <w:keepLines w:val="0"/>
        <w:pageBreakBefore w:val="0"/>
        <w:widowControl/>
        <w:kinsoku/>
        <w:wordWrap/>
        <w:overflowPunct/>
        <w:topLinePunct w:val="0"/>
        <w:autoSpaceDE w:val="0"/>
        <w:autoSpaceDN/>
        <w:bidi w:val="0"/>
        <w:adjustRightInd/>
        <w:snapToGrid/>
        <w:spacing w:after="0" w:line="360" w:lineRule="auto"/>
        <w:ind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兹经双方同意并约定, 在存在重复保险的情况下，发生保险事故引起损失时，本保单将视同其他保单不存在，予以优先赔偿。</w:t>
      </w:r>
    </w:p>
    <w:p>
      <w:pPr>
        <w:spacing w:after="0" w:line="360" w:lineRule="auto"/>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lang w:val="en-US" w:eastAsia="zh-CN"/>
        </w:rPr>
        <w:t>48.</w:t>
      </w:r>
      <w:r>
        <w:rPr>
          <w:rFonts w:hint="eastAsia" w:ascii="宋体" w:hAnsi="宋体" w:eastAsia="宋体" w:cs="Times New Roman"/>
          <w:b/>
          <w:bCs/>
          <w:szCs w:val="21"/>
          <w:highlight w:val="none"/>
          <w:lang w:eastAsia="zh-CN"/>
        </w:rPr>
        <w:t>弃权与禁止反言条款</w:t>
      </w:r>
    </w:p>
    <w:p>
      <w:pPr>
        <w:pStyle w:val="50"/>
        <w:keepNext w:val="0"/>
        <w:keepLines w:val="0"/>
        <w:pageBreakBefore w:val="0"/>
        <w:widowControl/>
        <w:kinsoku/>
        <w:wordWrap/>
        <w:overflowPunct/>
        <w:topLinePunct w:val="0"/>
        <w:autoSpaceDN/>
        <w:bidi w:val="0"/>
        <w:adjustRightInd/>
        <w:snapToGrid/>
        <w:spacing w:after="0" w:line="360" w:lineRule="auto"/>
        <w:ind w:right="0" w:firstLine="440" w:firstLineChars="20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pacing w:line="360" w:lineRule="auto"/>
        <w:jc w:val="center"/>
        <w:rPr>
          <w:rFonts w:hint="eastAsia" w:ascii="宋体" w:hAnsi="宋体"/>
          <w:b/>
          <w:sz w:val="24"/>
          <w:highlight w:val="none"/>
          <w:lang w:eastAsia="zh-CN"/>
        </w:rPr>
      </w:pPr>
    </w:p>
    <w:p>
      <w:pPr>
        <w:spacing w:line="360" w:lineRule="auto"/>
        <w:jc w:val="center"/>
        <w:rPr>
          <w:rFonts w:hint="eastAsia" w:ascii="宋体" w:hAnsi="宋体"/>
          <w:b/>
          <w:sz w:val="24"/>
          <w:highlight w:val="none"/>
          <w:lang w:eastAsia="zh-CN"/>
        </w:rPr>
      </w:pPr>
    </w:p>
    <w:p>
      <w:pPr>
        <w:spacing w:line="360" w:lineRule="auto"/>
        <w:jc w:val="center"/>
        <w:rPr>
          <w:rFonts w:hint="eastAsia" w:ascii="宋体" w:hAnsi="宋体"/>
          <w:b/>
          <w:sz w:val="24"/>
          <w:highlight w:val="none"/>
          <w:lang w:eastAsia="zh-CN"/>
        </w:rPr>
      </w:pPr>
    </w:p>
    <w:p>
      <w:pPr>
        <w:spacing w:line="360" w:lineRule="auto"/>
        <w:jc w:val="center"/>
        <w:rPr>
          <w:rFonts w:hint="eastAsia" w:ascii="宋体" w:hAnsi="宋体"/>
          <w:b/>
          <w:sz w:val="24"/>
          <w:highlight w:val="none"/>
          <w:lang w:eastAsia="zh-CN"/>
        </w:rPr>
      </w:pPr>
      <w:r>
        <w:rPr>
          <w:rFonts w:hint="eastAsia" w:ascii="宋体" w:hAnsi="宋体"/>
          <w:b/>
          <w:sz w:val="24"/>
          <w:highlight w:val="none"/>
          <w:lang w:eastAsia="zh-CN"/>
        </w:rPr>
        <w:t>第三部分：基本条款</w:t>
      </w:r>
    </w:p>
    <w:p>
      <w:pPr>
        <w:jc w:val="center"/>
        <w:rPr>
          <w:rFonts w:hint="eastAsia"/>
          <w:b/>
          <w:sz w:val="24"/>
          <w:szCs w:val="20"/>
          <w:highlight w:val="none"/>
          <w:lang w:eastAsia="zh-CN"/>
        </w:rPr>
      </w:pPr>
      <w:bookmarkStart w:id="56" w:name="_Toc498844808"/>
      <w:r>
        <w:rPr>
          <w:rFonts w:hint="eastAsia"/>
          <w:b/>
          <w:sz w:val="24"/>
          <w:szCs w:val="20"/>
          <w:highlight w:val="none"/>
          <w:lang w:eastAsia="zh-CN"/>
        </w:rPr>
        <w:t>建筑工程一切险条款（2009版）</w:t>
      </w:r>
      <w:bookmarkEnd w:id="56"/>
    </w:p>
    <w:p>
      <w:pPr>
        <w:spacing w:after="120" w:afterLines="50"/>
        <w:rPr>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bookmarkStart w:id="57" w:name="总则"/>
      <w:r>
        <w:rPr>
          <w:rFonts w:hint="eastAsia" w:ascii="宋体" w:hAnsi="宋体"/>
          <w:b/>
          <w:bCs/>
          <w:szCs w:val="21"/>
          <w:highlight w:val="none"/>
        </w:rPr>
        <w:t>总  则</w:t>
      </w:r>
      <w:bookmarkEnd w:id="57"/>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本保险合同由保险条款、投保单、保险单以及批单组成。凡涉及本保险合同的约定，均应采用书面形式。</w:t>
      </w:r>
    </w:p>
    <w:p>
      <w:pPr>
        <w:spacing w:after="0" w:line="360" w:lineRule="auto"/>
        <w:ind w:firstLine="480"/>
        <w:rPr>
          <w:rFonts w:hint="eastAsia" w:ascii="宋体" w:hAnsi="宋体"/>
          <w:szCs w:val="21"/>
          <w:highlight w:val="none"/>
          <w:lang w:eastAsia="zh-CN"/>
        </w:rPr>
      </w:pPr>
    </w:p>
    <w:p>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第一部分  物质损失保险部分</w:t>
      </w:r>
    </w:p>
    <w:p>
      <w:pPr>
        <w:spacing w:after="0" w:line="360" w:lineRule="auto"/>
        <w:jc w:val="center"/>
        <w:rPr>
          <w:rFonts w:hint="eastAsia" w:ascii="宋体" w:hAnsi="宋体"/>
          <w:b/>
          <w:bCs/>
          <w:szCs w:val="21"/>
          <w:highlight w:val="none"/>
          <w:lang w:eastAsia="zh-CN"/>
        </w:rPr>
      </w:pPr>
    </w:p>
    <w:p>
      <w:pPr>
        <w:spacing w:after="0" w:line="360" w:lineRule="auto"/>
        <w:jc w:val="center"/>
        <w:rPr>
          <w:rFonts w:ascii="宋体" w:hAnsi="宋体"/>
          <w:b/>
          <w:bCs/>
          <w:szCs w:val="21"/>
          <w:highlight w:val="none"/>
        </w:rPr>
      </w:pPr>
      <w:r>
        <w:rPr>
          <w:rFonts w:hint="eastAsia" w:ascii="宋体" w:hAnsi="宋体"/>
          <w:b/>
          <w:bCs/>
          <w:szCs w:val="21"/>
          <w:highlight w:val="none"/>
        </w:rPr>
        <w:t>保险标的</w:t>
      </w:r>
    </w:p>
    <w:p>
      <w:pPr>
        <w:numPr>
          <w:ilvl w:val="0"/>
          <w:numId w:val="5"/>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本保险合同的保险标的为：</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本保险合同明细表中分项列明的在列明工地范围内的与实施工程合同相关的财产或费用，属于本保险合同的保险标的。</w:t>
      </w:r>
    </w:p>
    <w:p>
      <w:pPr>
        <w:numPr>
          <w:ilvl w:val="0"/>
          <w:numId w:val="5"/>
        </w:num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下列财产未经保险合同双方特别约定并在保险合同中载明保险金额的</w:t>
      </w:r>
      <w:r>
        <w:rPr>
          <w:rFonts w:ascii="宋体" w:hAnsi="宋体"/>
          <w:szCs w:val="21"/>
          <w:highlight w:val="none"/>
          <w:lang w:eastAsia="zh-CN"/>
        </w:rPr>
        <w:t>，不属于本保险合同的保险标的：</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（一）施工用机具、设备、机械装置；</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（二）在保险工程开始以前已经存在或形成的位于工地范围内或其周围的属于被保险人的财产；</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（四）清除残骸费用。该费用指发生保险事故后，被保险人为修复保险标的而清理施工现场所发生的必要、合理的费用。</w:t>
      </w:r>
    </w:p>
    <w:p>
      <w:pPr>
        <w:numPr>
          <w:ilvl w:val="0"/>
          <w:numId w:val="5"/>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下列财产不属于本保险合同的保险标的：</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（一）文件、账册、图表、技术资料、计算机软件、计算机数据资料等无法鉴定价值的财产；</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（二）便携式通讯装置、便携式计算机设备、便携式照相摄像器材以及其他便携式装置、设备；</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（三）土地、海床、矿藏、水资源、动物、植物、农作物；</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（四）领有公共运输行驶执照的，或已由其他保险予以保障的车辆、船舶、航空器；</w:t>
      </w:r>
    </w:p>
    <w:p>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（五）违章建筑、危险建筑、非法占用的财产。</w:t>
      </w:r>
    </w:p>
    <w:p>
      <w:pPr>
        <w:spacing w:after="0" w:line="360" w:lineRule="auto"/>
        <w:ind w:firstLine="444"/>
        <w:rPr>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pPr>
        <w:numPr>
          <w:ilvl w:val="0"/>
          <w:numId w:val="5"/>
        </w:num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在保险期间内，本保险合同分项列明的保险财产在列明的工地范围内，因本保险合同责任免除以外的任何自然灾害或意外事故造成的物质损坏或灭失</w:t>
      </w:r>
      <w:r>
        <w:rPr>
          <w:rFonts w:ascii="宋体" w:hAnsi="宋体"/>
          <w:szCs w:val="21"/>
          <w:highlight w:val="none"/>
          <w:lang w:eastAsia="zh-CN"/>
        </w:rPr>
        <w:t>(</w:t>
      </w:r>
      <w:r>
        <w:rPr>
          <w:rFonts w:hint="eastAsia" w:ascii="宋体" w:hAnsi="宋体"/>
          <w:szCs w:val="21"/>
          <w:highlight w:val="none"/>
          <w:lang w:eastAsia="zh-CN"/>
        </w:rPr>
        <w:t>以下简称“损失”</w:t>
      </w:r>
      <w:r>
        <w:rPr>
          <w:rFonts w:ascii="宋体" w:hAnsi="宋体"/>
          <w:szCs w:val="21"/>
          <w:highlight w:val="none"/>
          <w:lang w:eastAsia="zh-CN"/>
        </w:rPr>
        <w:t>)</w:t>
      </w:r>
      <w:r>
        <w:rPr>
          <w:rFonts w:hint="eastAsia" w:ascii="宋体" w:hAnsi="宋体"/>
          <w:szCs w:val="21"/>
          <w:highlight w:val="none"/>
          <w:lang w:eastAsia="zh-CN"/>
        </w:rPr>
        <w:t>，保险人按本保险合同的约定负责赔偿。</w:t>
      </w:r>
    </w:p>
    <w:p>
      <w:pPr>
        <w:numPr>
          <w:ilvl w:val="0"/>
          <w:numId w:val="5"/>
        </w:numPr>
        <w:spacing w:after="0" w:line="360" w:lineRule="auto"/>
        <w:ind w:firstLine="420" w:firstLineChars="200"/>
        <w:rPr>
          <w:rFonts w:ascii="宋体" w:hAnsi="宋体"/>
          <w:b/>
          <w:szCs w:val="21"/>
          <w:highlight w:val="none"/>
          <w:lang w:eastAsia="zh-CN"/>
        </w:rPr>
      </w:pPr>
      <w:r>
        <w:rPr>
          <w:rFonts w:hint="eastAsia" w:ascii="宋体" w:hAnsi="宋体"/>
          <w:szCs w:val="21"/>
          <w:highlight w:val="none"/>
          <w:lang w:eastAsia="zh-CN"/>
        </w:rPr>
        <w:t>在保险期间内，由于第五条保险责任事故发生造成保险标的的损失所产生的以下费用，保险人按照本保险合同的约定负责赔偿：</w:t>
      </w:r>
    </w:p>
    <w:p>
      <w:pPr>
        <w:pStyle w:val="2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（一）保险事故发生后，被保险人为防止或减少保险标的的损失所支付的必要的、合理的费用，保险人按照本保险合同的约定也负责赔偿。</w:t>
      </w:r>
    </w:p>
    <w:p>
      <w:pPr>
        <w:pStyle w:val="2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（二）对经本保险合同列明的因发生上述损失所产生的其他有关费用，保险人按本保险合同约定负责赔偿。</w:t>
      </w:r>
    </w:p>
    <w:p>
      <w:pPr>
        <w:spacing w:after="0" w:line="360" w:lineRule="auto"/>
        <w:rPr>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pPr>
        <w:numPr>
          <w:ilvl w:val="0"/>
          <w:numId w:val="5"/>
        </w:numPr>
        <w:autoSpaceDE w:val="0"/>
        <w:autoSpaceDN w:val="0"/>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（一）设计错误引起的损失和费用；</w:t>
      </w:r>
    </w:p>
    <w:p>
      <w:pPr>
        <w:autoSpaceDE w:val="0"/>
        <w:autoSpaceDN w:val="0"/>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（二）自然磨损、内在或潜在缺陷、物质本身变化、自燃、自热、氧化、锈蚀、渗漏、鼠咬、虫蛀、大气</w:t>
      </w:r>
      <w:r>
        <w:rPr>
          <w:rFonts w:ascii="宋体" w:hAnsi="宋体"/>
          <w:b/>
          <w:szCs w:val="21"/>
          <w:highlight w:val="none"/>
          <w:lang w:eastAsia="zh-CN"/>
        </w:rPr>
        <w:t>(</w:t>
      </w:r>
      <w:r>
        <w:rPr>
          <w:rFonts w:hint="eastAsia" w:ascii="宋体" w:hAnsi="宋体"/>
          <w:b/>
          <w:szCs w:val="21"/>
          <w:highlight w:val="none"/>
          <w:lang w:eastAsia="zh-CN"/>
        </w:rPr>
        <w:t>气候或气温</w:t>
      </w:r>
      <w:r>
        <w:rPr>
          <w:rFonts w:ascii="宋体" w:hAnsi="宋体"/>
          <w:b/>
          <w:szCs w:val="21"/>
          <w:highlight w:val="none"/>
          <w:lang w:eastAsia="zh-CN"/>
        </w:rPr>
        <w:t>)</w:t>
      </w:r>
      <w:r>
        <w:rPr>
          <w:rFonts w:hint="eastAsia" w:ascii="宋体" w:hAnsi="宋体"/>
          <w:b/>
          <w:szCs w:val="21"/>
          <w:highlight w:val="none"/>
          <w:lang w:eastAsia="zh-CN"/>
        </w:rPr>
        <w:t>变化、正常水位变化或其他渐变原因造成的保险财产自身的损失和费用；</w:t>
      </w:r>
    </w:p>
    <w:p>
      <w:pPr>
        <w:autoSpaceDE w:val="0"/>
        <w:autoSpaceDN w:val="0"/>
        <w:spacing w:after="0" w:line="360" w:lineRule="auto"/>
        <w:ind w:firstLine="422" w:firstLineChars="200"/>
        <w:rPr>
          <w:rFonts w:ascii="宋体" w:hAnsi="宋体"/>
          <w:b/>
          <w:szCs w:val="21"/>
          <w:highlight w:val="none"/>
          <w:lang w:eastAsia="zh-CN"/>
        </w:rPr>
      </w:pPr>
      <w:r>
        <w:rPr>
          <w:rFonts w:hint="eastAsia" w:ascii="宋体" w:hAnsi="宋体"/>
          <w:b/>
          <w:szCs w:val="21"/>
          <w:highlight w:val="none"/>
          <w:lang w:eastAsia="zh-CN"/>
        </w:rPr>
        <w:t>（三）因原材料缺陷或工艺不善引起的保险财产本身的损失以及为换置、修理或矫正这些缺点错误所支付的费用；</w:t>
      </w:r>
    </w:p>
    <w:p>
      <w:pPr>
        <w:autoSpaceDE w:val="0"/>
        <w:autoSpaceDN w:val="0"/>
        <w:spacing w:after="0" w:line="360" w:lineRule="auto"/>
        <w:rPr>
          <w:rFonts w:ascii="宋体" w:hAnsi="宋体"/>
          <w:b/>
          <w:szCs w:val="21"/>
          <w:highlight w:val="none"/>
          <w:lang w:eastAsia="zh-CN"/>
        </w:rPr>
      </w:pPr>
      <w:r>
        <w:rPr>
          <w:rFonts w:ascii="宋体" w:hAnsi="宋体"/>
          <w:b/>
          <w:szCs w:val="21"/>
          <w:highlight w:val="none"/>
          <w:lang w:eastAsia="zh-CN"/>
        </w:rPr>
        <w:t xml:space="preserve">    </w:t>
      </w:r>
      <w:r>
        <w:rPr>
          <w:rFonts w:hint="eastAsia" w:ascii="宋体" w:hAnsi="宋体"/>
          <w:b/>
          <w:szCs w:val="21"/>
          <w:highlight w:val="none"/>
          <w:lang w:eastAsia="zh-CN"/>
        </w:rPr>
        <w:t>（四）非外力引起的机械或电气装置的本身损失，或施工用机具、设备、机械装置失灵造成的本身损失。</w:t>
      </w:r>
    </w:p>
    <w:p>
      <w:pPr>
        <w:numPr>
          <w:ilvl w:val="0"/>
          <w:numId w:val="5"/>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（一）维修保养或正常检修的费用；</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（二）档案、文件、账簿、票据、现金、各种有价证券、图表资料及包装物料的损失；</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（三）盘点时发现的短缺；</w:t>
      </w:r>
      <w:r>
        <w:rPr>
          <w:rFonts w:ascii="宋体" w:hAnsi="宋体"/>
          <w:b/>
          <w:szCs w:val="21"/>
          <w:highlight w:val="none"/>
          <w:lang w:eastAsia="zh-CN"/>
        </w:rPr>
        <w:t xml:space="preserve"> </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（四）领有公共运输行驶执照的，或已由其他保险予以保障的车辆、船舶和飞机的损失；</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（五）除非另有约定，在保险工程开始以前已经存在或形成的位于工地范围内或其周围的属于被保险人的财产的损失；</w:t>
      </w:r>
    </w:p>
    <w:p>
      <w:p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 xml:space="preserve">    （六）除非另有约定，在本保险合同保险期间终止以前，保险财产中已由工程所有人签发完工验收证书或验收合格或实际占有或使用或接收部分的损失。</w:t>
      </w:r>
    </w:p>
    <w:p>
      <w:pPr>
        <w:spacing w:after="0" w:line="360" w:lineRule="auto"/>
        <w:jc w:val="center"/>
        <w:rPr>
          <w:rFonts w:hint="eastAsia" w:ascii="宋体" w:hAnsi="宋体"/>
          <w:b/>
          <w:szCs w:val="21"/>
          <w:highlight w:val="none"/>
          <w:lang w:eastAsia="zh-CN"/>
        </w:rPr>
      </w:pPr>
    </w:p>
    <w:p>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保险金额与免赔额（率）</w:t>
      </w:r>
    </w:p>
    <w:p>
      <w:pPr>
        <w:numPr>
          <w:ilvl w:val="0"/>
          <w:numId w:val="5"/>
        </w:numPr>
        <w:spacing w:after="0" w:line="360" w:lineRule="auto"/>
        <w:rPr>
          <w:rFonts w:ascii="宋体" w:hAnsi="宋体"/>
          <w:szCs w:val="21"/>
          <w:highlight w:val="none"/>
          <w:lang w:eastAsia="zh-CN"/>
        </w:rPr>
      </w:pPr>
      <w:r>
        <w:rPr>
          <w:rFonts w:ascii="宋体" w:hAnsi="宋体"/>
          <w:szCs w:val="21"/>
          <w:highlight w:val="none"/>
          <w:lang w:eastAsia="zh-CN"/>
        </w:rPr>
        <w:t>(</w:t>
      </w:r>
      <w:r>
        <w:rPr>
          <w:rFonts w:hint="eastAsia" w:ascii="宋体" w:hAnsi="宋体"/>
          <w:szCs w:val="21"/>
          <w:highlight w:val="none"/>
          <w:lang w:eastAsia="zh-CN"/>
        </w:rPr>
        <w:t>一</w:t>
      </w:r>
      <w:r>
        <w:rPr>
          <w:rFonts w:ascii="宋体" w:hAnsi="宋体"/>
          <w:szCs w:val="21"/>
          <w:highlight w:val="none"/>
          <w:lang w:eastAsia="zh-CN"/>
        </w:rPr>
        <w:t xml:space="preserve">) </w:t>
      </w:r>
      <w:r>
        <w:rPr>
          <w:rFonts w:hint="eastAsia" w:ascii="宋体" w:hAnsi="宋体"/>
          <w:szCs w:val="21"/>
          <w:highlight w:val="none"/>
          <w:lang w:eastAsia="zh-CN"/>
        </w:rPr>
        <w:t>本保险合同中列明的保险金额应不低于：</w:t>
      </w:r>
    </w:p>
    <w:p>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、建筑工程一一保险工程建筑完成时的总价值，包括原材料费用、设备费用、建造费、安装费、运保费、关税、其他税项和费用，以及由工程所有人提供的原材料和设备的费用；</w:t>
      </w:r>
    </w:p>
    <w:p>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2、其他保险项目一一由投保人与保险人商定的金额。</w:t>
      </w:r>
    </w:p>
    <w:p>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w:t>
      </w:r>
      <w:r>
        <w:rPr>
          <w:rFonts w:hint="eastAsia" w:ascii="宋体" w:hAnsi="宋体"/>
          <w:szCs w:val="21"/>
          <w:highlight w:val="none"/>
          <w:lang w:eastAsia="zh-CN"/>
        </w:rPr>
        <w:t>二</w:t>
      </w:r>
      <w:r>
        <w:rPr>
          <w:rFonts w:ascii="宋体" w:hAnsi="宋体"/>
          <w:szCs w:val="21"/>
          <w:highlight w:val="none"/>
          <w:lang w:eastAsia="zh-CN"/>
        </w:rPr>
        <w:t>)</w:t>
      </w:r>
      <w:r>
        <w:rPr>
          <w:rFonts w:hint="eastAsia" w:ascii="宋体" w:hAnsi="宋体"/>
          <w:szCs w:val="21"/>
          <w:highlight w:val="none"/>
          <w:lang w:eastAsia="zh-CN"/>
        </w:rPr>
        <w:t>若投保人是以保险工程合同规定的工程概算总造价投保，投保人或被保险人应：</w:t>
      </w:r>
    </w:p>
    <w:p>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1</w:t>
      </w:r>
      <w:r>
        <w:rPr>
          <w:rFonts w:hint="eastAsia" w:ascii="宋体" w:hAnsi="宋体"/>
          <w:szCs w:val="21"/>
          <w:highlight w:val="none"/>
          <w:lang w:eastAsia="zh-CN"/>
        </w:rPr>
        <w:t>、在本保险项下工程造价中包括的各项费用因涨价或升值原因而超出保险工程造价时，必须尽快以书面通知保险人，保险人据此调整保险金额；</w:t>
      </w:r>
    </w:p>
    <w:p>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2</w:t>
      </w:r>
      <w:r>
        <w:rPr>
          <w:rFonts w:hint="eastAsia" w:ascii="宋体" w:hAnsi="宋体"/>
          <w:szCs w:val="21"/>
          <w:highlight w:val="none"/>
          <w:lang w:eastAsia="zh-CN"/>
        </w:rPr>
        <w:t>、在保险期间内对相应的工程细节作出精确记录，并允许保险人在合理的时候对该项记录进行查验；</w:t>
      </w:r>
    </w:p>
    <w:p>
      <w:pPr>
        <w:autoSpaceDE w:val="0"/>
        <w:autoSpaceDN w:val="0"/>
        <w:spacing w:after="0" w:line="360" w:lineRule="auto"/>
        <w:rPr>
          <w:rFonts w:ascii="宋体" w:hAnsi="宋体"/>
          <w:szCs w:val="21"/>
          <w:highlight w:val="none"/>
          <w:lang w:eastAsia="zh-CN"/>
        </w:rPr>
      </w:pPr>
      <w:r>
        <w:rPr>
          <w:rFonts w:ascii="宋体" w:hAnsi="宋体"/>
          <w:szCs w:val="21"/>
          <w:highlight w:val="none"/>
          <w:lang w:eastAsia="zh-CN"/>
        </w:rPr>
        <w:t xml:space="preserve">    3</w:t>
      </w:r>
      <w:r>
        <w:rPr>
          <w:rFonts w:hint="eastAsia" w:ascii="宋体" w:hAnsi="宋体"/>
          <w:szCs w:val="21"/>
          <w:highlight w:val="none"/>
          <w:lang w:eastAsia="zh-CN"/>
        </w:rPr>
        <w:t>、若保险工程的建造期超过三年，必须从本保险合同生效日起每隔十二个月向保险人申报当时的工程实际投入金额及调整后的工程总造价，保险人将据此调整保险费；</w:t>
      </w:r>
    </w:p>
    <w:p>
      <w:pPr>
        <w:spacing w:after="0"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4</w:t>
      </w:r>
      <w:r>
        <w:rPr>
          <w:rFonts w:hint="eastAsia" w:ascii="宋体" w:hAnsi="宋体"/>
          <w:szCs w:val="21"/>
          <w:highlight w:val="none"/>
          <w:lang w:eastAsia="zh-CN"/>
        </w:rPr>
        <w:t>、在本保险合同列明的保险期间届满后三个月内向保险人申报最终的工程总价值，保险人据此以多退少补的方式对预收保险费进行调整。</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免赔额（率）由投保人与保险人在订立保险合同时协商确定，并在保险合同中载明。</w:t>
      </w:r>
    </w:p>
    <w:p>
      <w:pPr>
        <w:spacing w:after="0" w:line="360" w:lineRule="auto"/>
        <w:rPr>
          <w:rFonts w:hint="eastAsia" w:ascii="宋体" w:hAnsi="宋体"/>
          <w:szCs w:val="21"/>
          <w:highlight w:val="none"/>
          <w:lang w:eastAsia="zh-CN"/>
        </w:rPr>
      </w:pPr>
    </w:p>
    <w:p>
      <w:pPr>
        <w:spacing w:after="0" w:line="360" w:lineRule="auto"/>
        <w:jc w:val="center"/>
        <w:rPr>
          <w:rFonts w:hint="eastAsia" w:ascii="宋体" w:hAnsi="宋体"/>
          <w:szCs w:val="21"/>
          <w:highlight w:val="none"/>
        </w:rPr>
      </w:pPr>
      <w:r>
        <w:rPr>
          <w:rFonts w:hint="eastAsia" w:ascii="宋体" w:hAnsi="宋体"/>
          <w:b/>
          <w:szCs w:val="21"/>
          <w:highlight w:val="none"/>
        </w:rPr>
        <w:t>赔偿处理</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对保险标的遭受的损失，保险人可选择以支付赔款或以修复、重置受损项目的方式予以赔偿，</w:t>
      </w:r>
      <w:r>
        <w:rPr>
          <w:rFonts w:hint="eastAsia" w:ascii="宋体" w:hAnsi="宋体"/>
          <w:b/>
          <w:szCs w:val="21"/>
          <w:highlight w:val="none"/>
          <w:lang w:eastAsia="zh-CN"/>
        </w:rPr>
        <w:t>对保险标的在修复或替换过程中，被保险人进行的任何变更、性能增加或改进所产生的额外费用，保险人不负责赔偿。</w:t>
      </w:r>
    </w:p>
    <w:p>
      <w:pPr>
        <w:pStyle w:val="8"/>
        <w:numPr>
          <w:ilvl w:val="0"/>
          <w:numId w:val="5"/>
        </w:numPr>
        <w:spacing w:after="0" w:line="360" w:lineRule="auto"/>
        <w:ind w:firstLineChars="0"/>
        <w:rPr>
          <w:rFonts w:hint="eastAsia"/>
          <w:szCs w:val="21"/>
          <w:highlight w:val="none"/>
          <w:lang w:eastAsia="zh-CN"/>
        </w:rPr>
      </w:pPr>
      <w:r>
        <w:rPr>
          <w:rFonts w:hint="eastAsia"/>
          <w:szCs w:val="21"/>
          <w:highlight w:val="none"/>
          <w:lang w:eastAsia="zh-CN"/>
        </w:rPr>
        <w:t>在发生本保险单项下的损失后，保险人按下列方式确定损失金额：</w:t>
      </w:r>
    </w:p>
    <w:p>
      <w:pPr>
        <w:pStyle w:val="8"/>
        <w:spacing w:after="0" w:line="360" w:lineRule="auto"/>
        <w:ind w:firstLine="420"/>
        <w:rPr>
          <w:rFonts w:hint="eastAsia"/>
          <w:szCs w:val="21"/>
          <w:highlight w:val="none"/>
          <w:lang w:eastAsia="zh-CN"/>
        </w:rPr>
      </w:pPr>
      <w:r>
        <w:rPr>
          <w:rFonts w:hint="eastAsia"/>
          <w:szCs w:val="21"/>
          <w:highlight w:val="none"/>
          <w:lang w:eastAsia="zh-CN"/>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pPr>
        <w:pStyle w:val="8"/>
        <w:spacing w:after="0" w:line="360" w:lineRule="auto"/>
        <w:ind w:firstLine="420"/>
        <w:rPr>
          <w:rFonts w:hint="eastAsia"/>
          <w:szCs w:val="21"/>
          <w:highlight w:val="none"/>
          <w:lang w:eastAsia="zh-CN"/>
        </w:rPr>
      </w:pPr>
      <w:r>
        <w:rPr>
          <w:rFonts w:hint="eastAsia"/>
          <w:szCs w:val="21"/>
          <w:highlight w:val="none"/>
          <w:lang w:eastAsia="zh-CN"/>
        </w:rPr>
        <w:t>（二）全部损失或推定全损：以保险财产损失前的实际价值考虑本保险合同第四十六条约定的残值处理方式后确定的赔偿金额为准。</w:t>
      </w:r>
    </w:p>
    <w:p>
      <w:pPr>
        <w:pStyle w:val="8"/>
        <w:numPr>
          <w:ilvl w:val="0"/>
          <w:numId w:val="5"/>
        </w:numPr>
        <w:spacing w:after="0" w:line="360" w:lineRule="auto"/>
        <w:ind w:firstLineChars="0"/>
        <w:rPr>
          <w:szCs w:val="21"/>
          <w:highlight w:val="none"/>
          <w:lang w:eastAsia="zh-CN"/>
        </w:rPr>
      </w:pPr>
      <w:r>
        <w:rPr>
          <w:rFonts w:hint="eastAsia"/>
          <w:szCs w:val="21"/>
          <w:highlight w:val="none"/>
          <w:lang w:eastAsia="zh-CN"/>
        </w:rPr>
        <w:t>保险标的发生保险责任范围内的损失，保险人按以下方式计算赔偿：</w:t>
      </w:r>
    </w:p>
    <w:p>
      <w:pPr>
        <w:pStyle w:val="8"/>
        <w:spacing w:after="0" w:line="360" w:lineRule="auto"/>
        <w:ind w:firstLine="420"/>
        <w:rPr>
          <w:szCs w:val="21"/>
          <w:highlight w:val="none"/>
          <w:lang w:eastAsia="zh-CN"/>
        </w:rPr>
      </w:pPr>
      <w:r>
        <w:rPr>
          <w:rFonts w:hint="eastAsia"/>
          <w:szCs w:val="21"/>
          <w:highlight w:val="none"/>
          <w:lang w:eastAsia="zh-CN"/>
        </w:rPr>
        <w:t>（一）保险金额等于或高于应保险金额时，按实际损失计算赔偿，最高不超过应保险金额；</w:t>
      </w:r>
    </w:p>
    <w:p>
      <w:pPr>
        <w:pStyle w:val="8"/>
        <w:spacing w:after="0" w:line="360" w:lineRule="auto"/>
        <w:ind w:firstLine="420"/>
        <w:rPr>
          <w:rFonts w:hint="eastAsia"/>
          <w:szCs w:val="21"/>
          <w:highlight w:val="none"/>
          <w:lang w:eastAsia="zh-CN"/>
        </w:rPr>
      </w:pPr>
      <w:r>
        <w:rPr>
          <w:rFonts w:hint="eastAsia"/>
          <w:szCs w:val="21"/>
          <w:highlight w:val="none"/>
          <w:lang w:eastAsia="zh-CN"/>
        </w:rPr>
        <w:t>（二）保险金额低于应保险金额时，按保险金额与应保险金额的比例乘以实际损失计算赔偿，最高不超过保险金额。</w:t>
      </w:r>
    </w:p>
    <w:p>
      <w:pPr>
        <w:numPr>
          <w:ilvl w:val="0"/>
          <w:numId w:val="5"/>
        </w:numPr>
        <w:spacing w:after="0" w:line="360" w:lineRule="auto"/>
        <w:rPr>
          <w:rFonts w:hint="eastAsia" w:ascii="宋体" w:hAnsi="宋体"/>
          <w:bCs/>
          <w:szCs w:val="21"/>
          <w:highlight w:val="none"/>
          <w:lang w:eastAsia="zh-CN"/>
        </w:rPr>
      </w:pPr>
      <w:r>
        <w:rPr>
          <w:rStyle w:val="51"/>
          <w:rFonts w:hint="eastAsia" w:ascii="宋体" w:hAnsi="宋体"/>
          <w:szCs w:val="21"/>
          <w:highlight w:val="none"/>
          <w:lang w:eastAsia="zh-CN"/>
        </w:rPr>
        <w:t>每次事故保险人的赔偿金额为根据第十三条约定计算的金额扣除每次事故免赔额后的金额，</w:t>
      </w:r>
      <w:r>
        <w:rPr>
          <w:rFonts w:hint="eastAsia" w:ascii="宋体" w:hAnsi="宋体"/>
          <w:szCs w:val="21"/>
          <w:highlight w:val="none"/>
          <w:lang w:eastAsia="zh-CN"/>
        </w:rPr>
        <w:t>或者为</w:t>
      </w:r>
      <w:r>
        <w:rPr>
          <w:rStyle w:val="51"/>
          <w:rFonts w:hint="eastAsia" w:ascii="宋体" w:hAnsi="宋体"/>
          <w:szCs w:val="21"/>
          <w:highlight w:val="none"/>
          <w:lang w:eastAsia="zh-CN"/>
        </w:rPr>
        <w:t>根据第十三条约定计算的金额扣除该金额与免赔率乘积后的金额。</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保险标的的保险金额大于或等于其应保险金额时，被保险人为防止或减少保险标的的损失所支付的必要的、合理的费用，在保险标的损失赔偿金额之外另行计算，最高不超过被施救标的的应保险金额。</w:t>
      </w:r>
    </w:p>
    <w:p>
      <w:pPr>
        <w:pStyle w:val="8"/>
        <w:spacing w:after="0" w:line="360" w:lineRule="auto"/>
        <w:ind w:firstLine="420"/>
        <w:rPr>
          <w:rFonts w:hint="eastAsia" w:ascii="宋体" w:hAnsi="宋体" w:eastAsia="宋体" w:cs="Times New Roman"/>
          <w:kern w:val="0"/>
          <w:sz w:val="22"/>
          <w:szCs w:val="21"/>
          <w:highlight w:val="none"/>
          <w:lang w:val="en-US" w:eastAsia="zh-CN" w:bidi="en-US"/>
        </w:rPr>
      </w:pPr>
      <w:r>
        <w:rPr>
          <w:rFonts w:hint="eastAsia" w:ascii="宋体" w:hAnsi="宋体" w:eastAsia="宋体" w:cs="Times New Roman"/>
          <w:kern w:val="0"/>
          <w:sz w:val="22"/>
          <w:szCs w:val="21"/>
          <w:highlight w:val="none"/>
          <w:lang w:val="en-US" w:eastAsia="zh-CN" w:bidi="en-US"/>
        </w:rPr>
        <w:t>保险标的的保险金额小于其应保险金额时，上述费用按被施救标的的保险金额与其应保险金额的比例在保险标的损失赔偿金额之外另行计算，最高不超过被施救标的的保险金额。</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被施救的财产中，含有本保险合同未承保财产的，按被施救保险标的的应保险金额与全部被施救财产价值的比例分摊施救费用。</w:t>
      </w:r>
    </w:p>
    <w:p>
      <w:pPr>
        <w:numPr>
          <w:ilvl w:val="0"/>
          <w:numId w:val="5"/>
        </w:numPr>
        <w:spacing w:after="0" w:line="360" w:lineRule="auto"/>
        <w:ind w:firstLine="480"/>
        <w:rPr>
          <w:rFonts w:hint="eastAsia"/>
          <w:sz w:val="20"/>
          <w:szCs w:val="20"/>
          <w:highlight w:val="none"/>
          <w:lang w:eastAsia="zh-CN"/>
        </w:rPr>
      </w:pPr>
      <w:r>
        <w:rPr>
          <w:rFonts w:hint="eastAsia" w:ascii="宋体" w:hAnsi="宋体"/>
          <w:szCs w:val="21"/>
          <w:highlight w:val="none"/>
          <w:lang w:eastAsia="zh-CN"/>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w:t>
      </w:r>
      <w:r>
        <w:rPr>
          <w:rFonts w:hint="eastAsia" w:ascii="宋体" w:hAnsi="宋体" w:eastAsia="宋体" w:cs="宋体"/>
          <w:sz w:val="22"/>
          <w:szCs w:val="22"/>
          <w:highlight w:val="none"/>
          <w:lang w:eastAsia="zh-CN"/>
        </w:rPr>
        <w:t>（中标保险费</w:t>
      </w:r>
      <w:r>
        <w:rPr>
          <w:rFonts w:hint="eastAsia" w:ascii="宋体" w:hAnsi="宋体" w:eastAsia="宋体" w:cs="宋体"/>
          <w:sz w:val="22"/>
          <w:szCs w:val="22"/>
          <w:highlight w:val="none"/>
          <w:lang w:val="en-US" w:eastAsia="zh-CN"/>
        </w:rPr>
        <w:t>/本项目物质损失部分保险金额</w:t>
      </w:r>
      <w:r>
        <w:rPr>
          <w:rFonts w:hint="eastAsia" w:ascii="宋体" w:hAnsi="宋体" w:eastAsia="宋体" w:cs="宋体"/>
          <w:sz w:val="22"/>
          <w:szCs w:val="22"/>
          <w:highlight w:val="none"/>
          <w:lang w:eastAsia="zh-CN"/>
        </w:rPr>
        <w:t>）</w:t>
      </w:r>
      <w:r>
        <w:rPr>
          <w:rFonts w:hint="eastAsia" w:ascii="宋体" w:hAnsi="宋体"/>
          <w:szCs w:val="21"/>
          <w:highlight w:val="none"/>
          <w:lang w:eastAsia="zh-CN"/>
        </w:rPr>
        <w:t>另行支付恢复部分从投保人请求的恢复日期起至保险期间届满之日止按日比例计算的保险费。</w:t>
      </w:r>
    </w:p>
    <w:p>
      <w:pPr>
        <w:spacing w:after="0" w:line="360" w:lineRule="auto"/>
        <w:ind w:firstLine="480"/>
        <w:rPr>
          <w:rFonts w:hint="eastAsia" w:ascii="宋体" w:hAnsi="宋体"/>
          <w:szCs w:val="21"/>
          <w:highlight w:val="none"/>
          <w:lang w:eastAsia="zh-CN"/>
        </w:rPr>
      </w:pPr>
    </w:p>
    <w:p>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第二部分  第三者责任保险部分</w:t>
      </w:r>
    </w:p>
    <w:p>
      <w:pPr>
        <w:spacing w:after="0" w:line="360" w:lineRule="auto"/>
        <w:ind w:firstLine="480"/>
        <w:rPr>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保险责任</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在保险期间内，因发生与本保险合同所承保工程直接相关的意外事故引起工地内及邻近区域的第三者人身伤亡、疾病或财产损失</w:t>
      </w:r>
      <w:r>
        <w:rPr>
          <w:rFonts w:ascii="宋体" w:hAnsi="宋体"/>
          <w:szCs w:val="21"/>
          <w:highlight w:val="none"/>
          <w:lang w:eastAsia="zh-CN"/>
        </w:rPr>
        <w:t>,</w:t>
      </w:r>
      <w:r>
        <w:rPr>
          <w:rFonts w:hint="eastAsia" w:ascii="宋体" w:hAnsi="宋体"/>
          <w:szCs w:val="21"/>
          <w:highlight w:val="none"/>
          <w:lang w:eastAsia="zh-CN"/>
        </w:rPr>
        <w:t>依法应由被保险人承担的经济赔偿责任，保险人按照本保险合同约定负责赔偿。</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spacing w:after="0" w:line="360" w:lineRule="auto"/>
        <w:jc w:val="center"/>
        <w:rPr>
          <w:rFonts w:hint="eastAsia" w:ascii="宋体" w:hAnsi="宋体"/>
          <w:b/>
          <w:bCs/>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责任免除</w:t>
      </w:r>
    </w:p>
    <w:p>
      <w:pPr>
        <w:numPr>
          <w:ilvl w:val="0"/>
          <w:numId w:val="5"/>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（一）由于震动、移动或减弱支撑而造成的任何财产、土地、建筑物的损失及由此造成的任何人身伤害和物质损失；</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（二）领有公共运输行驶执照的车辆、船舶、航空器造成的事故。</w:t>
      </w:r>
    </w:p>
    <w:p>
      <w:pPr>
        <w:numPr>
          <w:ilvl w:val="0"/>
          <w:numId w:val="5"/>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 xml:space="preserve">（一）本保险合同物质损失项下或本应在该项下予以负责的损失及各种费用； </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（二）工程所有人、承包人或其他关系方或其所雇用的在工地现场从事与工程有关工作的职员、工人及上述人员的家庭成员的人身伤亡或疾病；</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（三）工程所有人、承包人或其他关系方或其所雇用的职员、工人所有的或由上述人员所照管、控制的财产发生的损失；</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（四）被保险人应该承担的合同责任，但无合同存在时仍然应由被保险人承担的法律责任不在此限。</w:t>
      </w:r>
    </w:p>
    <w:p>
      <w:pPr>
        <w:spacing w:after="0" w:line="360" w:lineRule="auto"/>
        <w:rPr>
          <w:rFonts w:hint="eastAsia" w:ascii="宋体" w:hAnsi="宋体"/>
          <w:szCs w:val="21"/>
          <w:highlight w:val="none"/>
          <w:lang w:eastAsia="zh-CN"/>
        </w:rPr>
      </w:pPr>
    </w:p>
    <w:p>
      <w:pPr>
        <w:autoSpaceDE w:val="0"/>
        <w:autoSpaceDN w:val="0"/>
        <w:spacing w:after="0" w:line="360" w:lineRule="auto"/>
        <w:ind w:firstLine="435"/>
        <w:jc w:val="center"/>
        <w:rPr>
          <w:rFonts w:hint="eastAsia" w:ascii="宋体" w:hAnsi="宋体"/>
          <w:b/>
          <w:bCs/>
          <w:szCs w:val="21"/>
          <w:highlight w:val="none"/>
          <w:lang w:eastAsia="zh-CN"/>
        </w:rPr>
      </w:pPr>
      <w:r>
        <w:rPr>
          <w:rFonts w:hint="eastAsia" w:ascii="宋体" w:hAnsi="宋体"/>
          <w:b/>
          <w:bCs/>
          <w:szCs w:val="21"/>
          <w:highlight w:val="none"/>
          <w:lang w:eastAsia="zh-CN"/>
        </w:rPr>
        <w:t>责任限额与免赔额（率）</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责任限额包括每次事故责任限额、每人人身伤亡责任限额、累计责任限额，</w:t>
      </w:r>
      <w:r>
        <w:rPr>
          <w:rFonts w:hint="eastAsia"/>
          <w:szCs w:val="21"/>
          <w:highlight w:val="none"/>
          <w:lang w:eastAsia="zh-CN"/>
        </w:rPr>
        <w:t>由投保人与保险人协商确定</w:t>
      </w:r>
      <w:r>
        <w:rPr>
          <w:rFonts w:hint="eastAsia" w:ascii="宋体" w:hAnsi="宋体"/>
          <w:szCs w:val="21"/>
          <w:highlight w:val="none"/>
          <w:lang w:eastAsia="zh-CN"/>
        </w:rPr>
        <w:t>，并在保险合同中载明。</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每次事故免赔额（率）由投保人与保险人在订立保险合同时协商确定，并在保险合同中载明。</w:t>
      </w:r>
    </w:p>
    <w:p>
      <w:pPr>
        <w:spacing w:after="0" w:line="360" w:lineRule="auto"/>
        <w:ind w:firstLine="420" w:firstLineChars="200"/>
        <w:rPr>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保险人的赔偿以下列方式之一确定的被保险人的赔偿责任为基础：</w:t>
      </w:r>
    </w:p>
    <w:p>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被保险人和向其提出损害赔偿请求的索赔方协商并经保险人确认；</w:t>
      </w:r>
    </w:p>
    <w:p>
      <w:pPr>
        <w:numPr>
          <w:ilvl w:val="0"/>
          <w:numId w:val="6"/>
        </w:numPr>
        <w:spacing w:after="0" w:line="360" w:lineRule="auto"/>
        <w:rPr>
          <w:rFonts w:hint="eastAsia" w:ascii="宋体" w:hAnsi="宋体"/>
          <w:szCs w:val="21"/>
          <w:highlight w:val="none"/>
        </w:rPr>
      </w:pPr>
      <w:r>
        <w:rPr>
          <w:rFonts w:hint="eastAsia" w:ascii="宋体" w:hAnsi="宋体"/>
          <w:szCs w:val="21"/>
          <w:highlight w:val="none"/>
        </w:rPr>
        <w:t>仲裁机构裁决；</w:t>
      </w:r>
    </w:p>
    <w:p>
      <w:pPr>
        <w:numPr>
          <w:ilvl w:val="0"/>
          <w:numId w:val="6"/>
        </w:numPr>
        <w:spacing w:after="0" w:line="360" w:lineRule="auto"/>
        <w:rPr>
          <w:rFonts w:hint="eastAsia" w:ascii="宋体" w:hAnsi="宋体"/>
          <w:szCs w:val="21"/>
          <w:highlight w:val="none"/>
        </w:rPr>
      </w:pPr>
      <w:r>
        <w:rPr>
          <w:rFonts w:hint="eastAsia" w:ascii="宋体" w:hAnsi="宋体"/>
          <w:szCs w:val="21"/>
          <w:highlight w:val="none"/>
        </w:rPr>
        <w:t>人民法院判决；</w:t>
      </w:r>
    </w:p>
    <w:p>
      <w:pPr>
        <w:numPr>
          <w:ilvl w:val="0"/>
          <w:numId w:val="6"/>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保险人认可的其他方式。</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在保险期间内发生保险责任范围内的损失，保险人按以下方式计算赔偿：</w:t>
      </w:r>
    </w:p>
    <w:p>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（一）对于每次事故造成的损失，保险人在每次事故责任限额内计算赔偿，其中对每人人身伤亡的赔偿金额不得超过每人人身伤亡责任限额</w:t>
      </w:r>
      <w:r>
        <w:rPr>
          <w:rFonts w:hint="eastAsia" w:ascii="宋体" w:hAnsi="宋体"/>
          <w:b/>
          <w:szCs w:val="21"/>
          <w:highlight w:val="none"/>
          <w:lang w:eastAsia="zh-CN"/>
        </w:rPr>
        <w:t>；</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（二）1、在依据本条第（一）项计算的基础上，保险人在扣除本保险合同载明的每次事故免赔额后进行赔偿，但对于人身伤亡的赔偿不扣除每次事故免赔额；</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2、在依据本条第（一）项计算的基础上，保险人在扣除按本保险合同载明的每次事故免赔率计算的每次事故免赔额后进行赔偿，但对于人身伤亡的赔偿不扣除每次事故免赔额；</w:t>
      </w:r>
    </w:p>
    <w:p>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（三）保险人对多次事故损失的累计赔偿金额不超过本保险合同列明的累计赔偿限额。</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对每次事故法律费用的赔偿金额，保险人在第二十五条计算的赔偿金额以外按本保险合同的约定另行计算。</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保险人对被保险人给第三者造成的损害，可以依照法律的规定或者本保险合同的约定，直接向该第三者赔偿保险金。</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spacing w:after="0" w:line="360" w:lineRule="auto"/>
        <w:jc w:val="center"/>
        <w:rPr>
          <w:rFonts w:hint="eastAsia" w:ascii="宋体" w:hAnsi="宋体"/>
          <w:b/>
          <w:bCs/>
          <w:szCs w:val="21"/>
          <w:highlight w:val="none"/>
          <w:lang w:eastAsia="zh-CN"/>
        </w:rPr>
      </w:pPr>
    </w:p>
    <w:p>
      <w:pPr>
        <w:spacing w:after="0" w:line="360" w:lineRule="auto"/>
        <w:jc w:val="center"/>
        <w:rPr>
          <w:rFonts w:hint="eastAsia" w:ascii="宋体" w:hAnsi="宋体"/>
          <w:b/>
          <w:bCs/>
          <w:szCs w:val="21"/>
          <w:highlight w:val="none"/>
          <w:lang w:eastAsia="zh-CN"/>
        </w:rPr>
      </w:pPr>
      <w:r>
        <w:rPr>
          <w:rFonts w:hint="eastAsia" w:ascii="宋体" w:hAnsi="宋体"/>
          <w:b/>
          <w:bCs/>
          <w:szCs w:val="21"/>
          <w:highlight w:val="none"/>
          <w:lang w:eastAsia="zh-CN"/>
        </w:rPr>
        <w:t>第三部分  通用条款</w:t>
      </w:r>
    </w:p>
    <w:p>
      <w:pPr>
        <w:spacing w:after="0" w:line="360" w:lineRule="auto"/>
        <w:jc w:val="center"/>
        <w:rPr>
          <w:rFonts w:hint="eastAsia" w:ascii="宋体" w:hAnsi="宋体"/>
          <w:szCs w:val="21"/>
          <w:highlight w:val="none"/>
          <w:lang w:eastAsia="zh-CN"/>
        </w:rPr>
      </w:pPr>
    </w:p>
    <w:p>
      <w:pPr>
        <w:spacing w:after="0" w:line="360" w:lineRule="auto"/>
        <w:jc w:val="center"/>
        <w:rPr>
          <w:rFonts w:hint="eastAsia" w:ascii="宋体" w:hAnsi="宋体"/>
          <w:b/>
          <w:szCs w:val="21"/>
          <w:highlight w:val="none"/>
          <w:lang w:eastAsia="zh-CN"/>
        </w:rPr>
      </w:pPr>
      <w:r>
        <w:rPr>
          <w:rFonts w:hint="eastAsia" w:ascii="宋体" w:hAnsi="宋体"/>
          <w:b/>
          <w:szCs w:val="21"/>
          <w:highlight w:val="none"/>
          <w:lang w:eastAsia="zh-CN"/>
        </w:rPr>
        <w:t>责任免除</w:t>
      </w:r>
    </w:p>
    <w:p>
      <w:pPr>
        <w:numPr>
          <w:ilvl w:val="0"/>
          <w:numId w:val="5"/>
        </w:numPr>
        <w:spacing w:after="0" w:line="360" w:lineRule="auto"/>
        <w:rPr>
          <w:rFonts w:ascii="宋体" w:hAnsi="宋体"/>
          <w:b/>
          <w:szCs w:val="21"/>
          <w:highlight w:val="none"/>
          <w:lang w:eastAsia="zh-CN"/>
        </w:rPr>
      </w:pPr>
      <w:r>
        <w:rPr>
          <w:rFonts w:hint="eastAsia" w:ascii="宋体" w:hAnsi="宋体"/>
          <w:b/>
          <w:szCs w:val="21"/>
          <w:highlight w:val="none"/>
          <w:lang w:eastAsia="zh-CN"/>
        </w:rPr>
        <w:t>下列原因造成的损失、费用，保险人不负责赔偿：</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（一）战争、类似战争行为、敌对行为、武装冲突、恐怖活动、谋反、政变；</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（二）行政行为或司法行为；</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（三）罢工、暴动、民众骚乱；</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（四）被保险人及其代表的故意行为或重大过失行为；</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（五）核裂变、核聚变、核武器、核材料、核辐射、核爆炸、核污染及其他放射性污染；</w:t>
      </w:r>
    </w:p>
    <w:p>
      <w:pPr>
        <w:spacing w:after="0" w:line="360" w:lineRule="auto"/>
        <w:ind w:firstLine="422" w:firstLineChars="200"/>
        <w:rPr>
          <w:rFonts w:hint="eastAsia" w:ascii="宋体" w:hAnsi="宋体"/>
          <w:b/>
          <w:szCs w:val="21"/>
          <w:highlight w:val="none"/>
        </w:rPr>
      </w:pPr>
      <w:r>
        <w:rPr>
          <w:rFonts w:hint="eastAsia" w:ascii="宋体" w:hAnsi="宋体"/>
          <w:b/>
          <w:szCs w:val="21"/>
          <w:highlight w:val="none"/>
        </w:rPr>
        <w:t>（六）大气污染、土地污染、水污染及其他各种污染；</w:t>
      </w:r>
    </w:p>
    <w:p>
      <w:pPr>
        <w:numPr>
          <w:ilvl w:val="0"/>
          <w:numId w:val="5"/>
        </w:numPr>
        <w:spacing w:after="0" w:line="360" w:lineRule="auto"/>
        <w:rPr>
          <w:rFonts w:hint="eastAsia" w:ascii="宋体" w:hAnsi="宋体"/>
          <w:b/>
          <w:szCs w:val="21"/>
          <w:highlight w:val="none"/>
          <w:lang w:eastAsia="zh-CN"/>
        </w:rPr>
      </w:pPr>
      <w:r>
        <w:rPr>
          <w:rFonts w:hint="eastAsia" w:ascii="宋体" w:hAnsi="宋体"/>
          <w:b/>
          <w:szCs w:val="21"/>
          <w:highlight w:val="none"/>
          <w:lang w:eastAsia="zh-CN"/>
        </w:rPr>
        <w:t>下列损失、费用，保险人也不负责赔偿：</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（一）工程部分停工或全部停工引起的任何损失、费用和责任。</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（二）罚金、延误、丧失合同及其他后果损失；</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（三）1.本保险合同中载明的免赔额；</w:t>
      </w:r>
    </w:p>
    <w:p>
      <w:pPr>
        <w:spacing w:after="0" w:line="360" w:lineRule="auto"/>
        <w:ind w:firstLine="1054" w:firstLineChars="500"/>
        <w:rPr>
          <w:rFonts w:hint="eastAsia" w:ascii="宋体" w:hAnsi="宋体"/>
          <w:b/>
          <w:szCs w:val="21"/>
          <w:highlight w:val="none"/>
          <w:lang w:eastAsia="zh-CN"/>
        </w:rPr>
      </w:pPr>
      <w:r>
        <w:rPr>
          <w:rFonts w:hint="eastAsia" w:ascii="宋体" w:hAnsi="宋体"/>
          <w:b/>
          <w:szCs w:val="21"/>
          <w:highlight w:val="none"/>
          <w:lang w:eastAsia="zh-CN"/>
        </w:rPr>
        <w:t>2.按本保险合同中载明的免赔率计算的免赔额。</w:t>
      </w:r>
    </w:p>
    <w:p>
      <w:pPr>
        <w:autoSpaceDE w:val="0"/>
        <w:autoSpaceDN w:val="0"/>
        <w:spacing w:after="0" w:line="360" w:lineRule="auto"/>
        <w:ind w:firstLine="527" w:firstLineChars="250"/>
        <w:rPr>
          <w:rFonts w:hint="eastAsia" w:ascii="宋体" w:hAnsi="宋体"/>
          <w:szCs w:val="21"/>
          <w:highlight w:val="none"/>
          <w:lang w:eastAsia="zh-CN"/>
        </w:rPr>
      </w:pPr>
      <w:r>
        <w:rPr>
          <w:rFonts w:ascii="宋体" w:hAnsi="宋体"/>
          <w:b/>
          <w:szCs w:val="21"/>
          <w:highlight w:val="none"/>
          <w:lang w:eastAsia="zh-CN"/>
        </w:rPr>
        <w:t xml:space="preserve"> </w:t>
      </w:r>
    </w:p>
    <w:p>
      <w:pPr>
        <w:spacing w:after="0" w:line="360" w:lineRule="auto"/>
        <w:jc w:val="center"/>
        <w:rPr>
          <w:rFonts w:hint="eastAsia" w:ascii="宋体" w:hAnsi="宋体"/>
          <w:b/>
          <w:szCs w:val="21"/>
          <w:highlight w:val="none"/>
        </w:rPr>
      </w:pPr>
      <w:r>
        <w:rPr>
          <w:rFonts w:hint="eastAsia" w:ascii="宋体" w:hAnsi="宋体"/>
          <w:b/>
          <w:bCs/>
          <w:szCs w:val="21"/>
          <w:highlight w:val="none"/>
        </w:rPr>
        <w:t>保险期间</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本保险合同保险期间遵循如下约定：</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（三）上述保险期间的展延，投保人须事先获得保险人的书面同意，否则，从本保险合同明细表中列明的建筑期保险期间终止日之后发生的任何损失、费用和责任，保险人不负责赔偿。</w:t>
      </w:r>
    </w:p>
    <w:p>
      <w:pPr>
        <w:spacing w:after="0" w:line="360" w:lineRule="auto"/>
        <w:ind w:firstLine="480"/>
        <w:rPr>
          <w:rFonts w:hint="eastAsia" w:ascii="宋体" w:hAnsi="宋体"/>
          <w:i/>
          <w:iCs/>
          <w:szCs w:val="21"/>
          <w:highlight w:val="none"/>
          <w:lang w:eastAsia="zh-CN"/>
        </w:rPr>
      </w:pPr>
      <w:r>
        <w:rPr>
          <w:rFonts w:hint="eastAsia" w:ascii="宋体" w:hAnsi="宋体"/>
          <w:i/>
          <w:iCs/>
          <w:szCs w:val="21"/>
          <w:highlight w:val="none"/>
          <w:lang w:eastAsia="zh-CN"/>
        </w:rPr>
        <w:t xml:space="preserve"> </w:t>
      </w:r>
    </w:p>
    <w:p>
      <w:pPr>
        <w:spacing w:after="0" w:line="360" w:lineRule="auto"/>
        <w:jc w:val="center"/>
        <w:rPr>
          <w:rFonts w:hint="eastAsia" w:ascii="宋体" w:hAnsi="宋体"/>
          <w:b/>
          <w:bCs/>
          <w:szCs w:val="21"/>
          <w:highlight w:val="none"/>
        </w:rPr>
      </w:pPr>
      <w:r>
        <w:rPr>
          <w:rFonts w:hint="eastAsia" w:ascii="宋体" w:hAnsi="宋体"/>
          <w:b/>
          <w:bCs/>
          <w:szCs w:val="21"/>
          <w:highlight w:val="none"/>
        </w:rPr>
        <w:t>保险人义务</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numPr>
          <w:ilvl w:val="0"/>
          <w:numId w:val="5"/>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本保险合同成立后，保险人应当及时向投保人签发保险单或批单。</w:t>
      </w:r>
    </w:p>
    <w:p>
      <w:pPr>
        <w:numPr>
          <w:ilvl w:val="0"/>
          <w:numId w:val="5"/>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pPr>
        <w:spacing w:after="0" w:line="360" w:lineRule="auto"/>
        <w:ind w:firstLine="420"/>
        <w:rPr>
          <w:rFonts w:hint="eastAsia" w:ascii="宋体" w:hAnsi="宋体"/>
          <w:szCs w:val="21"/>
          <w:highlight w:val="none"/>
          <w:lang w:eastAsia="zh-CN"/>
        </w:rPr>
      </w:pPr>
      <w:r>
        <w:rPr>
          <w:rFonts w:hint="eastAsia" w:ascii="宋体" w:hAnsi="宋体"/>
          <w:szCs w:val="21"/>
          <w:highlight w:val="none"/>
          <w:lang w:eastAsia="zh-CN"/>
        </w:rPr>
        <w:t>保险人在合同订立时已经知道投保人未如实告知的情况的，保险人不得解除合同；发生保险事故的，保险人应当承担赔偿责任。</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保险人按照第四十三条的约定，认为被保险人提供的有关索赔的证明和资料不完整的，应当及时一次性通知投保人、被保险人补充提供。</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保险人收到被保险人的赔偿保险金的请求后，应当及时作出是否属于保险责任的核定；情形复杂的，应当在三十日内作出核定，但保险合同另有约定的除外。</w:t>
      </w:r>
    </w:p>
    <w:p>
      <w:pPr>
        <w:spacing w:after="0" w:line="360" w:lineRule="auto"/>
        <w:ind w:firstLine="411" w:firstLineChars="196"/>
        <w:rPr>
          <w:rFonts w:hint="eastAsia" w:ascii="宋体" w:hAnsi="宋体"/>
          <w:szCs w:val="21"/>
          <w:highlight w:val="none"/>
          <w:lang w:eastAsia="zh-CN"/>
        </w:rPr>
      </w:pPr>
      <w:r>
        <w:rPr>
          <w:rFonts w:hint="eastAsia" w:ascii="宋体" w:hAnsi="宋体"/>
          <w:szCs w:val="21"/>
          <w:highlight w:val="none"/>
          <w:lang w:eastAsia="zh-CN"/>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numPr>
          <w:ilvl w:val="0"/>
          <w:numId w:val="5"/>
        </w:numPr>
        <w:spacing w:after="0" w:line="360" w:lineRule="auto"/>
        <w:rPr>
          <w:rFonts w:ascii="宋体" w:hAnsi="宋体"/>
          <w:i/>
          <w:iCs/>
          <w:szCs w:val="21"/>
          <w:highlight w:val="none"/>
          <w:lang w:eastAsia="zh-CN"/>
        </w:rPr>
      </w:pPr>
      <w:r>
        <w:rPr>
          <w:rFonts w:hint="eastAsia" w:ascii="宋体" w:hAnsi="宋体"/>
          <w:szCs w:val="21"/>
          <w:highlight w:val="none"/>
          <w:lang w:eastAsia="zh-CN"/>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w:t>
      </w:r>
      <w:r>
        <w:rPr>
          <w:rStyle w:val="52"/>
          <w:rFonts w:ascii="宋体" w:hAnsi="宋体"/>
          <w:szCs w:val="21"/>
          <w:highlight w:val="none"/>
          <w:lang w:eastAsia="zh-CN"/>
        </w:rPr>
        <w:t> </w:t>
      </w:r>
    </w:p>
    <w:p>
      <w:pPr>
        <w:spacing w:after="0" w:line="360" w:lineRule="auto"/>
        <w:ind w:firstLine="480"/>
        <w:rPr>
          <w:rFonts w:hint="eastAsia" w:ascii="宋体" w:hAnsi="宋体"/>
          <w:iCs/>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投保人、被保险人义务</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订立保险合同，保险人就保险标的或者被保险人的有关情况提出询问的，投保人应当如实告知。</w:t>
      </w:r>
    </w:p>
    <w:p>
      <w:pPr>
        <w:tabs>
          <w:tab w:val="left" w:pos="162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投保人故意或者因重大过失未履行前款规定的如实告知义务，足以影响保险人决定是否同意承保或者提高保险费的，保险人有权解除保险合同。</w:t>
      </w:r>
    </w:p>
    <w:p>
      <w:pPr>
        <w:tabs>
          <w:tab w:val="left" w:pos="162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投保人故意不履行如实告知义务的，保险人对于合同解除前发生的保险事故，不承担赔偿责任，并不退还保险费。</w:t>
      </w:r>
    </w:p>
    <w:p>
      <w:pPr>
        <w:tabs>
          <w:tab w:val="left" w:pos="1620"/>
        </w:tabs>
        <w:spacing w:after="0" w:line="360" w:lineRule="auto"/>
        <w:ind w:firstLine="422" w:firstLineChars="200"/>
        <w:rPr>
          <w:rFonts w:hint="eastAsia" w:ascii="宋体" w:hAnsi="宋体"/>
          <w:szCs w:val="21"/>
          <w:highlight w:val="none"/>
          <w:lang w:eastAsia="zh-CN"/>
        </w:rPr>
      </w:pPr>
      <w:r>
        <w:rPr>
          <w:rFonts w:hint="eastAsia" w:ascii="宋体" w:hAnsi="宋体"/>
          <w:b/>
          <w:szCs w:val="21"/>
          <w:highlight w:val="none"/>
          <w:lang w:eastAsia="zh-CN"/>
        </w:rPr>
        <w:t>投保人因重大过失未履行如实告知义务，对保险事故的发生有严重影响的，保险人对于合同解除前发生的保险事故，不承担赔偿责任，但应当退还保险费。</w:t>
      </w:r>
    </w:p>
    <w:p>
      <w:pPr>
        <w:numPr>
          <w:ilvl w:val="0"/>
          <w:numId w:val="5"/>
        </w:numPr>
        <w:spacing w:after="0" w:line="360" w:lineRule="auto"/>
        <w:ind w:firstLine="420"/>
        <w:rPr>
          <w:b/>
          <w:highlight w:val="none"/>
          <w:lang w:eastAsia="zh-CN"/>
        </w:rPr>
      </w:pPr>
      <w:r>
        <w:rPr>
          <w:rFonts w:hint="eastAsia"/>
          <w:highlight w:val="none"/>
          <w:lang w:eastAsia="zh-CN"/>
        </w:rPr>
        <w:t>投保人应按约定交付保险费。</w:t>
      </w:r>
    </w:p>
    <w:p>
      <w:pPr>
        <w:pStyle w:val="14"/>
        <w:spacing w:after="0" w:line="360" w:lineRule="auto"/>
        <w:ind w:left="0" w:leftChars="0" w:firstLine="420" w:firstLineChars="200"/>
        <w:rPr>
          <w:rFonts w:hint="eastAsia"/>
          <w:b/>
          <w:bCs/>
          <w:szCs w:val="21"/>
          <w:highlight w:val="none"/>
          <w:lang w:eastAsia="zh-CN"/>
        </w:rPr>
      </w:pPr>
      <w:r>
        <w:rPr>
          <w:rFonts w:hint="eastAsia"/>
          <w:bCs/>
          <w:szCs w:val="21"/>
          <w:highlight w:val="none"/>
          <w:lang w:eastAsia="zh-CN"/>
        </w:rPr>
        <w:t>约定一次性交付保险费的，</w:t>
      </w:r>
      <w:r>
        <w:rPr>
          <w:rFonts w:hint="eastAsia"/>
          <w:b/>
          <w:bCs/>
          <w:szCs w:val="21"/>
          <w:highlight w:val="none"/>
          <w:lang w:eastAsia="zh-CN"/>
        </w:rPr>
        <w:t>投保人在约定交费日后交付保险费的，保险人对交费之前发生的保险事故不承担保险责任。</w:t>
      </w:r>
    </w:p>
    <w:p>
      <w:pPr>
        <w:spacing w:after="0" w:line="360" w:lineRule="auto"/>
        <w:ind w:firstLine="420" w:firstLineChars="200"/>
        <w:rPr>
          <w:rFonts w:hint="eastAsia" w:ascii="宋体" w:hAnsi="宋体"/>
          <w:b/>
          <w:szCs w:val="21"/>
          <w:highlight w:val="none"/>
          <w:lang w:eastAsia="zh-CN"/>
        </w:rPr>
      </w:pPr>
      <w:r>
        <w:rPr>
          <w:rFonts w:hint="eastAsia"/>
          <w:bCs/>
          <w:szCs w:val="21"/>
          <w:highlight w:val="none"/>
          <w:lang w:eastAsia="zh-CN"/>
        </w:rPr>
        <w:t>约定分期交付保险费的，</w:t>
      </w:r>
      <w:r>
        <w:rPr>
          <w:rFonts w:hint="eastAsia"/>
          <w:b/>
          <w:bCs/>
          <w:szCs w:val="21"/>
          <w:highlight w:val="none"/>
          <w:lang w:eastAsia="zh-CN"/>
        </w:rPr>
        <w:t>保险人按照保险事故发生前保险人实际收取保险费总额与投保人应当交付的保险费的比例承担保险责任，</w:t>
      </w:r>
      <w:r>
        <w:rPr>
          <w:rFonts w:hint="eastAsia"/>
          <w:bCs/>
          <w:szCs w:val="21"/>
          <w:highlight w:val="none"/>
          <w:lang w:eastAsia="zh-CN"/>
        </w:rPr>
        <w:t>投保人应当交付的保险费是指截至保险事故发生时投保人按约定分期应该缴纳的保费总额。</w:t>
      </w:r>
    </w:p>
    <w:p>
      <w:pPr>
        <w:numPr>
          <w:ilvl w:val="0"/>
          <w:numId w:val="5"/>
        </w:numPr>
        <w:spacing w:after="0" w:line="360" w:lineRule="auto"/>
        <w:rPr>
          <w:rFonts w:hint="eastAsia" w:ascii="宋体" w:hAnsi="宋体" w:cs="仿宋_GB2312"/>
          <w:szCs w:val="21"/>
          <w:highlight w:val="none"/>
          <w:lang w:eastAsia="zh-CN"/>
        </w:rPr>
      </w:pPr>
      <w:r>
        <w:rPr>
          <w:rFonts w:hint="eastAsia" w:ascii="宋体" w:hAnsi="宋体"/>
          <w:szCs w:val="21"/>
          <w:highlight w:val="none"/>
          <w:lang w:eastAsia="zh-CN"/>
        </w:rPr>
        <w:t xml:space="preserve"> 被保险人应当遵守国家有关</w:t>
      </w:r>
      <w:r>
        <w:rPr>
          <w:rFonts w:hint="eastAsia" w:ascii="宋体" w:hAnsi="宋体" w:cs="仿宋_GB2312"/>
          <w:szCs w:val="21"/>
          <w:highlight w:val="none"/>
          <w:lang w:eastAsia="zh-CN"/>
        </w:rPr>
        <w:t>消防、安全、生产操作等方面的相关法律、法规及规定，谨慎选用施工人员，遵守一切与施工有关的法规、技术规程和安全操作规程，维护保险标的的安全。</w:t>
      </w:r>
    </w:p>
    <w:p>
      <w:pPr>
        <w:pStyle w:val="8"/>
        <w:spacing w:after="0" w:line="360" w:lineRule="auto"/>
        <w:ind w:firstLine="420"/>
        <w:rPr>
          <w:rFonts w:hint="eastAsia"/>
          <w:bCs/>
          <w:szCs w:val="21"/>
          <w:highlight w:val="none"/>
          <w:lang w:eastAsia="zh-CN"/>
        </w:rPr>
      </w:pPr>
      <w:r>
        <w:rPr>
          <w:rFonts w:hint="eastAsia"/>
          <w:bCs/>
          <w:szCs w:val="21"/>
          <w:highlight w:val="none"/>
          <w:lang w:eastAsia="zh-CN"/>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投保人、被保险人未按照约定履行其对保险标的的安全应尽责任的，保险人有权要求增加保险费或者解除合同。</w:t>
      </w:r>
    </w:p>
    <w:p>
      <w:pPr>
        <w:numPr>
          <w:ilvl w:val="0"/>
          <w:numId w:val="5"/>
        </w:numPr>
        <w:spacing w:after="0" w:line="360" w:lineRule="auto"/>
        <w:rPr>
          <w:rFonts w:hint="eastAsia" w:ascii="宋体" w:hAnsi="宋体"/>
          <w:b/>
          <w:szCs w:val="21"/>
          <w:highlight w:val="none"/>
          <w:lang w:eastAsia="zh-CN"/>
        </w:rPr>
      </w:pPr>
      <w:r>
        <w:rPr>
          <w:rFonts w:hint="eastAsia" w:ascii="宋体" w:hAnsi="宋体"/>
          <w:szCs w:val="21"/>
          <w:highlight w:val="none"/>
          <w:lang w:eastAsia="zh-CN"/>
        </w:rPr>
        <w:t>保险标的转让的，被保险人或者受让人应当及时通知保险人。</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被保险人、受让人未履行本条规定的通知义务的，因转让导致保险标的危险程度显著增加而发生的保险事故，保险人不承担赔偿责任。</w:t>
      </w:r>
    </w:p>
    <w:p>
      <w:pPr>
        <w:numPr>
          <w:ilvl w:val="0"/>
          <w:numId w:val="5"/>
        </w:numPr>
        <w:spacing w:after="0" w:line="360" w:lineRule="auto"/>
        <w:rPr>
          <w:rFonts w:hint="eastAsia" w:ascii="宋体" w:hAnsi="宋体"/>
          <w:szCs w:val="21"/>
          <w:highlight w:val="none"/>
          <w:lang w:eastAsia="zh-CN"/>
        </w:rPr>
      </w:pPr>
      <w:r>
        <w:rPr>
          <w:rFonts w:hint="eastAsia" w:ascii="宋体" w:hAnsi="宋体"/>
          <w:bCs/>
          <w:szCs w:val="21"/>
          <w:highlight w:val="none"/>
          <w:lang w:eastAsia="zh-CN"/>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w:t>
      </w:r>
      <w:r>
        <w:rPr>
          <w:rFonts w:hint="eastAsia" w:ascii="宋体" w:hAnsi="宋体"/>
          <w:szCs w:val="21"/>
          <w:highlight w:val="none"/>
          <w:lang w:eastAsia="zh-CN"/>
        </w:rPr>
        <w:t>保险人解除合同的，应当将已收取的保险费，按照合同约定扣除自保险责任开始之日起至合同解除之日止应收的部分后，退还投保人。</w:t>
      </w:r>
    </w:p>
    <w:p>
      <w:pPr>
        <w:pStyle w:val="14"/>
        <w:spacing w:after="0" w:line="360" w:lineRule="auto"/>
        <w:ind w:left="0" w:leftChars="0" w:firstLine="422" w:firstLineChars="200"/>
        <w:rPr>
          <w:rFonts w:hint="eastAsia"/>
          <w:b/>
          <w:bCs/>
          <w:szCs w:val="21"/>
          <w:highlight w:val="none"/>
          <w:lang w:eastAsia="zh-CN"/>
        </w:rPr>
      </w:pPr>
      <w:r>
        <w:rPr>
          <w:rFonts w:hint="eastAsia"/>
          <w:b/>
          <w:bCs/>
          <w:szCs w:val="21"/>
          <w:highlight w:val="none"/>
          <w:lang w:eastAsia="zh-CN"/>
        </w:rPr>
        <w:t>被保险人未履行通知义务，因上述保险合同重要事项变更而导致保险事故发生的，保险人不承担赔偿责任。</w:t>
      </w:r>
    </w:p>
    <w:p>
      <w:pPr>
        <w:numPr>
          <w:ilvl w:val="0"/>
          <w:numId w:val="5"/>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投保人、被保险人知道保险事故发生后，被保险人应该：</w:t>
      </w:r>
    </w:p>
    <w:p>
      <w:pPr>
        <w:pStyle w:val="8"/>
        <w:spacing w:after="0" w:line="360" w:lineRule="auto"/>
        <w:ind w:firstLine="420"/>
        <w:rPr>
          <w:rFonts w:hint="eastAsia"/>
          <w:b/>
          <w:szCs w:val="21"/>
          <w:highlight w:val="none"/>
          <w:lang w:eastAsia="zh-CN"/>
        </w:rPr>
      </w:pPr>
      <w:r>
        <w:rPr>
          <w:rFonts w:hint="eastAsia"/>
          <w:szCs w:val="21"/>
          <w:highlight w:val="none"/>
          <w:lang w:eastAsia="zh-CN"/>
        </w:rPr>
        <w:t>（一）尽力采取必要、合理的措施，防止或减少损失，</w:t>
      </w:r>
      <w:r>
        <w:rPr>
          <w:rFonts w:hint="eastAsia"/>
          <w:b/>
          <w:szCs w:val="21"/>
          <w:highlight w:val="none"/>
          <w:lang w:eastAsia="zh-CN"/>
        </w:rPr>
        <w:t>否则，对因此扩大的损失，保险人不承担赔偿责任；</w:t>
      </w:r>
    </w:p>
    <w:p>
      <w:pPr>
        <w:spacing w:after="0" w:line="360" w:lineRule="auto"/>
        <w:ind w:firstLine="480"/>
        <w:rPr>
          <w:rFonts w:ascii="宋体" w:hAnsi="宋体"/>
          <w:szCs w:val="21"/>
          <w:highlight w:val="none"/>
          <w:lang w:eastAsia="zh-CN"/>
        </w:rPr>
      </w:pPr>
      <w:r>
        <w:rPr>
          <w:rStyle w:val="51"/>
          <w:rFonts w:hint="eastAsia" w:ascii="宋体" w:hAnsi="宋体"/>
          <w:szCs w:val="21"/>
          <w:highlight w:val="none"/>
          <w:lang w:eastAsia="zh-CN"/>
        </w:rPr>
        <w:t>（二）立即通知保险人，并书面说明事故发生的原因、经过和损失情况；</w:t>
      </w:r>
      <w:r>
        <w:rPr>
          <w:rStyle w:val="51"/>
          <w:rFonts w:hint="eastAsia" w:ascii="宋体" w:hAnsi="宋体"/>
          <w:b/>
          <w:szCs w:val="21"/>
          <w:highlight w:val="none"/>
          <w:lang w:eastAsia="zh-CN"/>
        </w:rPr>
        <w:t>故意或者因重大过失未及时通知，致使保险事故的性质、原因、损失程度等难以确定的，保险人对无法确定的部分，不承担赔偿责任，</w:t>
      </w:r>
      <w:r>
        <w:rPr>
          <w:rStyle w:val="51"/>
          <w:rFonts w:hint="eastAsia" w:ascii="宋体" w:hAnsi="宋体"/>
          <w:szCs w:val="21"/>
          <w:highlight w:val="none"/>
          <w:lang w:eastAsia="zh-CN"/>
        </w:rPr>
        <w:t>但保险人通过其他途径已经及时知道或者应当及时知道保险事故发生的除外；</w:t>
      </w:r>
    </w:p>
    <w:p>
      <w:pPr>
        <w:spacing w:after="0" w:line="360" w:lineRule="auto"/>
        <w:ind w:firstLine="420" w:firstLineChars="200"/>
        <w:rPr>
          <w:rFonts w:hint="eastAsia" w:ascii="宋体" w:hAnsi="宋体"/>
          <w:b/>
          <w:szCs w:val="21"/>
          <w:highlight w:val="none"/>
          <w:lang w:eastAsia="zh-CN"/>
        </w:rPr>
      </w:pPr>
      <w:r>
        <w:rPr>
          <w:rFonts w:hint="eastAsia" w:ascii="宋体" w:hAnsi="宋体"/>
          <w:szCs w:val="21"/>
          <w:highlight w:val="none"/>
          <w:lang w:eastAsia="zh-CN"/>
        </w:rPr>
        <w:t>（三）保护事故现场，允许并且协助保险人进行事故调查，</w:t>
      </w:r>
      <w:r>
        <w:rPr>
          <w:rFonts w:hint="eastAsia" w:ascii="宋体" w:hAnsi="宋体"/>
          <w:b/>
          <w:szCs w:val="21"/>
          <w:highlight w:val="none"/>
          <w:lang w:eastAsia="zh-CN"/>
        </w:rPr>
        <w:t>对于拒绝或者妨碍保险人进行事故调查导致无法认定事故原因或核实损失情况的，保险人对无法核实的部分不承担赔偿责任；</w:t>
      </w:r>
    </w:p>
    <w:p>
      <w:pPr>
        <w:autoSpaceDE w:val="0"/>
        <w:autoSpaceDN w:val="0"/>
        <w:spacing w:after="0" w:line="360" w:lineRule="auto"/>
        <w:ind w:firstLine="420" w:firstLineChars="200"/>
        <w:rPr>
          <w:rFonts w:hint="eastAsia" w:ascii="宋体" w:hAnsi="宋体" w:cs="仿宋_GB2312"/>
          <w:szCs w:val="21"/>
          <w:highlight w:val="none"/>
          <w:lang w:eastAsia="zh-CN"/>
        </w:rPr>
      </w:pPr>
      <w:r>
        <w:rPr>
          <w:rFonts w:hint="eastAsia" w:ascii="宋体" w:hAnsi="宋体" w:cs="仿宋_GB2312"/>
          <w:szCs w:val="21"/>
          <w:highlight w:val="none"/>
          <w:lang w:eastAsia="zh-CN"/>
        </w:rPr>
        <w:t>（四）在保险财产遭受盗窃或恶意破坏时，立即向公安部门报案；</w:t>
      </w:r>
    </w:p>
    <w:p>
      <w:pPr>
        <w:autoSpaceDE w:val="0"/>
        <w:autoSpaceDN w:val="0"/>
        <w:spacing w:after="0" w:line="360" w:lineRule="auto"/>
        <w:ind w:firstLine="420" w:firstLineChars="200"/>
        <w:rPr>
          <w:rFonts w:hint="eastAsia" w:ascii="宋体" w:hAnsi="宋体"/>
          <w:szCs w:val="21"/>
          <w:highlight w:val="none"/>
          <w:lang w:eastAsia="zh-CN"/>
        </w:rPr>
      </w:pPr>
      <w:r>
        <w:rPr>
          <w:rFonts w:hint="eastAsia" w:ascii="宋体" w:hAnsi="宋体" w:cs="仿宋_GB2312"/>
          <w:szCs w:val="21"/>
          <w:highlight w:val="none"/>
          <w:lang w:eastAsia="zh-CN"/>
        </w:rPr>
        <w:t>（五）在预知可能引起第三者责任险项下的诉讼时，立即以书面形式通知保险人，并在接到法院传票或其他法律文件后，立即将其送交保险人。</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pPr>
        <w:spacing w:after="0" w:line="360" w:lineRule="auto"/>
        <w:ind w:firstLine="480"/>
        <w:rPr>
          <w:rFonts w:hint="eastAsia" w:ascii="宋体" w:hAnsi="宋体"/>
          <w:b/>
          <w:szCs w:val="21"/>
          <w:highlight w:val="none"/>
          <w:lang w:eastAsia="zh-CN"/>
        </w:rPr>
      </w:pPr>
      <w:r>
        <w:rPr>
          <w:rFonts w:hint="eastAsia" w:ascii="宋体" w:hAnsi="宋体"/>
          <w:b/>
          <w:szCs w:val="21"/>
          <w:highlight w:val="none"/>
          <w:lang w:eastAsia="zh-CN"/>
        </w:rPr>
        <w:t>投保人、被保险人未履行前款约定的索赔材料提供义务，导致保险人无法核实损失情况的，保险人对无法核实的部分不承担赔偿责任。</w:t>
      </w:r>
    </w:p>
    <w:p>
      <w:pPr>
        <w:numPr>
          <w:ilvl w:val="0"/>
          <w:numId w:val="5"/>
        </w:numPr>
        <w:spacing w:after="0" w:line="360" w:lineRule="auto"/>
        <w:rPr>
          <w:rFonts w:hint="eastAsia" w:ascii="宋体" w:hAnsi="宋体" w:cs="仿宋_GB2312"/>
          <w:b/>
          <w:szCs w:val="21"/>
          <w:highlight w:val="none"/>
          <w:lang w:eastAsia="zh-CN"/>
        </w:rPr>
      </w:pPr>
      <w:r>
        <w:rPr>
          <w:rFonts w:hint="eastAsia" w:ascii="宋体" w:hAnsi="宋体" w:cs="仿宋_GB2312"/>
          <w:szCs w:val="21"/>
          <w:highlight w:val="none"/>
          <w:lang w:eastAsia="zh-CN"/>
        </w:rPr>
        <w:t xml:space="preserve"> 若在某一保险财产中发现的缺陷表明或预示类似缺陷亦存在于其他保险财产中时，被保险人应立即自付费用进行调查并纠正该缺陷。</w:t>
      </w:r>
      <w:r>
        <w:rPr>
          <w:rFonts w:hint="eastAsia" w:ascii="宋体" w:hAnsi="宋体" w:cs="仿宋_GB2312"/>
          <w:b/>
          <w:szCs w:val="21"/>
          <w:highlight w:val="none"/>
          <w:lang w:eastAsia="zh-CN"/>
        </w:rPr>
        <w:t>否则，由该缺陷或类似缺陷造成的损失保险人不承担赔偿责任。</w:t>
      </w:r>
    </w:p>
    <w:p>
      <w:pPr>
        <w:tabs>
          <w:tab w:val="left" w:pos="2160"/>
        </w:tabs>
        <w:spacing w:after="0" w:line="360" w:lineRule="auto"/>
        <w:ind w:firstLine="420" w:firstLineChars="200"/>
        <w:rPr>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赔偿处理</w:t>
      </w:r>
    </w:p>
    <w:p>
      <w:pPr>
        <w:numPr>
          <w:ilvl w:val="0"/>
          <w:numId w:val="5"/>
        </w:numPr>
        <w:spacing w:after="0" w:line="360" w:lineRule="auto"/>
        <w:rPr>
          <w:rFonts w:hint="eastAsia" w:ascii="宋体" w:hAnsi="宋体"/>
          <w:b/>
          <w:bCs/>
          <w:szCs w:val="21"/>
          <w:highlight w:val="none"/>
          <w:lang w:eastAsia="zh-CN"/>
        </w:rPr>
      </w:pPr>
      <w:r>
        <w:rPr>
          <w:rStyle w:val="51"/>
          <w:rFonts w:hint="eastAsia" w:ascii="宋体" w:hAnsi="宋体"/>
          <w:b/>
          <w:szCs w:val="21"/>
          <w:highlight w:val="none"/>
          <w:lang w:eastAsia="zh-CN"/>
        </w:rPr>
        <w:t xml:space="preserve"> 保险事故发生时，被保险人对保险标的不具有保险利益的，不得向保险人请求赔偿保险金。</w:t>
      </w:r>
    </w:p>
    <w:p>
      <w:pPr>
        <w:numPr>
          <w:ilvl w:val="0"/>
          <w:numId w:val="5"/>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保险标的遭受损失后，如果有残余价值，应由双方协商处理。若协商残值归被保险人所有，应在赔偿金额中扣减残值。</w:t>
      </w:r>
    </w:p>
    <w:p>
      <w:pPr>
        <w:numPr>
          <w:ilvl w:val="0"/>
          <w:numId w:val="5"/>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保险事故发生时，如果存在重复保险，保险人按照本保险合同的相应保险金额与其他保险合同及本保险合同相应保险金额总和的比例承担赔偿责任。</w:t>
      </w:r>
    </w:p>
    <w:p>
      <w:pPr>
        <w:pStyle w:val="8"/>
        <w:spacing w:after="0" w:line="360" w:lineRule="auto"/>
        <w:ind w:firstLine="422"/>
        <w:rPr>
          <w:rFonts w:hint="eastAsia"/>
          <w:szCs w:val="21"/>
          <w:highlight w:val="none"/>
          <w:lang w:eastAsia="zh-CN"/>
        </w:rPr>
      </w:pPr>
      <w:r>
        <w:rPr>
          <w:rFonts w:hint="eastAsia"/>
          <w:b/>
          <w:szCs w:val="21"/>
          <w:highlight w:val="none"/>
          <w:lang w:eastAsia="zh-CN"/>
        </w:rPr>
        <w:t>其他保险人应承担的赔偿金额，本保险人不负责垫付。</w:t>
      </w:r>
      <w:r>
        <w:rPr>
          <w:rFonts w:hint="eastAsia"/>
          <w:szCs w:val="21"/>
          <w:highlight w:val="none"/>
          <w:lang w:eastAsia="zh-CN"/>
        </w:rPr>
        <w:t>若被保险人未如实告知导致保险人多支付赔偿金的，保险人有权向被保险人追回多支付的部分。</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被保险人已经从有关责任方取得赔偿的，保险人赔偿保险金时，可以相应扣减被保险人已从有关责任方取得的赔偿金额。</w:t>
      </w:r>
    </w:p>
    <w:p>
      <w:pPr>
        <w:tabs>
          <w:tab w:val="left" w:pos="2160"/>
        </w:tabs>
        <w:spacing w:after="0" w:line="360" w:lineRule="auto"/>
        <w:ind w:firstLine="422" w:firstLineChars="200"/>
        <w:rPr>
          <w:rFonts w:hint="eastAsia" w:ascii="宋体" w:hAnsi="宋体"/>
          <w:b/>
          <w:szCs w:val="21"/>
          <w:highlight w:val="none"/>
          <w:lang w:eastAsia="zh-CN"/>
        </w:rPr>
      </w:pPr>
      <w:r>
        <w:rPr>
          <w:rFonts w:hint="eastAsia" w:ascii="宋体" w:hAnsi="宋体"/>
          <w:b/>
          <w:szCs w:val="21"/>
          <w:highlight w:val="none"/>
          <w:lang w:eastAsia="zh-CN"/>
        </w:rPr>
        <w:t>保险事故发生后，在保险人未赔偿保险金之前，被保险人放弃对有关责任方请求赔偿权利的，保险人不承担赔偿责任；</w:t>
      </w:r>
      <w:r>
        <w:rPr>
          <w:rFonts w:hint="eastAsia" w:ascii="宋体" w:hAnsi="宋体"/>
          <w:szCs w:val="21"/>
          <w:highlight w:val="none"/>
          <w:lang w:eastAsia="zh-CN"/>
        </w:rPr>
        <w:t>保险人向被保险人赔偿保险金后，被保险人未经保险人同意放弃对有关责任方请求赔偿权利的，该行为无效；</w:t>
      </w:r>
      <w:r>
        <w:rPr>
          <w:rFonts w:hint="eastAsia" w:ascii="宋体" w:hAnsi="宋体"/>
          <w:b/>
          <w:szCs w:val="21"/>
          <w:highlight w:val="none"/>
          <w:lang w:eastAsia="zh-CN"/>
        </w:rPr>
        <w:t>由于被保险人故意或者因重大过失致使保险人不能行使代位请求赔偿的权利的，保险人可以扣减或者要求返还相应的保险金。</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 xml:space="preserve"> </w:t>
      </w:r>
      <w:r>
        <w:rPr>
          <w:rFonts w:ascii="宋体" w:hAnsi="宋体"/>
          <w:szCs w:val="21"/>
          <w:highlight w:val="none"/>
          <w:lang w:eastAsia="zh-CN"/>
        </w:rPr>
        <w:t>被保险人向保险人请求赔偿的诉讼时效期间为二年，自其知道或者应当知道保险事故发生之日起计算。 </w:t>
      </w:r>
    </w:p>
    <w:p>
      <w:pPr>
        <w:spacing w:after="0" w:line="360" w:lineRule="auto"/>
        <w:ind w:firstLine="480"/>
        <w:rPr>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争议处理</w:t>
      </w:r>
    </w:p>
    <w:p>
      <w:pPr>
        <w:numPr>
          <w:ilvl w:val="0"/>
          <w:numId w:val="5"/>
        </w:numPr>
        <w:spacing w:after="0" w:line="360" w:lineRule="auto"/>
        <w:rPr>
          <w:rFonts w:hint="eastAsia" w:ascii="宋体" w:hAnsi="宋体"/>
          <w:szCs w:val="21"/>
          <w:highlight w:val="none"/>
          <w:lang w:eastAsia="zh-CN"/>
        </w:rPr>
      </w:pPr>
      <w:r>
        <w:rPr>
          <w:rFonts w:hint="eastAsia" w:ascii="宋体" w:hAnsi="宋体"/>
          <w:szCs w:val="21"/>
          <w:highlight w:val="none"/>
          <w:lang w:eastAsia="zh-CN"/>
        </w:rPr>
        <w:t>因履行本保险合同发生的争议，由当事人协商解决。协商不成的，提交保险单载明的仲裁机构仲裁；保险单未载明仲裁机构且争议发生后未达成仲裁协议的，依法向人民法院起诉。</w:t>
      </w:r>
    </w:p>
    <w:p>
      <w:pPr>
        <w:numPr>
          <w:ilvl w:val="0"/>
          <w:numId w:val="5"/>
        </w:numPr>
        <w:spacing w:after="0" w:line="360" w:lineRule="auto"/>
        <w:rPr>
          <w:rFonts w:ascii="宋体" w:hAnsi="宋体"/>
          <w:szCs w:val="21"/>
          <w:highlight w:val="none"/>
          <w:lang w:eastAsia="zh-CN"/>
        </w:rPr>
      </w:pPr>
      <w:r>
        <w:rPr>
          <w:rFonts w:hint="eastAsia" w:ascii="宋体" w:hAnsi="宋体"/>
          <w:szCs w:val="21"/>
          <w:highlight w:val="none"/>
          <w:lang w:eastAsia="zh-CN"/>
        </w:rPr>
        <w:t xml:space="preserve"> 与本保险合同有关的以及履行本保险合同产生的一切争议，适用中华人民共和国法律（不包括港澳台地区法律）。</w:t>
      </w:r>
    </w:p>
    <w:p>
      <w:pPr>
        <w:spacing w:after="0" w:line="360" w:lineRule="auto"/>
        <w:ind w:firstLine="480"/>
        <w:rPr>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其他事项</w:t>
      </w:r>
    </w:p>
    <w:p>
      <w:pPr>
        <w:numPr>
          <w:ilvl w:val="0"/>
          <w:numId w:val="5"/>
        </w:numPr>
        <w:spacing w:after="0" w:line="360" w:lineRule="auto"/>
        <w:rPr>
          <w:rStyle w:val="51"/>
          <w:rFonts w:hint="eastAsia" w:ascii="宋体" w:hAnsi="宋体"/>
          <w:szCs w:val="21"/>
          <w:highlight w:val="none"/>
          <w:lang w:eastAsia="zh-CN"/>
        </w:rPr>
      </w:pPr>
      <w:r>
        <w:rPr>
          <w:rStyle w:val="51"/>
          <w:rFonts w:hint="eastAsia" w:ascii="宋体" w:hAnsi="宋体"/>
          <w:szCs w:val="21"/>
          <w:highlight w:val="none"/>
          <w:lang w:eastAsia="zh-CN"/>
        </w:rPr>
        <w:t xml:space="preserve"> </w:t>
      </w:r>
      <w:r>
        <w:rPr>
          <w:rStyle w:val="51"/>
          <w:rFonts w:ascii="宋体" w:hAnsi="宋体"/>
          <w:szCs w:val="21"/>
          <w:highlight w:val="none"/>
          <w:lang w:eastAsia="zh-CN"/>
        </w:rPr>
        <w:t>保险标的发生部分损失的，自保险人赔偿之日起三十日内，投保人可以解除合同；除合同另有约定外，保险人也可以解除合同，但应当提前十五日通知投保人。</w:t>
      </w:r>
    </w:p>
    <w:p>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保险合同依据前款规定</w:t>
      </w:r>
      <w:r>
        <w:rPr>
          <w:rStyle w:val="51"/>
          <w:rFonts w:ascii="宋体" w:hAnsi="宋体"/>
          <w:szCs w:val="21"/>
          <w:highlight w:val="none"/>
          <w:lang w:eastAsia="zh-CN"/>
        </w:rPr>
        <w:t>解除的，保险人应当将保险标的未受损失部分的保险费，按照合同约定扣除自保险责任开始之日起至合同解除之日止应收的部分后，退还投保人。</w:t>
      </w:r>
    </w:p>
    <w:p>
      <w:pPr>
        <w:numPr>
          <w:ilvl w:val="0"/>
          <w:numId w:val="5"/>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保险责任开始前，投保人要求解除保险合同的，应当按本保险合同的约定向保险人支付手续费，保险人应当退还保</w:t>
      </w:r>
      <w:r>
        <w:rPr>
          <w:rStyle w:val="51"/>
          <w:rFonts w:hint="eastAsia" w:ascii="宋体" w:hAnsi="宋体"/>
          <w:szCs w:val="21"/>
          <w:highlight w:val="none"/>
          <w:lang w:eastAsia="zh-CN"/>
        </w:rPr>
        <w:t>险费。保险人要求解除保险合同的，不得向投保人收取手续费并应退还已收取的保险费。</w:t>
      </w:r>
    </w:p>
    <w:p>
      <w:pPr>
        <w:spacing w:after="0" w:line="360" w:lineRule="auto"/>
        <w:ind w:firstLine="420" w:firstLineChars="200"/>
        <w:rPr>
          <w:rStyle w:val="51"/>
          <w:rFonts w:hint="eastAsia" w:ascii="宋体" w:hAnsi="宋体"/>
          <w:szCs w:val="21"/>
          <w:highlight w:val="none"/>
          <w:lang w:eastAsia="zh-CN"/>
        </w:rPr>
      </w:pPr>
      <w:r>
        <w:rPr>
          <w:rStyle w:val="51"/>
          <w:rFonts w:hint="eastAsia" w:ascii="宋体" w:hAnsi="宋体"/>
          <w:szCs w:val="21"/>
          <w:highlight w:val="none"/>
          <w:lang w:eastAsia="zh-CN"/>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numPr>
          <w:ilvl w:val="0"/>
          <w:numId w:val="5"/>
        </w:numPr>
        <w:spacing w:after="0" w:line="360" w:lineRule="auto"/>
        <w:rPr>
          <w:rStyle w:val="51"/>
          <w:rFonts w:hint="eastAsia" w:ascii="宋体" w:hAnsi="宋体"/>
          <w:szCs w:val="21"/>
          <w:highlight w:val="none"/>
          <w:lang w:eastAsia="zh-CN"/>
        </w:rPr>
      </w:pPr>
      <w:r>
        <w:rPr>
          <w:rFonts w:hint="eastAsia" w:ascii="宋体" w:hAnsi="宋体"/>
          <w:szCs w:val="21"/>
          <w:highlight w:val="none"/>
          <w:lang w:eastAsia="zh-CN"/>
        </w:rPr>
        <w:t xml:space="preserve"> 保险标的发生全部损失，属于保</w:t>
      </w:r>
      <w:r>
        <w:rPr>
          <w:rStyle w:val="51"/>
          <w:rFonts w:hint="eastAsia" w:ascii="宋体" w:hAnsi="宋体"/>
          <w:szCs w:val="21"/>
          <w:highlight w:val="none"/>
          <w:lang w:eastAsia="zh-CN"/>
        </w:rPr>
        <w:t>险责任的，保险人在履行赔偿义务后，本保险合同终止；不属于保险责任的，本保险合同终止，保险人按照保险责任开始之日起至合同解除之日止期间与保险期间的日比例计收保险费，并退还剩余部分保险费。</w:t>
      </w:r>
    </w:p>
    <w:p>
      <w:pPr>
        <w:spacing w:after="0" w:line="360" w:lineRule="auto"/>
        <w:rPr>
          <w:rStyle w:val="51"/>
          <w:rFonts w:hint="eastAsia" w:ascii="宋体" w:hAnsi="宋体"/>
          <w:szCs w:val="21"/>
          <w:highlight w:val="none"/>
          <w:lang w:eastAsia="zh-CN"/>
        </w:rPr>
      </w:pPr>
    </w:p>
    <w:p>
      <w:pPr>
        <w:spacing w:after="0" w:line="360" w:lineRule="auto"/>
        <w:jc w:val="center"/>
        <w:rPr>
          <w:rFonts w:hint="eastAsia" w:ascii="宋体" w:hAnsi="宋体"/>
          <w:b/>
          <w:bCs/>
          <w:szCs w:val="21"/>
          <w:highlight w:val="none"/>
        </w:rPr>
      </w:pPr>
      <w:r>
        <w:rPr>
          <w:rFonts w:hint="eastAsia" w:ascii="宋体" w:hAnsi="宋体"/>
          <w:b/>
          <w:bCs/>
          <w:szCs w:val="21"/>
          <w:highlight w:val="none"/>
        </w:rPr>
        <w:t>释  义</w:t>
      </w:r>
    </w:p>
    <w:p>
      <w:pPr>
        <w:numPr>
          <w:ilvl w:val="0"/>
          <w:numId w:val="5"/>
        </w:numPr>
        <w:spacing w:after="0" w:line="360" w:lineRule="auto"/>
        <w:ind w:firstLine="640"/>
        <w:rPr>
          <w:rFonts w:hint="eastAsia" w:ascii="宋体" w:hAnsi="宋体"/>
          <w:szCs w:val="21"/>
          <w:highlight w:val="none"/>
          <w:lang w:eastAsia="zh-CN"/>
        </w:rPr>
      </w:pPr>
      <w:r>
        <w:rPr>
          <w:rFonts w:hint="eastAsia" w:ascii="宋体" w:hAnsi="宋体"/>
          <w:szCs w:val="21"/>
          <w:highlight w:val="none"/>
          <w:lang w:eastAsia="zh-CN"/>
        </w:rPr>
        <w:t xml:space="preserve">本保险合同涉及下列术语时，适用下列释义： </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（一）自然灾害：指地震、海啸、雷击、暴雨、洪水、暴风、龙卷风、冰雹、台风、飓风、沙尘暴、暴雪、冰凌、突发性滑坡、崩塌、泥石流、地面突然下陷下沉及其他人力不可抗拒的破坏力强大的自然现象。</w:t>
      </w:r>
    </w:p>
    <w:p>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1、地震：指地下岩石的构造活动或火山爆发产生的地面震动。由于地震的强度不同，其破坏力也存在很大的区别，一般保险针对的是破坏性地震，根据国家地震局的有关规定，震级在</w:t>
      </w:r>
      <w:r>
        <w:rPr>
          <w:rFonts w:ascii="宋体" w:hAnsi="宋体"/>
          <w:szCs w:val="21"/>
          <w:highlight w:val="none"/>
          <w:lang w:eastAsia="zh-CN"/>
        </w:rPr>
        <w:t>4.75</w:t>
      </w:r>
      <w:r>
        <w:rPr>
          <w:rFonts w:hint="eastAsia" w:ascii="宋体" w:hAnsi="宋体"/>
          <w:szCs w:val="21"/>
          <w:highlight w:val="none"/>
          <w:lang w:eastAsia="zh-CN"/>
        </w:rPr>
        <w:t>级以上且烈度在</w:t>
      </w:r>
      <w:r>
        <w:rPr>
          <w:rFonts w:ascii="宋体" w:hAnsi="宋体"/>
          <w:szCs w:val="21"/>
          <w:highlight w:val="none"/>
          <w:lang w:eastAsia="zh-CN"/>
        </w:rPr>
        <w:t>6</w:t>
      </w:r>
      <w:r>
        <w:rPr>
          <w:rFonts w:hint="eastAsia" w:ascii="宋体" w:hAnsi="宋体"/>
          <w:szCs w:val="21"/>
          <w:highlight w:val="none"/>
          <w:lang w:eastAsia="zh-CN"/>
        </w:rPr>
        <w:t>级以上的地震为破坏性地震。</w:t>
      </w:r>
    </w:p>
    <w:p>
      <w:pPr>
        <w:spacing w:after="0" w:line="360" w:lineRule="auto"/>
        <w:ind w:firstLine="420" w:firstLineChars="200"/>
        <w:rPr>
          <w:rFonts w:ascii="宋体" w:hAnsi="宋体"/>
          <w:szCs w:val="21"/>
          <w:highlight w:val="none"/>
          <w:lang w:eastAsia="zh-CN"/>
        </w:rPr>
      </w:pPr>
      <w:r>
        <w:rPr>
          <w:rFonts w:hint="eastAsia" w:ascii="宋体" w:hAnsi="宋体"/>
          <w:szCs w:val="21"/>
          <w:highlight w:val="none"/>
          <w:lang w:eastAsia="zh-CN"/>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3、雷击指由雷电造成的灾害。雷电为积雨云中、云间或云地之间产生的放电现象。雷击的破坏形式分直接雷击与感应雷击两种。</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（1）直接雷击：由于雷电直接击中保险标的造成损失，属直接雷击责任。</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4、暴雨：指每小时降雨量达16毫米以上，或连续12小时降雨量达30毫米以上，或连续24小时降雨量达50毫米以上的降雨。</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5、洪水：指山洪暴发、江河泛滥、潮水上岸及倒灌。但规律性的涨潮、自动灭火设施漏水以及在常年水位以下或地下渗水、水管暴裂不属于洪水责任。</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6、暴风：指风力达8级、风速在17.2米/秒以上的自然风。</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7、龙卷风：指一种范围小而时间短的猛烈旋风，陆地上平均最大风速在79米/秒-103米/秒，极端最大风速在100米/秒以上。</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8、冰雹：指从强烈对流的积雨云中降落到地面的冰块或冰球，直径大于5毫米，核心坚硬的固体降水。</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10、沙尘暴：指强风将地面大量尘沙吹起，使空气很混浊，水平能见度小于1公里的天气现象。</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11、暴雪：指连续12小时的降雪量大于或等于10毫米的降雪现象。</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12、冰凌：指春季江河解冻期时冰块飘浮遇阻，堆积成坝，堵塞江道，造成水位急剧上升，以致江水溢出江道，漫延成灾。</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陆上有些地区，如山谷风口或酷寒致使雨雪在物体上结成冰块，成下垂形状，越结越厚，重量增加，由于下垂的拉力致使物体毁坏，也属冰凌责任。</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13、突发性滑坡：斜坡上不稳的岩土体或人为堆积物在重力作用下突然整体向下滑动的现象。</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14、崩塌：石崖、土崖、岩石受自然风化、雨蚀造成崩溃下塌，以及大量积雪在重力作用下从高处突然崩塌滚落。</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15、泥石流：由于雨水、冰雪融化等水源激发的、含有大量泥沙石块的特殊洪流。</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（二）意外事故：指不可预料的以及被保险人无法控制并造成物质损失或人身伤亡的突发性事件，包括火灾和爆炸。</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1、火灾</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在时间或空间上失去控制的燃烧所造成的灾害。构成本保险的火灾责任必须同时具备以下三个条件：</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（1）有燃烧现象，即有热有光有火焰；</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（2）偶然、意外发生的燃烧；</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（3）燃烧失去控制并有蔓延扩大的趋势。</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因此，仅有燃烧现象并不等于构成本保险中的火灾责任。在生产、生活中有目的用火，如为了防疫而焚毁站污的衣物，点火烧荒等属正常燃烧，不同于火灾责任。</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因烘、烤、烫、烙造成焦糊变质等损失，既无燃烧现象，又无蔓延扩大趋势，也不属于火灾责任。</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电机、电器、电气设备因使用过度、超电压、碰线、孤花、漏电、自身发热所造成的本身损毁，不属于火灾责任。但如果发生了燃烧并失去控制蔓延扩大，才构成火灾责任，并对电机、电器、电气设备本身的损失负责赔偿。</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2、爆炸</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爆炸分物理性爆炸和化学性爆炸。</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（2）化学性爆炸：物体在瞬息分解或燃烧时放出大量的热和气体，并以很大的压力向四周扩散的现象。如火药爆炸、可燃性粉尘纤维爆炸、可燃气体爆炸及各种化学物品的爆炸等。</w:t>
      </w:r>
    </w:p>
    <w:p>
      <w:pPr>
        <w:spacing w:after="0"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因物体本身的瑕疵，使用损耗或产品质量低劣以及由于容器内部承受“负压”（内压比外压小）造成的损失，不属于爆炸责任。</w:t>
      </w:r>
    </w:p>
    <w:p>
      <w:pPr>
        <w:rPr>
          <w:rFonts w:hint="eastAsia"/>
          <w:lang w:eastAsia="zh-CN"/>
        </w:rPr>
      </w:pPr>
      <w:r>
        <w:rPr>
          <w:rFonts w:hint="eastAsia"/>
          <w:lang w:eastAsia="zh-CN"/>
        </w:rPr>
        <w:br w:type="page"/>
      </w:r>
    </w:p>
    <w:p>
      <w:pPr>
        <w:pStyle w:val="4"/>
      </w:pPr>
      <w:bookmarkStart w:id="58" w:name="_Toc8875"/>
      <w:bookmarkStart w:id="59" w:name="_Toc13014"/>
      <w:r>
        <w:rPr>
          <w:rFonts w:hint="eastAsia"/>
        </w:rPr>
        <w:t>二、安全生产责任险</w:t>
      </w:r>
      <w:bookmarkEnd w:id="58"/>
      <w:bookmarkEnd w:id="59"/>
    </w:p>
    <w:p>
      <w:pPr>
        <w:pStyle w:val="2"/>
        <w:jc w:val="center"/>
      </w:pPr>
      <w:bookmarkStart w:id="60" w:name="_Toc3221"/>
      <w:r>
        <w:rPr>
          <w:rFonts w:hint="eastAsia"/>
        </w:rPr>
        <w:t>（一）招标保险承保方案</w:t>
      </w:r>
      <w:bookmarkEnd w:id="60"/>
    </w:p>
    <w:tbl>
      <w:tblPr>
        <w:tblStyle w:val="2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bookmarkStart w:id="61" w:name="_Hlk67336181"/>
            <w:r>
              <w:rPr>
                <w:rFonts w:hint="eastAsia" w:asciiTheme="minorEastAsia" w:hAnsiTheme="minorEastAsia" w:eastAsiaTheme="minorEastAsia"/>
                <w:b/>
                <w:bCs/>
                <w:sz w:val="22"/>
                <w:szCs w:val="22"/>
              </w:rPr>
              <w:t>保险险种：</w:t>
            </w:r>
          </w:p>
        </w:tc>
        <w:tc>
          <w:tcPr>
            <w:tcW w:w="7513" w:type="dxa"/>
            <w:vAlign w:val="center"/>
          </w:tcPr>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一、投保人/被保险人名称：</w:t>
            </w:r>
          </w:p>
        </w:tc>
        <w:tc>
          <w:tcPr>
            <w:tcW w:w="7513" w:type="dxa"/>
            <w:vAlign w:val="center"/>
          </w:tcPr>
          <w:p>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bCs/>
                <w:sz w:val="22"/>
                <w:szCs w:val="22"/>
              </w:rPr>
              <w:t>投保人名称：</w:t>
            </w:r>
            <w:r>
              <w:rPr>
                <w:rFonts w:hint="eastAsia" w:ascii="宋体" w:hAnsi="宋体" w:cs="宋体" w:eastAsiaTheme="minorEastAsia"/>
                <w:lang w:val="en-US" w:eastAsia="zh-CN"/>
              </w:rPr>
              <w:t xml:space="preserve"> </w:t>
            </w:r>
          </w:p>
          <w:p>
            <w:pPr>
              <w:spacing w:line="360" w:lineRule="auto"/>
              <w:rPr>
                <w:rFonts w:hint="eastAsia" w:asciiTheme="minorEastAsia" w:hAnsiTheme="minorEastAsia" w:eastAsiaTheme="minorEastAsia"/>
                <w:sz w:val="22"/>
                <w:szCs w:val="22"/>
                <w:lang w:eastAsia="zh-CN"/>
              </w:rPr>
            </w:pPr>
            <w:r>
              <w:rPr>
                <w:rFonts w:hint="eastAsia" w:asciiTheme="minorEastAsia" w:hAnsiTheme="minorEastAsia" w:eastAsiaTheme="minorEastAsia"/>
                <w:b/>
                <w:sz w:val="22"/>
                <w:szCs w:val="22"/>
              </w:rPr>
              <w:t>被保险人：</w:t>
            </w:r>
            <w:r>
              <w:rPr>
                <w:rFonts w:hint="eastAsia" w:ascii="宋体" w:hAnsi="宋体" w:cs="宋体"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二、保险工程名称：</w:t>
            </w:r>
          </w:p>
        </w:tc>
        <w:tc>
          <w:tcPr>
            <w:tcW w:w="7513" w:type="dxa"/>
            <w:vAlign w:val="center"/>
          </w:tcPr>
          <w:p>
            <w:pPr>
              <w:rPr>
                <w:rFonts w:hint="eastAsia" w:cs="宋体" w:asciiTheme="minorEastAsia" w:hAnsiTheme="minorEastAsia" w:eastAsiaTheme="minorEastAsia"/>
                <w:sz w:val="22"/>
                <w:szCs w:val="22"/>
                <w:lang w:eastAsia="zh-CN"/>
              </w:rPr>
            </w:pPr>
            <w:r>
              <w:rPr>
                <w:rFonts w:hint="eastAsia" w:ascii="宋体" w:hAnsi="宋体" w:cs="宋体" w:eastAsiaTheme="minor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三、施工地址：</w:t>
            </w:r>
          </w:p>
        </w:tc>
        <w:tc>
          <w:tcPr>
            <w:tcW w:w="7513" w:type="dxa"/>
            <w:vAlign w:val="center"/>
          </w:tcPr>
          <w:p>
            <w:pPr>
              <w:spacing w:line="360" w:lineRule="auto"/>
              <w:rPr>
                <w:rFonts w:hint="eastAsia" w:asciiTheme="minorEastAsia" w:hAnsiTheme="minorEastAsia" w:eastAsiaTheme="minorEastAsia"/>
                <w:sz w:val="22"/>
                <w:szCs w:val="22"/>
                <w:lang w:eastAsia="zh-CN"/>
              </w:rPr>
            </w:pP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四、工程造价：</w:t>
            </w:r>
          </w:p>
        </w:tc>
        <w:tc>
          <w:tcPr>
            <w:tcW w:w="7513" w:type="dxa"/>
            <w:vAlign w:val="center"/>
          </w:tcPr>
          <w:p>
            <w:pPr>
              <w:tabs>
                <w:tab w:val="left" w:pos="5460"/>
              </w:tabs>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RMB</w:t>
            </w:r>
            <w:r>
              <w:rPr>
                <w:rFonts w:hint="eastAsia" w:ascii="宋体" w:hAnsi="宋体" w:cs="宋体" w:eastAsiaTheme="minorEastAsia"/>
                <w:lang w:val="en-US" w:eastAsia="zh-CN"/>
              </w:rPr>
              <w:t>31135541元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五、赔偿限额：</w:t>
            </w:r>
          </w:p>
        </w:tc>
        <w:tc>
          <w:tcPr>
            <w:tcW w:w="7513" w:type="dxa"/>
            <w:vAlign w:val="center"/>
          </w:tcPr>
          <w:p>
            <w:pPr>
              <w:spacing w:line="360" w:lineRule="auto"/>
              <w:rPr>
                <w:rFonts w:hint="default" w:asciiTheme="minorEastAsia" w:hAnsiTheme="minorEastAsia" w:eastAsiaTheme="minorEastAsia"/>
                <w:sz w:val="22"/>
                <w:szCs w:val="22"/>
                <w:u w:val="single"/>
                <w:lang w:val="en-US" w:eastAsia="zh-CN"/>
              </w:rPr>
            </w:pPr>
            <w:r>
              <w:rPr>
                <w:rFonts w:hint="eastAsia" w:asciiTheme="minorEastAsia" w:hAnsiTheme="minorEastAsia" w:eastAsiaTheme="minorEastAsia"/>
                <w:sz w:val="22"/>
                <w:szCs w:val="22"/>
              </w:rPr>
              <w:t>从业人员责任每次事故及累计赔偿限额：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从业人员死亡及伤残每人每次事故赔偿限额：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从业人员意外伤害医疗费用每人每次事故赔偿限额：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sz w:val="22"/>
                <w:szCs w:val="22"/>
              </w:rPr>
              <w:t>第三者责任每次事故及累计赔偿限额：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救援费用每次事故赔偿限额：</w:t>
            </w:r>
            <w:r>
              <w:rPr>
                <w:rFonts w:asciiTheme="minorEastAsia" w:hAnsiTheme="minorEastAsia" w:eastAsiaTheme="minorEastAsia"/>
                <w:sz w:val="22"/>
                <w:szCs w:val="22"/>
              </w:rPr>
              <w:t>RMB</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bCs/>
                <w:sz w:val="22"/>
                <w:szCs w:val="22"/>
                <w:highlight w:val="yellow"/>
                <w:u w:val="single"/>
                <w:lang w:val="en-US" w:eastAsia="zh-CN"/>
              </w:rPr>
              <w:t xml:space="preserve">                 </w:t>
            </w:r>
          </w:p>
          <w:p>
            <w:pPr>
              <w:spacing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注：以上</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事故</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是指每一次事故或由同一原因</w:t>
            </w:r>
            <w:r>
              <w:rPr>
                <w:rFonts w:asciiTheme="minorEastAsia" w:hAnsiTheme="minorEastAsia" w:eastAsiaTheme="minorEastAsia"/>
                <w:b/>
                <w:sz w:val="22"/>
                <w:szCs w:val="22"/>
              </w:rPr>
              <w:t>/</w:t>
            </w:r>
            <w:r>
              <w:rPr>
                <w:rFonts w:hint="eastAsia" w:asciiTheme="minorEastAsia" w:hAnsiTheme="minorEastAsia" w:eastAsiaTheme="minorEastAsia"/>
                <w:b/>
                <w:sz w:val="22"/>
                <w:szCs w:val="22"/>
              </w:rPr>
              <w:t>同一事件引起的一系列事故。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六、免赔额/率：</w:t>
            </w:r>
          </w:p>
        </w:tc>
        <w:tc>
          <w:tcPr>
            <w:tcW w:w="7513" w:type="dxa"/>
            <w:vAlign w:val="center"/>
          </w:tcPr>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1、从业人员人身伤亡：无免赔</w:t>
            </w:r>
          </w:p>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2、从业人员意外伤害医疗费用：每人每次事故免赔RMB </w:t>
            </w:r>
            <w:r>
              <w:rPr>
                <w:rFonts w:hint="eastAsia" w:asciiTheme="minorEastAsia" w:hAnsiTheme="minorEastAsia" w:eastAsiaTheme="minorEastAsia"/>
                <w:b/>
                <w:bCs/>
                <w:sz w:val="22"/>
                <w:szCs w:val="22"/>
                <w:highlight w:val="yellow"/>
                <w:u w:val="single"/>
                <w:lang w:val="en-US" w:eastAsia="zh-CN"/>
              </w:rPr>
              <w:t xml:space="preserve">                 </w:t>
            </w:r>
          </w:p>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3、第三者赔偿责任：无免赔</w:t>
            </w:r>
          </w:p>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Cs/>
                <w:sz w:val="22"/>
                <w:szCs w:val="22"/>
              </w:rPr>
              <w:t>4、救援费用：无免赔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七、保险期限：</w:t>
            </w:r>
          </w:p>
        </w:tc>
        <w:tc>
          <w:tcPr>
            <w:tcW w:w="7513"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sz w:val="22"/>
                <w:szCs w:val="22"/>
              </w:rPr>
              <w:t>自本保单签发之日零时起至202</w:t>
            </w:r>
            <w:r>
              <w:rPr>
                <w:rFonts w:asciiTheme="minorEastAsia" w:hAnsiTheme="minorEastAsia" w:eastAsiaTheme="minorEastAsia"/>
                <w:sz w:val="22"/>
                <w:szCs w:val="22"/>
              </w:rPr>
              <w:t>3</w:t>
            </w:r>
            <w:r>
              <w:rPr>
                <w:rFonts w:hint="eastAsia" w:asciiTheme="minorEastAsia" w:hAnsiTheme="minorEastAsia" w:eastAsiaTheme="minorEastAsia"/>
                <w:sz w:val="22"/>
                <w:szCs w:val="22"/>
              </w:rPr>
              <w:t>年x月xx日二十四时止或</w:t>
            </w:r>
            <w:r>
              <w:rPr>
                <w:rFonts w:asciiTheme="minorEastAsia" w:hAnsiTheme="minorEastAsia" w:eastAsiaTheme="minorEastAsia"/>
                <w:sz w:val="22"/>
                <w:szCs w:val="22"/>
              </w:rPr>
              <w:t>至工程</w:t>
            </w:r>
            <w:r>
              <w:rPr>
                <w:rFonts w:hint="eastAsia" w:asciiTheme="minorEastAsia" w:hAnsiTheme="minorEastAsia" w:eastAsiaTheme="minorEastAsia"/>
                <w:sz w:val="22"/>
                <w:szCs w:val="22"/>
              </w:rPr>
              <w:t>全部</w:t>
            </w:r>
            <w:r>
              <w:rPr>
                <w:rFonts w:asciiTheme="minorEastAsia" w:hAnsiTheme="minorEastAsia" w:eastAsiaTheme="minorEastAsia"/>
                <w:sz w:val="22"/>
                <w:szCs w:val="22"/>
              </w:rPr>
              <w:t>验收合格或</w:t>
            </w:r>
            <w:r>
              <w:rPr>
                <w:rFonts w:hint="eastAsia" w:asciiTheme="minorEastAsia" w:hAnsiTheme="minorEastAsia" w:eastAsiaTheme="minorEastAsia"/>
                <w:sz w:val="22"/>
                <w:szCs w:val="22"/>
              </w:rPr>
              <w:t>全部</w:t>
            </w:r>
            <w:r>
              <w:rPr>
                <w:rFonts w:asciiTheme="minorEastAsia" w:hAnsiTheme="minorEastAsia" w:eastAsiaTheme="minorEastAsia"/>
                <w:sz w:val="22"/>
                <w:szCs w:val="22"/>
              </w:rPr>
              <w:t>投入使用之日止，以后发生者为准</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八、保险费率：</w:t>
            </w:r>
          </w:p>
        </w:tc>
        <w:tc>
          <w:tcPr>
            <w:tcW w:w="7513" w:type="dxa"/>
            <w:vAlign w:val="center"/>
          </w:tcPr>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highlight w:val="none"/>
                <w:u w:val="single"/>
                <w:lang w:val="en-US" w:eastAsia="zh-CN"/>
              </w:rPr>
              <w:t xml:space="preserve">        </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九、总保险费：</w:t>
            </w:r>
          </w:p>
        </w:tc>
        <w:tc>
          <w:tcPr>
            <w:tcW w:w="7513" w:type="dxa"/>
            <w:vAlign w:val="center"/>
          </w:tcPr>
          <w:p>
            <w:pPr>
              <w:spacing w:line="360" w:lineRule="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bCs/>
                <w:sz w:val="22"/>
                <w:szCs w:val="22"/>
              </w:rPr>
              <w:t>RMB</w:t>
            </w:r>
            <w:r>
              <w:rPr>
                <w:rFonts w:hint="eastAsia" w:asciiTheme="minorEastAsia" w:hAnsiTheme="minorEastAsia" w:eastAsiaTheme="minorEastAsia"/>
                <w:bCs/>
                <w:sz w:val="22"/>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十、保费支付日期：</w:t>
            </w:r>
          </w:p>
        </w:tc>
        <w:tc>
          <w:tcPr>
            <w:tcW w:w="7513" w:type="dxa"/>
            <w:vAlign w:val="center"/>
          </w:tcPr>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Cs w:val="21"/>
              </w:rPr>
              <w:t>交付止期为202</w:t>
            </w: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年</w:t>
            </w:r>
            <w:r>
              <w:rPr>
                <w:rFonts w:asciiTheme="minorEastAsia" w:hAnsiTheme="minorEastAsia" w:eastAsiaTheme="minorEastAsia"/>
                <w:bCs/>
                <w:color w:val="000000" w:themeColor="text1"/>
                <w:szCs w:val="21"/>
                <w14:textFill>
                  <w14:solidFill>
                    <w14:schemeClr w14:val="tx1"/>
                  </w14:solidFill>
                </w14:textFill>
              </w:rPr>
              <w:t>x</w:t>
            </w:r>
            <w:r>
              <w:rPr>
                <w:rFonts w:hint="eastAsia" w:asciiTheme="minorEastAsia" w:hAnsiTheme="minorEastAsia" w:eastAsiaTheme="minorEastAsia"/>
                <w:bCs/>
                <w:szCs w:val="21"/>
              </w:rPr>
              <w:t>月</w:t>
            </w:r>
            <w:r>
              <w:rPr>
                <w:rFonts w:asciiTheme="minorEastAsia" w:hAnsiTheme="minorEastAsia" w:eastAsiaTheme="minorEastAsia"/>
                <w:bCs/>
                <w:color w:val="000000" w:themeColor="text1"/>
                <w:szCs w:val="21"/>
                <w14:textFill>
                  <w14:solidFill>
                    <w14:schemeClr w14:val="tx1"/>
                  </w14:solidFill>
                </w14:textFill>
              </w:rPr>
              <w:t>xx</w:t>
            </w:r>
            <w:r>
              <w:rPr>
                <w:rFonts w:hint="eastAsia" w:asciiTheme="minorEastAsia" w:hAnsiTheme="minorEastAsia" w:eastAsiaTheme="minorEastAsia"/>
                <w:bCs/>
                <w:szCs w:val="21"/>
              </w:rPr>
              <w:t>日，由投保人一次性支付给保险人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十一、司法管辖权：</w:t>
            </w:r>
          </w:p>
        </w:tc>
        <w:tc>
          <w:tcPr>
            <w:tcW w:w="7513" w:type="dxa"/>
            <w:vAlign w:val="center"/>
          </w:tcPr>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中华人民共和国司法管辖</w:t>
            </w:r>
            <w:r>
              <w:rPr>
                <w:rFonts w:asciiTheme="minorEastAsia" w:hAnsiTheme="minorEastAsia" w:eastAsiaTheme="minorEastAsia"/>
                <w:bCs/>
                <w:sz w:val="22"/>
                <w:szCs w:val="22"/>
              </w:rPr>
              <w:t>(</w:t>
            </w:r>
            <w:r>
              <w:rPr>
                <w:rFonts w:hint="eastAsia" w:asciiTheme="minorEastAsia" w:hAnsiTheme="minorEastAsia" w:eastAsiaTheme="minorEastAsia"/>
                <w:bCs/>
                <w:sz w:val="22"/>
                <w:szCs w:val="22"/>
              </w:rPr>
              <w:t>港、澳、台地区除外</w:t>
            </w:r>
            <w:r>
              <w:rPr>
                <w:rFonts w:asciiTheme="minorEastAsia" w:hAnsiTheme="minorEastAsia" w:eastAsiaTheme="minorEastAsia"/>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十二、争议处理：</w:t>
            </w:r>
          </w:p>
        </w:tc>
        <w:tc>
          <w:tcPr>
            <w:tcW w:w="7513" w:type="dxa"/>
            <w:vAlign w:val="center"/>
          </w:tcPr>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如发生保险争议，应友好协商解决。如协商不成，应向投保人所在地有管辖权的人民法院提起诉讼。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spacing w:line="360" w:lineRule="auto"/>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十三、基本条款：</w:t>
            </w:r>
          </w:p>
        </w:tc>
        <w:tc>
          <w:tcPr>
            <w:tcW w:w="7513" w:type="dxa"/>
            <w:vAlign w:val="center"/>
          </w:tcPr>
          <w:p>
            <w:pPr>
              <w:spacing w:line="360" w:lineRule="auto"/>
              <w:rPr>
                <w:rFonts w:asciiTheme="minorEastAsia" w:hAnsiTheme="minorEastAsia" w:eastAsiaTheme="minorEastAsia"/>
                <w:bCs/>
                <w:sz w:val="22"/>
                <w:szCs w:val="22"/>
              </w:rPr>
            </w:pPr>
            <w:r>
              <w:rPr>
                <w:rFonts w:hint="eastAsia" w:asciiTheme="minorEastAsia" w:hAnsiTheme="minorEastAsia" w:eastAsiaTheme="minorEastAsia"/>
                <w:bCs/>
                <w:sz w:val="22"/>
                <w:szCs w:val="22"/>
              </w:rPr>
              <w:t>《安全生产责任险条款》</w:t>
            </w:r>
          </w:p>
        </w:tc>
      </w:tr>
      <w:bookmarkEnd w:id="61"/>
    </w:tbl>
    <w:p>
      <w:pPr>
        <w:rPr>
          <w:rFonts w:asciiTheme="minorEastAsia" w:hAnsiTheme="minorEastAsia" w:eastAsiaTheme="minorEastAsia"/>
          <w:b/>
          <w:sz w:val="22"/>
          <w:szCs w:val="22"/>
        </w:rPr>
      </w:pPr>
    </w:p>
    <w:p>
      <w:pPr>
        <w:pStyle w:val="2"/>
        <w:jc w:val="center"/>
      </w:pPr>
      <w:bookmarkStart w:id="62" w:name="_Toc10098"/>
      <w:r>
        <w:rPr>
          <w:rFonts w:hint="eastAsia"/>
        </w:rPr>
        <w:t>（二）条款内容</w:t>
      </w:r>
      <w:bookmarkEnd w:id="62"/>
    </w:p>
    <w:p>
      <w:pPr>
        <w:widowControl/>
        <w:shd w:val="clear" w:color="auto" w:fill="FFFFFF"/>
        <w:spacing w:line="360" w:lineRule="auto"/>
        <w:jc w:val="center"/>
        <w:rPr>
          <w:rFonts w:cs="宋体" w:asciiTheme="minorEastAsia" w:hAnsiTheme="minorEastAsia" w:eastAsiaTheme="minorEastAsia"/>
          <w:b/>
          <w:color w:val="000000"/>
          <w:kern w:val="0"/>
          <w:sz w:val="32"/>
          <w:lang w:val="zh-CN"/>
        </w:rPr>
      </w:pPr>
      <w:bookmarkStart w:id="63" w:name="_Toc1195"/>
      <w:r>
        <w:rPr>
          <w:rFonts w:hint="eastAsia" w:cs="宋体" w:asciiTheme="minorEastAsia" w:hAnsiTheme="minorEastAsia" w:eastAsiaTheme="minorEastAsia"/>
          <w:b/>
          <w:color w:val="000000"/>
          <w:kern w:val="0"/>
          <w:sz w:val="32"/>
        </w:rPr>
        <w:t>安全生产责任保险条款</w:t>
      </w:r>
      <w:bookmarkEnd w:id="63"/>
    </w:p>
    <w:p>
      <w:pPr>
        <w:rPr>
          <w:rFonts w:asciiTheme="minorEastAsia" w:hAnsiTheme="minorEastAsia" w:eastAsiaTheme="minorEastAsia"/>
          <w:b/>
          <w:sz w:val="22"/>
          <w:szCs w:val="22"/>
          <w:lang w:val="zh-CN"/>
        </w:rPr>
      </w:pP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总则</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第一条  </w:t>
      </w:r>
      <w:r>
        <w:rPr>
          <w:rFonts w:hint="eastAsia" w:cs="宋体" w:asciiTheme="minorEastAsia" w:hAnsiTheme="minorEastAsia" w:eastAsiaTheme="minorEastAsia"/>
          <w:color w:val="000000"/>
          <w:kern w:val="0"/>
          <w:szCs w:val="21"/>
        </w:rPr>
        <w:t>本保险合同由保险条款、投保单、保险单、保险凭证以及批单组成。凡涉及本保险合同的约定，均应采用书面形式。</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第二条</w:t>
      </w:r>
      <w:r>
        <w:rPr>
          <w:rFonts w:hint="eastAsia" w:cs="宋体" w:asciiTheme="minorEastAsia" w:hAnsiTheme="minorEastAsia" w:eastAsiaTheme="minorEastAsia"/>
          <w:color w:val="000000"/>
          <w:kern w:val="0"/>
          <w:szCs w:val="21"/>
        </w:rPr>
        <w:t xml:space="preserve">  凡经建设行政主管部门批准，取得相应资质证书并经工商行政管理部门登记注册，依法设立的建筑施工企业，均可作为本保险合同的被保险人。</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第三条</w:t>
      </w:r>
      <w:r>
        <w:rPr>
          <w:rFonts w:hint="eastAsia" w:cs="宋体" w:asciiTheme="minorEastAsia" w:hAnsiTheme="minorEastAsia" w:eastAsiaTheme="minorEastAsia"/>
          <w:color w:val="000000"/>
          <w:kern w:val="0"/>
          <w:szCs w:val="21"/>
        </w:rPr>
        <w:t xml:space="preserve">  本保险合同由总则、从业人员责任保险、第三者责任保险、救援费用保险、通用条款五部分组成。投保人可选择投保从业人员责任保险、第三者责任保险或救援费用保险，也可同时投保。</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第四条</w:t>
      </w:r>
      <w:r>
        <w:rPr>
          <w:rFonts w:hint="eastAsia" w:cs="宋体" w:asciiTheme="minorEastAsia" w:hAnsiTheme="minorEastAsia" w:eastAsiaTheme="minorEastAsia"/>
          <w:color w:val="000000"/>
          <w:kern w:val="0"/>
          <w:szCs w:val="21"/>
        </w:rPr>
        <w:t xml:space="preserve">  从业人员责任保险、第三者责任保险、救援费用保险的约定适用于该部分，总则和通用条款的约定适用于整个保险合同。</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第一部分 从业人员责任保险</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第五条</w:t>
      </w:r>
      <w:r>
        <w:rPr>
          <w:rFonts w:hint="eastAsia" w:cs="宋体" w:asciiTheme="minorEastAsia" w:hAnsiTheme="minorEastAsia" w:eastAsiaTheme="minorEastAsia"/>
          <w:color w:val="000000"/>
          <w:kern w:val="0"/>
          <w:szCs w:val="21"/>
        </w:rPr>
        <w:t xml:space="preserve">  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第六条  下列原因造成的损失、费用和责任，保险人不负责赔偿：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（一）从业人员在工作时间和工作场所内，因履行工作职责受到暴力伤害的；</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（二）从业人员在工作时间和工作岗位，突发疾病死亡或者在48小时之内经抢救无效死亡；</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（三）从业人员因工外出期间，由于工作原因受到伤害或者发生事故下落不明的；</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（四）从业人员在上下班途中，受到非本人主要责任的交通事故或者城市轨道交通、客运轮渡、火车事故伤害的；</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（五）从业人员在抢险救灾等维护国家利益、公共利益活动中受到伤害的；</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（六）从业人员的故意行为、犯罪行为，或自杀、自伤、醉酒、吸毒或受精神药品影响，造成自身人身伤亡。</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责任限额和免赔额（率）</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第七条  从业人员责任保险部分的责任限额包括每次事故责任限额、每人伤亡责任限额、每人医疗费用责任限额。</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第八条  每人医疗费用免赔额（率）由投保人与保险人在签订保险合同时协商确定，并在保险单中载明。</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第二部分 第三者责任保险</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第九条</w:t>
      </w:r>
      <w:r>
        <w:rPr>
          <w:rFonts w:hint="eastAsia" w:cs="宋体" w:asciiTheme="minorEastAsia" w:hAnsiTheme="minorEastAsia" w:eastAsiaTheme="minorEastAsia"/>
          <w:color w:val="000000"/>
          <w:kern w:val="0"/>
          <w:szCs w:val="21"/>
        </w:rPr>
        <w:t xml:space="preserve">  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tabs>
          <w:tab w:val="left" w:pos="6045"/>
        </w:tabs>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责任免除</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bCs/>
          <w:szCs w:val="21"/>
        </w:rPr>
        <w:t xml:space="preserve">第十条  </w:t>
      </w:r>
      <w:r>
        <w:rPr>
          <w:rFonts w:hint="eastAsia" w:cs="宋体" w:asciiTheme="minorEastAsia" w:hAnsiTheme="minorEastAsia" w:eastAsiaTheme="minorEastAsia"/>
          <w:b/>
          <w:szCs w:val="21"/>
        </w:rPr>
        <w:t>下列损失、费用和责任，保险人不负责赔偿：</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（一）第三者遭受的各项财产损失；</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（二）本保险单未载明，但属于被保险人所有、占有或以其名义使用的任何牲畜、车辆、火车头、船只、飞机、电梯、升降机、自动梯、起重机、吊车或其他升降装置造成的损失；</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（三）被保险人或其从业人员因从事医师、律师、会计师、设计师、建筑师、美容师或其他专门职业所发生的赔偿责任；</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（四）被保险人售出的商品、食物、饮料存在缺陷造成他人死亡或伤残所产生的责任。</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第十一条第三者责任保险部分的责任限额包括每次事故责任限额、每人伤亡责任限额、每人医疗费用责任限额。</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第十二条  每人医疗费用免赔额（率）由投保人与保险人在签订保险合同时协商确定，并在保险单中载明。</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第三部分 救援费用保险</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第十三条</w:t>
      </w:r>
      <w:r>
        <w:rPr>
          <w:rFonts w:hint="eastAsia" w:cs="宋体" w:asciiTheme="minorEastAsia" w:hAnsiTheme="minorEastAsia" w:eastAsiaTheme="minorEastAsia"/>
          <w:color w:val="000000"/>
          <w:kern w:val="0"/>
          <w:szCs w:val="21"/>
        </w:rPr>
        <w:t xml:space="preserve">  在保险期间内，被保险人在保险单载明的施工地址内因发生生产安全事故导致被保险人的从业人员或第三者发生意外，应由被保险人负担的因采取紧急抢险救援措施而支出的下列必要、合理的救援费用，保险人按照本保险合同约定负责赔偿：</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（一）抢险救援人员的劳务费用；</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（二）救援器材、设备的租赁、使用费用；</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（三）单价低于200元人民币的救援工具购置费用；</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（四）生产安全事故现场发生的医疗抢救费用。</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第十四条  下列损失、费用和责任，保险人不负责赔偿：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（一）清污费用；</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（二）保险事故发生后，受伤人员被送往医院以后产生的医疗费用。</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责任限额与免赔额（率）</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第十五条救援费用保险部分的责任限额包括每次事故救援费用限额、每人救援费用限额。</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各项责任限额，由投保人和保险人协商确定，并在保险单中载明。</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第十六条每次事故救援费用免赔额（率）由投保人与保险人在签订保险合同时协商确定，并在保险单中载明。</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同时约定了免赔额和免赔率的，免赔金额以免赔额和按照免赔率计算的金额二者中的高者为准。</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第四部分 通用条款</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保险责任</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第十七条</w:t>
      </w:r>
      <w:r>
        <w:rPr>
          <w:rFonts w:hint="eastAsia" w:cs="宋体" w:asciiTheme="minorEastAsia" w:hAnsiTheme="minorEastAsia" w:eastAsiaTheme="minorEastAsia"/>
          <w:color w:val="000000"/>
          <w:kern w:val="0"/>
          <w:szCs w:val="21"/>
        </w:rPr>
        <w:t xml:space="preserve">  保险事故发生后，被保险人因保险事故而被提起仲裁或者诉讼的，对应由被保险人支付的仲裁或诉讼费用以及事先经保险人书面同意支付的其它必要的、合理的费用（以下简称“法律费用”），保险人按照本保险合同约定负责赔偿。</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责任免除</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第十八条  下列原因造成的损失、费用和责任，保险人不负责赔偿：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（一）投保人、被保险人的故意行为、犯罪行为；</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（二）战争、敌对行动、军事行为、武装冲突、罢工、暴动、民众骚乱、恐怖活动；</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（三）行政行为或司法行为；</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（四）大气污染、土地污染、水污染及其他各种污染；</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（五）任何疾病，包括但不限于高原反应、妊娠、流产、分娩、药物过敏等；</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（六）由于震动、移动或减弱支撑而造成的任何财产、土地、建筑物的损失及由此造成的任何人身伤亡和财产损失；</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color w:val="000000"/>
          <w:kern w:val="0"/>
          <w:szCs w:val="21"/>
        </w:rPr>
        <w:t>（七）</w:t>
      </w:r>
      <w:r>
        <w:rPr>
          <w:rFonts w:hint="eastAsia" w:cs="宋体" w:asciiTheme="minorEastAsia" w:hAnsiTheme="minorEastAsia" w:eastAsiaTheme="minorEastAsia"/>
          <w:b/>
          <w:bCs/>
          <w:szCs w:val="21"/>
        </w:rPr>
        <w:t>地震及其次生灾害、雷电、暴雨、洪水、暴风、龙卷风、风暴潮、冰雹、台风、飓风、海啸、沙尘暴、暴雪、冰凌、突发性滑坡、崩塌、泥石流；</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（八）领有公共运输行驶执照的车辆、船舶、飞机造成的事故。</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第十九条  下列情形下的损失、费用和责任，保险人不负责赔偿：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（一）被保险人在主管部门责令停产整顿期间擅自从事生产发生的事故，或被主管部门关闭后擅自恢复生产发生的事故；</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（二）被保险人从事与保险单载明的经营范围不符的活动，或者被保险人违法违规经营的；</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（三）被保险人许可证（照）不在有效期内，但因许可证（照）在办理延续许可手续期间等有正当理由的不在此列。</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第二十条  下列损失、费用和责任，保险人也不负责赔偿：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（一）罚款、罚金及惩罚性赔偿；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（二）间接损失；</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（三）精神损害赔偿，但有法院判决的不在此限；</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（四）本保险单中载明的免赔额或按照本保险单中载明的免赔率计算的金额；</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（五）根据本条款其他部分内容中的相关约定，保险人应不承担或免除保险责任的各种情形下的损失、费用或责任，或保险人有权予以扣除、减少的部分。</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责任限额</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第二十一条通用部分的责任限额包括每次事故法律费用责任限额及累计责任限额。</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保险期间</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第二十二条  </w:t>
      </w:r>
      <w:r>
        <w:rPr>
          <w:rFonts w:hint="eastAsia" w:cs="宋体" w:asciiTheme="minorEastAsia" w:hAnsiTheme="minorEastAsia" w:eastAsiaTheme="minorEastAsia"/>
          <w:color w:val="000000"/>
          <w:kern w:val="0"/>
          <w:szCs w:val="21"/>
        </w:rPr>
        <w:t>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保险人义务</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第二十三条  </w:t>
      </w:r>
      <w:r>
        <w:rPr>
          <w:rFonts w:hint="eastAsia" w:cs="宋体" w:asciiTheme="minorEastAsia" w:hAnsiTheme="minorEastAsia" w:eastAsiaTheme="minorEastAsia"/>
          <w:color w:val="000000"/>
          <w:kern w:val="0"/>
          <w:szCs w:val="21"/>
        </w:rPr>
        <w:t>本保险合同成立后，保险人应当及时向投保人签发保险单或其他保险凭证。</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第二十四条</w:t>
      </w:r>
      <w:r>
        <w:rPr>
          <w:rFonts w:hint="eastAsia" w:cs="宋体" w:asciiTheme="minorEastAsia" w:hAnsiTheme="minorEastAsia" w:eastAsiaTheme="minorEastAsia"/>
          <w:color w:val="000000"/>
          <w:kern w:val="0"/>
          <w:szCs w:val="21"/>
        </w:rPr>
        <w:t xml:space="preserve">  保险事故发生后，投保人、被保险人提供的有关索赔的证明和资料不完整的，保险人应当及时一次性通知投保人、被保险人补充提供。</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第二十五条</w:t>
      </w:r>
      <w:r>
        <w:rPr>
          <w:rFonts w:hint="eastAsia" w:cs="宋体" w:asciiTheme="minorEastAsia" w:hAnsiTheme="minorEastAsia" w:eastAsiaTheme="minorEastAsia"/>
          <w:color w:val="000000"/>
          <w:kern w:val="0"/>
          <w:szCs w:val="21"/>
        </w:rPr>
        <w:t xml:space="preserve">  保险人收到被保险人的赔偿请求后，应当及时就是否属于保险责任作出核定，并将核定结果通知被保险人。</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投保人、被保险人义务</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第二十六条</w:t>
      </w:r>
      <w:r>
        <w:rPr>
          <w:rFonts w:hint="eastAsia" w:cs="宋体" w:asciiTheme="minorEastAsia" w:hAnsiTheme="minorEastAsia" w:eastAsiaTheme="minorEastAsia"/>
          <w:color w:val="000000"/>
          <w:kern w:val="0"/>
          <w:szCs w:val="21"/>
        </w:rPr>
        <w:t xml:space="preserve">  投保人应履行如实告知义务，如实回答保险人就被保险人安全管理、教育培训、风险状况方面以及被保险人的其他有关情况提出的询问，并如实填写投保单。</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第二十七条</w:t>
      </w:r>
      <w:r>
        <w:rPr>
          <w:rFonts w:hint="eastAsia" w:cs="宋体" w:asciiTheme="minorEastAsia" w:hAnsiTheme="minorEastAsia" w:eastAsiaTheme="minorEastAsia"/>
          <w:color w:val="000000"/>
          <w:kern w:val="0"/>
          <w:szCs w:val="21"/>
        </w:rPr>
        <w:t xml:space="preserve">  如未约定分期交付保险费的，投保人应当在保险合同成立时交清保险费，</w:t>
      </w:r>
      <w:r>
        <w:rPr>
          <w:rFonts w:hint="eastAsia" w:cs="宋体" w:asciiTheme="minorEastAsia" w:hAnsiTheme="minorEastAsia" w:eastAsiaTheme="minorEastAsia"/>
          <w:b/>
          <w:bCs/>
          <w:spacing w:val="-6"/>
          <w:szCs w:val="21"/>
        </w:rPr>
        <w:t>保险费交清前发生的保险事故，保险人不承担赔偿责任</w:t>
      </w:r>
      <w:r>
        <w:rPr>
          <w:rFonts w:hint="eastAsia" w:cs="宋体" w:asciiTheme="minorEastAsia" w:hAnsiTheme="minorEastAsia" w:eastAsiaTheme="minorEastAsia"/>
          <w:color w:val="000000"/>
          <w:kern w:val="0"/>
          <w:szCs w:val="21"/>
        </w:rPr>
        <w:t>。</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第二十八条</w:t>
      </w:r>
      <w:r>
        <w:rPr>
          <w:rFonts w:hint="eastAsia" w:cs="宋体" w:asciiTheme="minorEastAsia" w:hAnsiTheme="minorEastAsia" w:eastAsiaTheme="minorEastAsia"/>
          <w:color w:val="000000"/>
          <w:kern w:val="0"/>
          <w:szCs w:val="21"/>
        </w:rPr>
        <w:t xml:space="preserve">  被保险人应严格遵守《安全生产法》、《建筑法》以及国家及政府有关部门制定的其他相关法律、法规及规定，加强管理，采取合理的预防措施，尽力避免或减少责任事故的发生。</w:t>
      </w:r>
    </w:p>
    <w:p>
      <w:pPr>
        <w:widowControl/>
        <w:shd w:val="clear" w:color="auto" w:fill="FFFFFF"/>
        <w:spacing w:line="360" w:lineRule="auto"/>
        <w:ind w:firstLine="420" w:firstLineChars="200"/>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第二十九条  在合同有效期内，如保险标的的危险程度显著增加的，被保险人应当按照合同的约定及时通知保险人，保险人可以按照合同约定增加保险费或者解除合同。</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第三十条</w:t>
      </w:r>
      <w:r>
        <w:rPr>
          <w:rFonts w:hint="eastAsia" w:cs="宋体" w:asciiTheme="minorEastAsia" w:hAnsiTheme="minorEastAsia" w:eastAsiaTheme="minorEastAsia"/>
          <w:color w:val="000000"/>
          <w:kern w:val="0"/>
          <w:szCs w:val="21"/>
        </w:rPr>
        <w:t xml:space="preserve">  保险事故发生时，被保险人应当尽力采取必要的措施，防止或者减少损失。投保人、被保险人知道保险事故发生后，应当及时通知保险人。</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第三十一条  </w:t>
      </w:r>
      <w:r>
        <w:rPr>
          <w:rFonts w:hint="eastAsia" w:cs="宋体" w:asciiTheme="minorEastAsia" w:hAnsiTheme="minorEastAsia" w:eastAsiaTheme="minorEastAsia"/>
          <w:color w:val="000000"/>
          <w:kern w:val="0"/>
          <w:szCs w:val="21"/>
        </w:rPr>
        <w:t>被保险人收到受害人的损害赔偿请求或得知可能产生损害赔偿时，应及时以书面形式通知保险人，并就损害赔偿请求与保险人进行协商。</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第三十二条</w:t>
      </w:r>
      <w:r>
        <w:rPr>
          <w:rFonts w:hint="eastAsia" w:cs="宋体" w:asciiTheme="minorEastAsia" w:hAnsiTheme="minorEastAsia" w:eastAsiaTheme="minorEastAsia"/>
          <w:color w:val="000000"/>
          <w:kern w:val="0"/>
          <w:szCs w:val="21"/>
        </w:rPr>
        <w:t xml:space="preserve">  发生保险责任范围内的损失，应由有关责任方负责赔偿的，被保险人应行使或者保留向该责任方请求赔偿的权利。</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在保险人向有关责任方行使代位请求赔偿权利时，被保险人应当向保险人提供必要的文件和其所知道的有关情况。</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第三十三条</w:t>
      </w:r>
      <w:r>
        <w:rPr>
          <w:rFonts w:hint="eastAsia" w:cs="宋体" w:asciiTheme="minorEastAsia" w:hAnsiTheme="minorEastAsia" w:eastAsiaTheme="minorEastAsia"/>
          <w:color w:val="000000"/>
          <w:kern w:val="0"/>
          <w:szCs w:val="21"/>
        </w:rPr>
        <w:t xml:space="preserve">  向保险人请求赔偿时，投保人、被保险人应提交以下索赔材料：</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w:t>
      </w:r>
      <w:r>
        <w:rPr>
          <w:rFonts w:hint="eastAsia" w:cs="宋体" w:asciiTheme="minorEastAsia" w:hAnsiTheme="minorEastAsia" w:eastAsiaTheme="minorEastAsia"/>
          <w:kern w:val="0"/>
          <w:szCs w:val="21"/>
        </w:rPr>
        <w:t>保险单、批单、投保清单、保费发票；</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（二）县级以上（含）安全生产监督管理部门出具的事故证明；</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（三）</w:t>
      </w:r>
      <w:r>
        <w:rPr>
          <w:rFonts w:hint="eastAsia" w:cs="宋体" w:asciiTheme="minorEastAsia" w:hAnsiTheme="minorEastAsia" w:eastAsiaTheme="minorEastAsia"/>
          <w:kern w:val="0"/>
          <w:szCs w:val="21"/>
        </w:rPr>
        <w:t>残疾还需提供：保险人认可的二级及以上医疗机构或司法机构出具的残疾等级证明；</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（四）死亡还需提供：医疗机构或公安部门出具的死亡证明，宣告死亡的需提供法院宣告死亡的证明；</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（五）伤亡人员的人事关系证明、身份证明、书面赔偿请求以及被保险人已经向伤亡人员或其代表支付赔偿金的书面证明材料；</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（六）如存在救援情况下，被保险人支付的救援费用凭据；</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szCs w:val="21"/>
        </w:rPr>
        <w:t>（七）</w:t>
      </w:r>
      <w:r>
        <w:rPr>
          <w:rFonts w:hint="eastAsia" w:cs="宋体" w:asciiTheme="minorEastAsia" w:hAnsiTheme="minorEastAsia" w:eastAsiaTheme="minorEastAsia"/>
          <w:kern w:val="0"/>
          <w:szCs w:val="21"/>
        </w:rPr>
        <w:t>能够确定被保险人责任及赔偿金额的有关法律文书或经保险人同意，被保险人与受害人达成的赔偿协议及赔偿金支付凭据；</w:t>
      </w:r>
    </w:p>
    <w:p>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kern w:val="0"/>
          <w:szCs w:val="21"/>
        </w:rPr>
        <w:t>（八）保险出险/索赔通知书；</w:t>
      </w:r>
    </w:p>
    <w:p>
      <w:pPr>
        <w:pStyle w:val="14"/>
        <w:spacing w:after="0" w:line="360" w:lineRule="auto"/>
        <w:ind w:left="0" w:leftChars="0"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（九）投保人、被保险人所能提供的其他与确认保险事故性质、原因、损失程度等有关的证明和资料。</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赔偿处理</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第三十四条  </w:t>
      </w:r>
      <w:r>
        <w:rPr>
          <w:rFonts w:hint="eastAsia" w:cs="宋体" w:asciiTheme="minorEastAsia" w:hAnsiTheme="minorEastAsia" w:eastAsiaTheme="minorEastAsia"/>
          <w:color w:val="000000"/>
          <w:kern w:val="0"/>
          <w:szCs w:val="21"/>
        </w:rPr>
        <w:t>保险人以下列方式之一确定的被保险人的赔偿责任为基础，按照保险合同的约定进行赔偿：</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（一）被保险人和向其提出损害赔偿请求的受害人协商并经保险人确认； </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（二）仲裁机构裁决；</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（三）人民法院判决；</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（四）保险人认可的其它方式。</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第三十五条</w:t>
      </w:r>
      <w:r>
        <w:rPr>
          <w:rFonts w:hint="eastAsia" w:cs="宋体" w:asciiTheme="minorEastAsia" w:hAnsiTheme="minorEastAsia" w:eastAsiaTheme="minorEastAsia"/>
          <w:color w:val="000000"/>
          <w:kern w:val="0"/>
          <w:szCs w:val="21"/>
        </w:rPr>
        <w:t xml:space="preserve">  发生本保险合同第五条、第九条约定的保险事故时，被保险人对伤亡人员依法应承担的经济赔偿责任，保险人按照以下方式赔偿：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（一）发生人员死亡的，保险人在每人伤亡责任限额内赔偿；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（二）发生人员残疾的，由二级以上(含)医疗机构或司法机构依据《职工工伤与职业病致残程度鉴定》（发生第五条约定的保险事故）或《</w:t>
      </w:r>
      <w:r>
        <w:rPr>
          <w:rFonts w:hint="eastAsia" w:cs="宋体" w:asciiTheme="minorEastAsia" w:hAnsiTheme="minorEastAsia" w:eastAsiaTheme="minorEastAsia"/>
          <w:b/>
          <w:szCs w:val="21"/>
        </w:rPr>
        <w:t>人体损伤致残程度分级</w:t>
      </w:r>
      <w:r>
        <w:rPr>
          <w:rFonts w:hint="eastAsia" w:cs="宋体" w:asciiTheme="minorEastAsia" w:hAnsiTheme="minorEastAsia" w:eastAsiaTheme="minorEastAsia"/>
          <w:b/>
          <w:color w:val="000000"/>
          <w:kern w:val="0"/>
          <w:szCs w:val="21"/>
        </w:rPr>
        <w:t>》（发生第九条约定的保险事故）标准鉴定残疾程度，保险人按照本保险合同所附残疾赔偿比例表规定的百分比，在每人伤亡责任限额内赔付；</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三）发生人员就医的，被保险人对其从业人员、第三者依法应承担的符合国家工伤保险待遇规定的标准（发生第五条约定的保险事故）或国家基本医疗保险规定的标准（发生第九条约定的保险事故）的下列医疗费用，保险人扣除每次事故每人医疗费用免赔额后在每人医疗费用责任限额内据实赔偿，医疗费用包括： </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1.挂号费、治疗费、手术费、检查费、医药费；</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2.住院期间的床位费、陪护费、伙食费、取暖费、空调费；</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3.就（转）诊交通费、急救车费；</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4.安装假肢、假牙、假眼和残疾用具费用。</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除紧急抢救外，受伤工作人员均应在二级以上（含）医院或保险人认可的医疗机构就诊。</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（五）对于每次事故造成的上述各项损失，保险人在每次事故责任限额内赔偿，其中从业人员与第三者不共用每次事故责任限额。</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第三十六条  </w:t>
      </w:r>
      <w:r>
        <w:rPr>
          <w:rFonts w:hint="eastAsia" w:cs="宋体" w:asciiTheme="minorEastAsia" w:hAnsiTheme="minorEastAsia" w:eastAsiaTheme="minorEastAsia"/>
          <w:color w:val="000000"/>
          <w:kern w:val="0"/>
          <w:szCs w:val="21"/>
        </w:rPr>
        <w:t>发生本保险合同第十二条约定的保险事故时，被保险人支付或承担的救援费用，保险人按照以下方式赔偿：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（一）保险人在扣除每次事故救援费用免赔额后，依照本条第（二）项进行赔偿；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（二）对于每次事故造成的损失，保险人在每次事故救援费用限额内赔偿，对每人救援的费用，保险人在每人救援费用责任限额内赔偿。</w:t>
      </w:r>
    </w:p>
    <w:p>
      <w:pPr>
        <w:widowControl/>
        <w:shd w:val="clear" w:color="auto" w:fill="FFFFFF"/>
        <w:spacing w:line="360" w:lineRule="auto"/>
        <w:ind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第三十七条被保险人因一次保险事故支出的法律费用，保险人在每次事故法律费用责任限额内赔偿。在保险期间内，保险人对多次事故各项损失的累计赔偿金额不超过累计责任限额。</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争议处理和法律适用</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 xml:space="preserve">第三十八条  </w:t>
      </w:r>
      <w:r>
        <w:rPr>
          <w:rFonts w:hint="eastAsia" w:cs="宋体" w:asciiTheme="minorEastAsia" w:hAnsiTheme="minorEastAsia" w:eastAsiaTheme="minorEastAsia"/>
          <w:color w:val="000000"/>
          <w:kern w:val="0"/>
          <w:szCs w:val="21"/>
        </w:rPr>
        <w:t>因履行本保险合同发生的争议，由当事人协商解决。协商不成的，提交保险单载明的仲裁机构仲裁；保险单未载明仲裁机构且争议发生后未达成仲裁协议的，依法向人民法院起诉。</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第三十九条</w:t>
      </w:r>
      <w:r>
        <w:rPr>
          <w:rFonts w:hint="eastAsia" w:cs="宋体" w:asciiTheme="minorEastAsia" w:hAnsiTheme="minorEastAsia" w:eastAsiaTheme="minorEastAsia"/>
          <w:color w:val="000000"/>
          <w:kern w:val="0"/>
          <w:szCs w:val="21"/>
        </w:rPr>
        <w:t xml:space="preserve">  与本保险合同有关的以及履行本保险合同产生的一切争议处理适用中华人民共和国法律（不包括港、澳、台地区法律）。</w:t>
      </w:r>
    </w:p>
    <w:p>
      <w:pPr>
        <w:widowControl/>
        <w:shd w:val="clear" w:color="auto" w:fill="FFFFFF"/>
        <w:spacing w:line="360" w:lineRule="auto"/>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其他事项</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第四十条</w:t>
      </w:r>
      <w:r>
        <w:rPr>
          <w:rFonts w:hint="eastAsia" w:cs="宋体" w:asciiTheme="minorEastAsia" w:hAnsiTheme="minorEastAsia" w:eastAsiaTheme="minorEastAsia"/>
          <w:color w:val="000000"/>
          <w:kern w:val="0"/>
          <w:szCs w:val="21"/>
        </w:rPr>
        <w:t xml:space="preserve">  保险责任开始前，投保人要求解除保险合同的，</w:t>
      </w:r>
      <w:r>
        <w:rPr>
          <w:rFonts w:hint="eastAsia" w:cs="宋体" w:asciiTheme="minorEastAsia" w:hAnsiTheme="minorEastAsia" w:eastAsiaTheme="minorEastAsia"/>
          <w:b/>
          <w:color w:val="000000"/>
          <w:kern w:val="0"/>
          <w:szCs w:val="21"/>
        </w:rPr>
        <w:t>应当向保险人支付相当于保险费5%的退保手续费，保险人应当退还剩余部分保险费</w:t>
      </w:r>
      <w:r>
        <w:rPr>
          <w:rFonts w:hint="eastAsia" w:cs="宋体" w:asciiTheme="minorEastAsia" w:hAnsiTheme="minorEastAsia" w:eastAsiaTheme="minorEastAsia"/>
          <w:color w:val="000000"/>
          <w:kern w:val="0"/>
          <w:szCs w:val="21"/>
        </w:rPr>
        <w:t>。</w:t>
      </w:r>
    </w:p>
    <w:p>
      <w:pPr>
        <w:widowControl/>
        <w:shd w:val="clear" w:color="auto" w:fill="FFFFFF"/>
        <w:spacing w:line="360" w:lineRule="auto"/>
        <w:ind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保险责任开始后，投保人要求解除保险合同的，自通知保险人之日起，保险合同解除，保险人按照保险责任开始之日起至合同解除之日止期间与保险期间的日比例计收保险费，并退还剩余部分保险费。</w:t>
      </w:r>
    </w:p>
    <w:p>
      <w:pPr>
        <w:widowControl/>
        <w:shd w:val="clear" w:color="auto" w:fill="FFFFFF"/>
        <w:spacing w:line="360" w:lineRule="auto"/>
        <w:ind w:firstLine="420" w:firstLineChars="200"/>
        <w:rPr>
          <w:rFonts w:hint="eastAsia" w:ascii="仿宋" w:hAnsi="仿宋" w:eastAsia="仿宋" w:cs="仿宋"/>
          <w:b/>
          <w:color w:val="000000"/>
          <w:sz w:val="28"/>
          <w:szCs w:val="28"/>
        </w:rPr>
      </w:pPr>
      <w:r>
        <w:rPr>
          <w:rFonts w:hint="eastAsia" w:cs="宋体" w:asciiTheme="minorEastAsia" w:hAnsiTheme="minorEastAsia" w:eastAsiaTheme="minorEastAsia"/>
          <w:b/>
          <w:color w:val="000000"/>
          <w:kern w:val="0"/>
          <w:szCs w:val="21"/>
        </w:rPr>
        <w:t xml:space="preserve">第四十一条  </w:t>
      </w:r>
      <w:r>
        <w:rPr>
          <w:rFonts w:hint="eastAsia" w:cs="宋体" w:asciiTheme="minorEastAsia" w:hAnsiTheme="minorEastAsia" w:eastAsiaTheme="minorEastAsia"/>
          <w:color w:val="000000"/>
          <w:kern w:val="0"/>
          <w:szCs w:val="21"/>
        </w:rPr>
        <w:t>本保险合同约定与《中华人民共和国保险法》等法律规定相悖之处，以法律规定为准。本保险合同未尽事宜，以法律规定为准。</w:t>
      </w:r>
    </w:p>
    <w:p>
      <w:pPr>
        <w:pStyle w:val="21"/>
        <w:widowControl/>
        <w:spacing w:before="240" w:beforeAutospacing="0"/>
        <w:ind w:firstLine="643"/>
        <w:jc w:val="center"/>
        <w:rPr>
          <w:rFonts w:ascii="微软雅黑" w:hAnsi="微软雅黑" w:eastAsia="微软雅黑" w:cs="微软雅黑"/>
          <w:color w:val="000000"/>
          <w:sz w:val="28"/>
          <w:szCs w:val="28"/>
        </w:rPr>
      </w:pPr>
      <w:r>
        <w:rPr>
          <w:rFonts w:hint="eastAsia" w:ascii="仿宋" w:hAnsi="仿宋" w:eastAsia="仿宋" w:cs="仿宋"/>
          <w:b/>
          <w:color w:val="000000"/>
          <w:sz w:val="28"/>
          <w:szCs w:val="28"/>
        </w:rPr>
        <w:t>伤残赔偿比例表</w:t>
      </w:r>
    </w:p>
    <w:tbl>
      <w:tblPr>
        <w:tblStyle w:val="23"/>
        <w:tblW w:w="831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1206"/>
        <w:gridCol w:w="3479"/>
        <w:gridCol w:w="362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项 目</w:t>
            </w:r>
          </w:p>
        </w:tc>
        <w:tc>
          <w:tcPr>
            <w:tcW w:w="347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伤残等级</w:t>
            </w:r>
          </w:p>
        </w:tc>
        <w:tc>
          <w:tcPr>
            <w:tcW w:w="36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赔偿比例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死亡</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100％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（二）</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一级伤残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100％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（三）</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二级伤残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80％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（四）</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三级伤残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70％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（五）</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四级伤残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60％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（六）</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五级伤残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40％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（七）</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六级伤残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（八）</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七级伤残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（九）</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八级伤残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15％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（十）</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九级伤残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12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（十一）</w:t>
            </w:r>
          </w:p>
        </w:tc>
        <w:tc>
          <w:tcPr>
            <w:tcW w:w="34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十级伤残</w:t>
            </w:r>
          </w:p>
        </w:tc>
        <w:tc>
          <w:tcPr>
            <w:tcW w:w="3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1"/>
              <w:widowControl/>
              <w:jc w:val="center"/>
              <w:rPr>
                <w:sz w:val="28"/>
                <w:szCs w:val="28"/>
              </w:rPr>
            </w:pPr>
            <w:r>
              <w:rPr>
                <w:rFonts w:hint="eastAsia" w:ascii="仿宋" w:hAnsi="仿宋" w:eastAsia="仿宋" w:cs="仿宋"/>
                <w:color w:val="000000"/>
                <w:sz w:val="28"/>
                <w:szCs w:val="28"/>
              </w:rPr>
              <w:t>5％</w:t>
            </w:r>
          </w:p>
        </w:tc>
      </w:tr>
    </w:tbl>
    <w:p>
      <w:pPr>
        <w:pStyle w:val="21"/>
        <w:widowControl/>
        <w:ind w:firstLine="640"/>
        <w:jc w:val="both"/>
        <w:rPr>
          <w:rFonts w:ascii="微软雅黑" w:hAnsi="微软雅黑" w:eastAsia="微软雅黑" w:cs="微软雅黑"/>
          <w:color w:val="000000"/>
          <w:sz w:val="28"/>
          <w:szCs w:val="28"/>
        </w:rPr>
      </w:pPr>
      <w:r>
        <w:rPr>
          <w:rFonts w:hint="eastAsia" w:ascii="仿宋" w:hAnsi="仿宋" w:eastAsia="仿宋" w:cs="仿宋"/>
          <w:color w:val="000000"/>
          <w:sz w:val="28"/>
          <w:szCs w:val="28"/>
        </w:rPr>
        <w:t>本表所列伤残级别与国家标准《劳动能力鉴定 职工工伤与职业病致残等级》（GB/T 16180-2014）中所列标准一致。</w:t>
      </w:r>
    </w:p>
    <w:p>
      <w:pPr>
        <w:widowControl/>
        <w:shd w:val="clear" w:color="auto" w:fill="FFFFFF"/>
        <w:spacing w:line="360" w:lineRule="auto"/>
        <w:jc w:val="center"/>
        <w:rPr>
          <w:rFonts w:cs="宋体" w:asciiTheme="minorEastAsia" w:hAnsiTheme="minorEastAsia" w:eastAsiaTheme="minorEastAsia"/>
          <w:b/>
          <w:bCs/>
          <w:color w:val="000000"/>
          <w:kern w:val="0"/>
          <w:szCs w:val="21"/>
        </w:rPr>
      </w:pPr>
    </w:p>
    <w:p>
      <w:pPr>
        <w:pStyle w:val="5"/>
        <w:spacing w:before="156" w:after="156"/>
        <w:ind w:firstLine="0" w:firstLineChars="0"/>
        <w:rPr>
          <w:lang w:val="en-US"/>
        </w:rPr>
      </w:pPr>
    </w:p>
    <w:bookmarkEnd w:id="51"/>
    <w:bookmarkEnd w:id="52"/>
    <w:bookmarkEnd w:id="53"/>
    <w:bookmarkEnd w:id="54"/>
    <w:bookmarkEnd w:id="55"/>
    <w:p>
      <w:pPr>
        <w:rPr>
          <w:rFonts w:hint="eastAsia"/>
          <w:b/>
          <w:sz w:val="36"/>
          <w:szCs w:val="36"/>
        </w:rPr>
      </w:pPr>
      <w:bookmarkStart w:id="64" w:name="_Toc29510"/>
      <w:bookmarkStart w:id="65" w:name="_Toc13740"/>
      <w:bookmarkStart w:id="66" w:name="_Toc6506"/>
      <w:r>
        <w:rPr>
          <w:rFonts w:hint="eastAsia"/>
          <w:b/>
          <w:sz w:val="36"/>
          <w:szCs w:val="36"/>
        </w:rPr>
        <w:br w:type="page"/>
      </w:r>
    </w:p>
    <w:p>
      <w:pPr>
        <w:spacing w:line="420" w:lineRule="exact"/>
        <w:jc w:val="center"/>
        <w:outlineLvl w:val="0"/>
        <w:rPr>
          <w:rFonts w:eastAsia="黑体"/>
          <w:sz w:val="30"/>
          <w:szCs w:val="30"/>
        </w:rPr>
      </w:pPr>
      <w:r>
        <w:rPr>
          <w:rFonts w:hint="eastAsia"/>
          <w:b/>
          <w:sz w:val="36"/>
          <w:szCs w:val="36"/>
        </w:rPr>
        <w:t>第</w:t>
      </w:r>
      <w:r>
        <w:rPr>
          <w:rFonts w:hint="eastAsia"/>
          <w:b/>
          <w:sz w:val="36"/>
          <w:szCs w:val="36"/>
          <w:lang w:val="en-US" w:eastAsia="zh-CN"/>
        </w:rPr>
        <w:t>四</w:t>
      </w:r>
      <w:r>
        <w:rPr>
          <w:rFonts w:hint="eastAsia"/>
          <w:b/>
          <w:sz w:val="36"/>
          <w:szCs w:val="36"/>
        </w:rPr>
        <w:t>章 响应文件格式</w:t>
      </w:r>
      <w:bookmarkEnd w:id="64"/>
      <w:bookmarkEnd w:id="65"/>
      <w:bookmarkEnd w:id="66"/>
    </w:p>
    <w:p>
      <w:pPr>
        <w:jc w:val="center"/>
        <w:rPr>
          <w:rFonts w:eastAsia="黑体"/>
          <w:sz w:val="30"/>
          <w:szCs w:val="30"/>
        </w:rPr>
      </w:pPr>
    </w:p>
    <w:p>
      <w:pPr>
        <w:jc w:val="center"/>
        <w:outlineLvl w:val="1"/>
        <w:rPr>
          <w:rFonts w:eastAsia="黑体"/>
          <w:sz w:val="30"/>
          <w:szCs w:val="30"/>
        </w:rPr>
      </w:pPr>
      <w:bookmarkStart w:id="67" w:name="_Toc24167"/>
      <w:bookmarkStart w:id="68" w:name="_Toc29517"/>
      <w:bookmarkStart w:id="69" w:name="_Toc19368"/>
      <w:bookmarkStart w:id="70" w:name="_Toc16453"/>
      <w:r>
        <w:rPr>
          <w:rFonts w:hint="eastAsia" w:eastAsia="黑体"/>
          <w:sz w:val="30"/>
          <w:szCs w:val="30"/>
        </w:rPr>
        <w:t>授权委托书</w:t>
      </w:r>
      <w:bookmarkEnd w:id="67"/>
      <w:bookmarkEnd w:id="68"/>
      <w:bookmarkEnd w:id="69"/>
      <w:bookmarkEnd w:id="70"/>
    </w:p>
    <w:p>
      <w:pPr>
        <w:pStyle w:val="9"/>
        <w:ind w:firstLine="0" w:firstLineChars="0"/>
        <w:rPr>
          <w:rFonts w:ascii="宋体" w:hAnsi="宋体"/>
          <w:szCs w:val="24"/>
        </w:rPr>
      </w:pPr>
    </w:p>
    <w:p>
      <w:pPr>
        <w:spacing w:line="360" w:lineRule="auto"/>
        <w:ind w:firstLine="48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华文楷体"/>
          <w:sz w:val="24"/>
          <w:u w:val="single"/>
        </w:rPr>
        <w:t>（</w:t>
      </w:r>
      <w:r>
        <w:rPr>
          <w:rFonts w:hint="eastAsia" w:ascii="宋体" w:hAnsi="宋体"/>
          <w:sz w:val="24"/>
          <w:u w:val="single"/>
        </w:rPr>
        <w:t>报价方</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pPr>
        <w:spacing w:line="360" w:lineRule="auto"/>
        <w:ind w:firstLine="480"/>
        <w:rPr>
          <w:rFonts w:ascii="宋体" w:hAnsi="宋体"/>
          <w:sz w:val="24"/>
        </w:rPr>
      </w:pPr>
      <w:r>
        <w:rPr>
          <w:rFonts w:ascii="宋体" w:hAnsi="宋体"/>
          <w:sz w:val="24"/>
        </w:rPr>
        <w:t>委托期限：</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rPr>
          <w:rFonts w:ascii="宋体" w:hAnsi="宋体"/>
          <w:sz w:val="24"/>
        </w:rPr>
      </w:pPr>
      <w:r>
        <w:rPr>
          <w:rFonts w:ascii="宋体" w:hAnsi="宋体"/>
          <w:sz w:val="24"/>
        </w:rPr>
        <w:t>代理人无转委托权。</w:t>
      </w:r>
    </w:p>
    <w:p>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注：本授权委托书需由报价方加盖单位公章并由其法定代表人/单位负责人签字。</w:t>
      </w:r>
    </w:p>
    <w:p>
      <w:pPr>
        <w:spacing w:line="360" w:lineRule="auto"/>
        <w:ind w:firstLine="480"/>
        <w:rPr>
          <w:rFonts w:ascii="宋体" w:hAnsi="宋体"/>
          <w:sz w:val="24"/>
        </w:rPr>
      </w:pPr>
    </w:p>
    <w:p>
      <w:pPr>
        <w:spacing w:line="480" w:lineRule="auto"/>
        <w:ind w:firstLine="3076" w:firstLineChars="1282"/>
        <w:rPr>
          <w:rFonts w:ascii="宋体" w:hAnsi="宋体"/>
          <w:sz w:val="24"/>
          <w:u w:val="single"/>
        </w:rPr>
      </w:pPr>
      <w:r>
        <w:rPr>
          <w:rFonts w:hint="eastAsia" w:ascii="宋体" w:hAnsi="宋体"/>
          <w:sz w:val="24"/>
        </w:rPr>
        <w:t>报价方（单位公章）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ind w:firstLine="3076" w:firstLineChars="1282"/>
        <w:rPr>
          <w:rFonts w:ascii="宋体" w:hAnsi="宋体"/>
          <w:sz w:val="24"/>
          <w:u w:val="single"/>
        </w:rPr>
      </w:pPr>
      <w:r>
        <w:rPr>
          <w:rFonts w:hint="eastAsia" w:ascii="宋体" w:hAnsi="宋体"/>
          <w:sz w:val="24"/>
        </w:rPr>
        <w:t>委托</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80" w:lineRule="auto"/>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rPr>
          <w:rFonts w:ascii="宋体" w:hAnsi="宋体"/>
          <w:sz w:val="24"/>
        </w:rPr>
      </w:pPr>
    </w:p>
    <w:p>
      <w:pPr>
        <w:spacing w:line="360" w:lineRule="auto"/>
        <w:ind w:firstLine="480"/>
        <w:rPr>
          <w:rFonts w:ascii="宋体" w:hAnsi="宋体"/>
          <w:szCs w:val="21"/>
        </w:rPr>
      </w:pPr>
      <w:r>
        <w:rPr>
          <w:rFonts w:hint="eastAsia" w:ascii="宋体" w:hAnsi="宋体"/>
          <w:szCs w:val="21"/>
        </w:rPr>
        <w:t>注：如报价方法定代表人/单位负责人参加</w:t>
      </w:r>
      <w:r>
        <w:rPr>
          <w:rFonts w:hint="eastAsia" w:ascii="宋体" w:hAnsi="宋体"/>
          <w:szCs w:val="21"/>
          <w:lang w:val="en-US" w:eastAsia="zh-CN"/>
        </w:rPr>
        <w:t>报价</w:t>
      </w:r>
      <w:r>
        <w:rPr>
          <w:rFonts w:hint="eastAsia" w:ascii="宋体" w:hAnsi="宋体"/>
          <w:szCs w:val="21"/>
        </w:rPr>
        <w:t>行为，只需附其身份证复印件、法人代表证书等复印件。</w:t>
      </w:r>
    </w:p>
    <w:p>
      <w:pPr>
        <w:autoSpaceDE w:val="0"/>
        <w:autoSpaceDN w:val="0"/>
        <w:adjustRightInd w:val="0"/>
        <w:spacing w:line="360" w:lineRule="auto"/>
        <w:jc w:val="center"/>
        <w:rPr>
          <w:rFonts w:ascii="宋体" w:hAnsi="宋体"/>
          <w:bCs/>
          <w:sz w:val="24"/>
        </w:rPr>
      </w:pPr>
    </w:p>
    <w:p>
      <w:pPr>
        <w:jc w:val="center"/>
        <w:outlineLvl w:val="1"/>
        <w:rPr>
          <w:b/>
          <w:sz w:val="36"/>
          <w:szCs w:val="36"/>
        </w:rPr>
      </w:pPr>
      <w:bookmarkStart w:id="71" w:name="_Toc7050"/>
    </w:p>
    <w:p>
      <w:pPr>
        <w:jc w:val="center"/>
        <w:outlineLvl w:val="1"/>
        <w:rPr>
          <w:b/>
          <w:sz w:val="36"/>
          <w:szCs w:val="36"/>
        </w:rPr>
      </w:pPr>
    </w:p>
    <w:p>
      <w:pPr>
        <w:jc w:val="center"/>
        <w:outlineLvl w:val="1"/>
        <w:rPr>
          <w:b/>
          <w:sz w:val="36"/>
          <w:szCs w:val="36"/>
        </w:rPr>
      </w:pPr>
    </w:p>
    <w:p>
      <w:pPr>
        <w:jc w:val="center"/>
        <w:outlineLvl w:val="1"/>
        <w:rPr>
          <w:b/>
          <w:sz w:val="36"/>
          <w:szCs w:val="36"/>
        </w:rPr>
      </w:pPr>
    </w:p>
    <w:p>
      <w:pPr>
        <w:jc w:val="both"/>
        <w:outlineLvl w:val="1"/>
        <w:rPr>
          <w:b/>
          <w:sz w:val="36"/>
          <w:szCs w:val="36"/>
        </w:rPr>
      </w:pPr>
    </w:p>
    <w:p>
      <w:pPr>
        <w:rPr>
          <w:rFonts w:hint="eastAsia"/>
          <w:b/>
          <w:sz w:val="36"/>
          <w:szCs w:val="36"/>
        </w:rPr>
      </w:pPr>
      <w:bookmarkStart w:id="72" w:name="_Toc7775"/>
      <w:r>
        <w:rPr>
          <w:rFonts w:hint="eastAsia"/>
          <w:b/>
          <w:sz w:val="36"/>
          <w:szCs w:val="36"/>
        </w:rPr>
        <w:br w:type="page"/>
      </w:r>
    </w:p>
    <w:p>
      <w:pPr>
        <w:jc w:val="center"/>
        <w:outlineLvl w:val="1"/>
        <w:rPr>
          <w:b/>
          <w:position w:val="-4"/>
          <w:sz w:val="28"/>
          <w:szCs w:val="28"/>
        </w:rPr>
      </w:pPr>
      <w:r>
        <w:rPr>
          <w:rFonts w:hint="eastAsia"/>
          <w:b/>
          <w:sz w:val="36"/>
          <w:szCs w:val="36"/>
        </w:rPr>
        <w:t>报  价  函</w:t>
      </w:r>
      <w:bookmarkEnd w:id="71"/>
      <w:bookmarkEnd w:id="72"/>
    </w:p>
    <w:p>
      <w:pPr>
        <w:tabs>
          <w:tab w:val="left" w:pos="2500"/>
        </w:tabs>
        <w:autoSpaceDE w:val="0"/>
        <w:autoSpaceDN w:val="0"/>
        <w:adjustRightInd w:val="0"/>
        <w:rPr>
          <w:sz w:val="24"/>
        </w:rPr>
      </w:pPr>
      <w:r>
        <w:rPr>
          <w:b/>
          <w:position w:val="-4"/>
          <w:sz w:val="24"/>
        </w:rPr>
        <w:t>致：</w:t>
      </w:r>
      <w:r>
        <w:rPr>
          <w:rFonts w:hint="eastAsia"/>
          <w:b/>
          <w:position w:val="-4"/>
          <w:sz w:val="24"/>
        </w:rPr>
        <w:t>江西联兴公路工程有限公司</w:t>
      </w:r>
      <w:r>
        <w:rPr>
          <w:b/>
          <w:position w:val="-4"/>
          <w:sz w:val="24"/>
        </w:rPr>
        <w:t xml:space="preserve"> </w:t>
      </w:r>
    </w:p>
    <w:p>
      <w:pPr>
        <w:spacing w:line="420" w:lineRule="exact"/>
        <w:jc w:val="left"/>
        <w:rPr>
          <w:sz w:val="24"/>
        </w:rPr>
      </w:pPr>
      <w:r>
        <w:rPr>
          <w:rFonts w:hint="eastAsia"/>
          <w:sz w:val="24"/>
        </w:rPr>
        <w:t xml:space="preserve">    </w:t>
      </w:r>
      <w:r>
        <w:rPr>
          <w:sz w:val="24"/>
        </w:rPr>
        <w:t>经研究，我方</w:t>
      </w:r>
      <w:r>
        <w:rPr>
          <w:rFonts w:hint="eastAsia"/>
          <w:sz w:val="24"/>
        </w:rPr>
        <w:t>同意《龙杨高速省界收费站改建停车区项目土建工程一切险</w:t>
      </w:r>
      <w:r>
        <w:rPr>
          <w:rFonts w:hint="eastAsia"/>
          <w:sz w:val="24"/>
          <w:lang w:eastAsia="zh-CN"/>
        </w:rPr>
        <w:t>、</w:t>
      </w:r>
      <w:r>
        <w:rPr>
          <w:rFonts w:hint="eastAsia"/>
          <w:sz w:val="24"/>
          <w:lang w:val="en-US" w:eastAsia="zh-CN"/>
        </w:rPr>
        <w:t>第三者责任险</w:t>
      </w:r>
      <w:r>
        <w:rPr>
          <w:rFonts w:hint="eastAsia"/>
          <w:sz w:val="24"/>
        </w:rPr>
        <w:t>等相关保险》</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sz w:val="24"/>
        </w:rPr>
        <w:t>。</w:t>
      </w:r>
    </w:p>
    <w:p>
      <w:pPr>
        <w:autoSpaceDE w:val="0"/>
        <w:autoSpaceDN w:val="0"/>
        <w:adjustRightInd w:val="0"/>
        <w:spacing w:line="360" w:lineRule="auto"/>
        <w:ind w:firstLine="480" w:firstLineChars="200"/>
        <w:rPr>
          <w:sz w:val="24"/>
          <w:u w:val="single"/>
        </w:rPr>
      </w:pPr>
      <w:r>
        <w:rPr>
          <w:rFonts w:hint="eastAsia"/>
          <w:sz w:val="24"/>
        </w:rPr>
        <w:t>根据分析计算，我方愿以总价人民币（大写）</w:t>
      </w:r>
      <w:r>
        <w:rPr>
          <w:rFonts w:hint="eastAsia"/>
          <w:sz w:val="24"/>
          <w:u w:val="single"/>
        </w:rPr>
        <w:t xml:space="preserve">                                 </w:t>
      </w:r>
    </w:p>
    <w:p>
      <w:pPr>
        <w:autoSpaceDE w:val="0"/>
        <w:autoSpaceDN w:val="0"/>
        <w:adjustRightInd w:val="0"/>
        <w:spacing w:line="360" w:lineRule="auto"/>
        <w:rPr>
          <w:rFonts w:hint="eastAsia"/>
          <w:sz w:val="24"/>
        </w:rPr>
      </w:pPr>
      <w:r>
        <w:rPr>
          <w:rFonts w:hint="eastAsia"/>
          <w:sz w:val="24"/>
        </w:rPr>
        <w:t>（¥</w:t>
      </w:r>
      <w:r>
        <w:rPr>
          <w:rFonts w:hint="eastAsia"/>
          <w:sz w:val="24"/>
          <w:u w:val="single"/>
        </w:rPr>
        <w:t xml:space="preserve">             </w:t>
      </w:r>
      <w:r>
        <w:rPr>
          <w:rFonts w:hint="eastAsia"/>
          <w:sz w:val="24"/>
        </w:rPr>
        <w:t>元），完成贵公司规定的所有工作内容。</w:t>
      </w:r>
    </w:p>
    <w:p>
      <w:pPr>
        <w:autoSpaceDE w:val="0"/>
        <w:autoSpaceDN w:val="0"/>
        <w:adjustRightInd w:val="0"/>
        <w:spacing w:line="360" w:lineRule="auto"/>
        <w:rPr>
          <w:rFonts w:hint="eastAsia" w:ascii="宋体" w:hAnsi="宋体" w:cs="宋体"/>
          <w:b/>
          <w:bCs/>
          <w:sz w:val="24"/>
        </w:rPr>
      </w:pPr>
      <w:r>
        <w:rPr>
          <w:rFonts w:hint="eastAsia" w:ascii="宋体" w:hAnsi="宋体" w:cs="宋体"/>
          <w:b/>
          <w:bCs/>
          <w:sz w:val="24"/>
          <w:lang w:val="en-US" w:eastAsia="zh-CN"/>
        </w:rPr>
        <w:t>工程量</w:t>
      </w:r>
      <w:r>
        <w:rPr>
          <w:rFonts w:hint="eastAsia" w:ascii="宋体" w:hAnsi="宋体" w:cs="宋体"/>
          <w:b/>
          <w:bCs/>
          <w:sz w:val="24"/>
        </w:rPr>
        <w:t>清单：</w:t>
      </w:r>
    </w:p>
    <w:tbl>
      <w:tblPr>
        <w:tblStyle w:val="24"/>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690"/>
        <w:gridCol w:w="750"/>
        <w:gridCol w:w="779"/>
        <w:gridCol w:w="211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1690"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b/>
                <w:bCs/>
                <w:i w:val="0"/>
                <w:iCs w:val="0"/>
                <w:color w:val="000000"/>
                <w:kern w:val="0"/>
                <w:sz w:val="22"/>
                <w:szCs w:val="22"/>
                <w:u w:val="none"/>
                <w:lang w:val="en-US" w:eastAsia="zh-CN" w:bidi="ar"/>
              </w:rPr>
              <w:t>子目名称</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单位</w:t>
            </w:r>
          </w:p>
        </w:tc>
        <w:tc>
          <w:tcPr>
            <w:tcW w:w="779"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数量</w:t>
            </w:r>
          </w:p>
        </w:tc>
        <w:tc>
          <w:tcPr>
            <w:tcW w:w="2112" w:type="dxa"/>
            <w:vAlign w:val="center"/>
          </w:tcPr>
          <w:p>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含税单价（元）</w:t>
            </w:r>
          </w:p>
        </w:tc>
        <w:tc>
          <w:tcPr>
            <w:tcW w:w="3246"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90"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建筑工程一切险</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79"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1</w:t>
            </w:r>
          </w:p>
        </w:tc>
        <w:tc>
          <w:tcPr>
            <w:tcW w:w="2112"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c>
          <w:tcPr>
            <w:tcW w:w="3246"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690"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w:t>
            </w:r>
          </w:p>
        </w:tc>
        <w:tc>
          <w:tcPr>
            <w:tcW w:w="750"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79"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2112"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324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第三者责任险的最低投保金额： 100 万元人民币，事故次数不限（不计免赔额）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05"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690"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安全生产责任险</w:t>
            </w:r>
          </w:p>
        </w:tc>
        <w:tc>
          <w:tcPr>
            <w:tcW w:w="750"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i w:val="0"/>
                <w:iCs w:val="0"/>
                <w:color w:val="000000"/>
                <w:kern w:val="0"/>
                <w:sz w:val="22"/>
                <w:szCs w:val="22"/>
                <w:u w:val="none"/>
                <w:lang w:val="en-US" w:eastAsia="zh-CN" w:bidi="ar"/>
              </w:rPr>
              <w:t>总额</w:t>
            </w:r>
          </w:p>
        </w:tc>
        <w:tc>
          <w:tcPr>
            <w:tcW w:w="779"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rPr>
            </w:pPr>
            <w:r>
              <w:rPr>
                <w:rFonts w:hint="eastAsia" w:ascii="宋体" w:hAnsi="宋体" w:cs="宋体"/>
                <w:i w:val="0"/>
                <w:iCs w:val="0"/>
                <w:color w:val="000000"/>
                <w:kern w:val="0"/>
                <w:sz w:val="22"/>
                <w:szCs w:val="22"/>
                <w:u w:val="none"/>
                <w:lang w:val="en-US" w:eastAsia="zh-CN" w:bidi="ar"/>
              </w:rPr>
              <w:t>1</w:t>
            </w:r>
          </w:p>
        </w:tc>
        <w:tc>
          <w:tcPr>
            <w:tcW w:w="2112"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3246"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bookmarkStart w:id="77" w:name="_GoBack"/>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0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3219" w:type="dxa"/>
            <w:gridSpan w:val="3"/>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2112" w:type="dxa"/>
            <w:vAlign w:val="center"/>
          </w:tcPr>
          <w:p>
            <w:pPr>
              <w:keepNext w:val="0"/>
              <w:keepLines w:val="0"/>
              <w:widowControl/>
              <w:suppressLineNumbers w:val="0"/>
              <w:jc w:val="center"/>
              <w:textAlignment w:val="center"/>
              <w:rPr>
                <w:rFonts w:hint="eastAsia" w:ascii="宋体" w:hAnsi="宋体" w:eastAsia="宋体" w:cs="宋体"/>
                <w:b w:val="0"/>
                <w:bCs/>
                <w:sz w:val="24"/>
                <w:szCs w:val="24"/>
                <w:vertAlign w:val="baseline"/>
                <w:lang w:val="en-US" w:eastAsia="zh-CN"/>
              </w:rPr>
            </w:pPr>
          </w:p>
        </w:tc>
        <w:tc>
          <w:tcPr>
            <w:tcW w:w="3246" w:type="dxa"/>
            <w:vAlign w:val="center"/>
          </w:tcPr>
          <w:p>
            <w:pPr>
              <w:keepNext w:val="0"/>
              <w:keepLines w:val="0"/>
              <w:widowControl/>
              <w:suppressLineNumbers w:val="0"/>
              <w:jc w:val="center"/>
              <w:textAlignment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税率：</w:t>
            </w:r>
            <w:r>
              <w:rPr>
                <w:rFonts w:hint="eastAsia" w:ascii="宋体" w:hAnsi="宋体" w:cs="宋体"/>
                <w:b w:val="0"/>
                <w:bCs/>
                <w:sz w:val="24"/>
                <w:szCs w:val="24"/>
                <w:u w:val="single"/>
                <w:vertAlign w:val="baseline"/>
                <w:lang w:val="en-US" w:eastAsia="zh-CN"/>
              </w:rPr>
              <w:t xml:space="preserve">    % </w:t>
            </w:r>
          </w:p>
        </w:tc>
      </w:tr>
    </w:tbl>
    <w:p>
      <w:pPr>
        <w:tabs>
          <w:tab w:val="left" w:pos="7460"/>
          <w:tab w:val="left" w:pos="8080"/>
          <w:tab w:val="left" w:pos="8800"/>
        </w:tabs>
        <w:autoSpaceDE w:val="0"/>
        <w:autoSpaceDN w:val="0"/>
        <w:adjustRightInd w:val="0"/>
        <w:spacing w:line="480" w:lineRule="auto"/>
        <w:ind w:right="61"/>
        <w:jc w:val="both"/>
        <w:rPr>
          <w:rFonts w:hint="eastAsia" w:ascii="宋体" w:hAnsi="宋体"/>
          <w:sz w:val="24"/>
        </w:rPr>
      </w:pPr>
    </w:p>
    <w:p>
      <w:pPr>
        <w:tabs>
          <w:tab w:val="left" w:pos="7460"/>
          <w:tab w:val="left" w:pos="8080"/>
          <w:tab w:val="left" w:pos="8800"/>
        </w:tabs>
        <w:autoSpaceDE w:val="0"/>
        <w:autoSpaceDN w:val="0"/>
        <w:adjustRightInd w:val="0"/>
        <w:spacing w:line="480" w:lineRule="auto"/>
        <w:ind w:right="61" w:firstLine="3600" w:firstLineChars="1500"/>
        <w:jc w:val="both"/>
        <w:rPr>
          <w:rFonts w:ascii="宋体" w:hAnsi="宋体"/>
          <w:sz w:val="24"/>
        </w:rPr>
      </w:pPr>
      <w:r>
        <w:rPr>
          <w:rFonts w:hint="eastAsia" w:ascii="宋体" w:hAnsi="宋体"/>
          <w:sz w:val="24"/>
        </w:rPr>
        <w:t>报价方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pPr>
        <w:tabs>
          <w:tab w:val="left" w:pos="7460"/>
          <w:tab w:val="left" w:pos="8080"/>
          <w:tab w:val="left" w:pos="8800"/>
        </w:tabs>
        <w:autoSpaceDE w:val="0"/>
        <w:autoSpaceDN w:val="0"/>
        <w:adjustRightInd w:val="0"/>
        <w:spacing w:line="480" w:lineRule="auto"/>
        <w:ind w:right="61" w:firstLine="3600" w:firstLineChars="1500"/>
        <w:jc w:val="both"/>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pPr>
        <w:spacing w:line="480" w:lineRule="auto"/>
        <w:ind w:firstLine="3600" w:firstLineChars="1500"/>
        <w:jc w:val="both"/>
        <w:rPr>
          <w:rFonts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ascii="仿宋" w:hAnsi="仿宋" w:eastAsia="仿宋" w:cs="仿宋"/>
          <w:sz w:val="24"/>
          <w:szCs w:val="24"/>
        </w:rPr>
      </w:pPr>
      <w:r>
        <w:rPr>
          <w:rFonts w:hint="eastAsia" w:ascii="仿宋" w:hAnsi="仿宋" w:eastAsia="仿宋" w:cs="仿宋"/>
          <w:sz w:val="24"/>
          <w:szCs w:val="24"/>
        </w:rPr>
        <w:t>注：1</w:t>
      </w:r>
      <w:r>
        <w:rPr>
          <w:rFonts w:hint="eastAsia" w:ascii="仿宋" w:hAnsi="仿宋" w:eastAsia="仿宋" w:cs="仿宋"/>
          <w:color w:val="000000"/>
          <w:kern w:val="0"/>
          <w:sz w:val="24"/>
          <w:szCs w:val="24"/>
        </w:rPr>
        <w:t>、报价包含实施和完成项目所需的人工管理、保险、税费、利润等一切费用，询价方不再另行支付其他费用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提供增值税专用发票。内容需填写完整，否则视为不响应询价文件，而被询价方否决。</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2、总价人民币大写金额与小写金额应当一致，不一致时以大写金额为准；总价应与清单中的合计金额一致，不一致时询价方有权否决报价方的报价文件。</w:t>
      </w:r>
    </w:p>
    <w:p>
      <w:pPr>
        <w:ind w:firstLine="480" w:firstLineChars="200"/>
        <w:rPr>
          <w:rFonts w:hint="eastAsia" w:ascii="仿宋" w:hAnsi="仿宋" w:eastAsia="仿宋" w:cs="仿宋"/>
          <w:b/>
          <w:bCs/>
          <w:spacing w:val="-1"/>
          <w:sz w:val="28"/>
          <w:szCs w:val="28"/>
        </w:rPr>
      </w:pPr>
      <w:r>
        <w:rPr>
          <w:rFonts w:hint="eastAsia" w:ascii="仿宋" w:hAnsi="仿宋" w:eastAsia="仿宋" w:cs="仿宋"/>
          <w:sz w:val="24"/>
          <w:szCs w:val="24"/>
        </w:rPr>
        <w:t>3、</w:t>
      </w:r>
      <w:r>
        <w:rPr>
          <w:rFonts w:hint="eastAsia" w:ascii="仿宋" w:hAnsi="仿宋" w:eastAsia="仿宋" w:cs="仿宋"/>
          <w:bCs/>
          <w:sz w:val="24"/>
          <w:szCs w:val="24"/>
        </w:rPr>
        <w:t>控制价上限总</w:t>
      </w:r>
      <w:r>
        <w:rPr>
          <w:rFonts w:hint="eastAsia" w:ascii="仿宋" w:hAnsi="仿宋" w:eastAsia="仿宋" w:cs="仿宋"/>
          <w:bCs/>
          <w:sz w:val="24"/>
          <w:szCs w:val="24"/>
          <w:highlight w:val="none"/>
        </w:rPr>
        <w:t>价:</w:t>
      </w:r>
      <w:r>
        <w:rPr>
          <w:rFonts w:hint="eastAsia" w:ascii="仿宋" w:hAnsi="仿宋" w:eastAsia="仿宋" w:cs="仿宋"/>
          <w:bCs/>
          <w:sz w:val="24"/>
          <w:szCs w:val="24"/>
          <w:highlight w:val="none"/>
          <w:lang w:val="en-US" w:eastAsia="zh-CN"/>
        </w:rPr>
        <w:t>20.38万</w:t>
      </w:r>
      <w:r>
        <w:rPr>
          <w:rFonts w:hint="eastAsia" w:ascii="仿宋" w:hAnsi="仿宋" w:eastAsia="仿宋" w:cs="仿宋"/>
          <w:bCs/>
          <w:sz w:val="24"/>
          <w:szCs w:val="24"/>
          <w:highlight w:val="none"/>
        </w:rPr>
        <w:t>元</w:t>
      </w:r>
      <w:r>
        <w:rPr>
          <w:rFonts w:hint="eastAsia" w:ascii="仿宋" w:hAnsi="仿宋" w:eastAsia="仿宋" w:cs="仿宋"/>
          <w:bCs/>
          <w:sz w:val="24"/>
          <w:szCs w:val="24"/>
        </w:rPr>
        <w:t>。报价方的报价不得高于本限价，否则视为不响应询价文件，而被询价方拒绝</w:t>
      </w:r>
      <w:r>
        <w:rPr>
          <w:rFonts w:hint="eastAsia" w:ascii="仿宋" w:hAnsi="仿宋" w:eastAsia="仿宋" w:cs="仿宋"/>
          <w:bCs/>
          <w:sz w:val="24"/>
          <w:szCs w:val="24"/>
          <w:lang w:eastAsia="zh-CN"/>
        </w:rPr>
        <w:t>，当报价人税率不一致时，按除税价进行计算。</w:t>
      </w:r>
      <w:r>
        <w:rPr>
          <w:rFonts w:hint="eastAsia" w:ascii="仿宋" w:hAnsi="仿宋" w:eastAsia="仿宋" w:cs="仿宋"/>
          <w:sz w:val="24"/>
          <w:szCs w:val="24"/>
        </w:rPr>
        <w:br w:type="page"/>
      </w:r>
      <w:bookmarkStart w:id="73" w:name="_Toc11293"/>
    </w:p>
    <w:p>
      <w:pPr>
        <w:spacing w:before="91" w:line="222" w:lineRule="auto"/>
        <w:ind w:left="3467"/>
        <w:rPr>
          <w:rFonts w:hint="eastAsia" w:ascii="仿宋" w:hAnsi="仿宋" w:eastAsia="仿宋" w:cs="仿宋"/>
          <w:b/>
          <w:bCs/>
          <w:spacing w:val="-1"/>
          <w:sz w:val="28"/>
          <w:szCs w:val="28"/>
        </w:rPr>
      </w:pPr>
    </w:p>
    <w:p>
      <w:pPr>
        <w:spacing w:before="312" w:beforeLines="100" w:after="312" w:afterLines="100" w:line="360" w:lineRule="auto"/>
        <w:jc w:val="center"/>
        <w:outlineLvl w:val="1"/>
        <w:rPr>
          <w:rFonts w:hint="eastAsia" w:eastAsia="黑体"/>
          <w:bCs/>
          <w:sz w:val="30"/>
          <w:szCs w:val="30"/>
        </w:rPr>
      </w:pPr>
      <w:r>
        <w:rPr>
          <w:rFonts w:hint="eastAsia" w:eastAsia="黑体"/>
          <w:bCs/>
          <w:sz w:val="30"/>
          <w:szCs w:val="30"/>
          <w:lang w:eastAsia="zh-CN"/>
        </w:rPr>
        <w:t>报价</w:t>
      </w:r>
      <w:r>
        <w:rPr>
          <w:rFonts w:hint="eastAsia" w:eastAsia="黑体"/>
          <w:bCs/>
          <w:sz w:val="30"/>
          <w:szCs w:val="30"/>
        </w:rPr>
        <w:t>单位基本情况表</w:t>
      </w:r>
    </w:p>
    <w:p>
      <w:pPr>
        <w:spacing w:line="168" w:lineRule="exact"/>
        <w:rPr>
          <w:rFonts w:hint="eastAsia" w:ascii="仿宋" w:hAnsi="仿宋" w:eastAsia="仿宋" w:cs="仿宋"/>
          <w:sz w:val="28"/>
          <w:szCs w:val="28"/>
        </w:rPr>
      </w:pPr>
    </w:p>
    <w:tbl>
      <w:tblPr>
        <w:tblStyle w:val="44"/>
        <w:tblW w:w="89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700"/>
        <w:gridCol w:w="1433"/>
        <w:gridCol w:w="1280"/>
        <w:gridCol w:w="1280"/>
        <w:gridCol w:w="1280"/>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1709" w:type="dxa"/>
            <w:noWrap w:val="0"/>
            <w:vAlign w:val="top"/>
          </w:tcPr>
          <w:p>
            <w:pPr>
              <w:spacing w:line="360" w:lineRule="auto"/>
              <w:rPr>
                <w:rFonts w:hint="eastAsia" w:ascii="仿宋" w:hAnsi="仿宋" w:eastAsia="仿宋" w:cs="仿宋"/>
                <w:sz w:val="24"/>
                <w:szCs w:val="24"/>
                <w:lang w:eastAsia="zh-CN"/>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投标人单位名称</w:t>
            </w:r>
          </w:p>
        </w:tc>
        <w:tc>
          <w:tcPr>
            <w:tcW w:w="7258" w:type="dxa"/>
            <w:gridSpan w:val="6"/>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注册地址</w:t>
            </w:r>
          </w:p>
        </w:tc>
        <w:tc>
          <w:tcPr>
            <w:tcW w:w="7258" w:type="dxa"/>
            <w:gridSpan w:val="6"/>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联系方式</w:t>
            </w:r>
          </w:p>
        </w:tc>
        <w:tc>
          <w:tcPr>
            <w:tcW w:w="700" w:type="dxa"/>
            <w:noWrap w:val="0"/>
            <w:vAlign w:val="top"/>
          </w:tcPr>
          <w:p>
            <w:pPr>
              <w:pStyle w:val="45"/>
              <w:spacing w:before="35" w:line="232" w:lineRule="auto"/>
              <w:ind w:left="123"/>
              <w:rPr>
                <w:rFonts w:hint="eastAsia" w:ascii="仿宋" w:hAnsi="仿宋" w:eastAsia="仿宋" w:cs="仿宋"/>
                <w:sz w:val="24"/>
                <w:szCs w:val="24"/>
              </w:rPr>
            </w:pPr>
            <w:r>
              <w:rPr>
                <w:rFonts w:hint="eastAsia" w:ascii="仿宋" w:hAnsi="仿宋" w:eastAsia="仿宋" w:cs="仿宋"/>
                <w:spacing w:val="-9"/>
                <w:sz w:val="24"/>
                <w:szCs w:val="24"/>
              </w:rPr>
              <w:t>地址</w:t>
            </w:r>
          </w:p>
        </w:tc>
        <w:tc>
          <w:tcPr>
            <w:tcW w:w="1433"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35" w:line="222" w:lineRule="auto"/>
              <w:ind w:left="191"/>
              <w:rPr>
                <w:rFonts w:hint="eastAsia" w:ascii="仿宋" w:hAnsi="仿宋" w:eastAsia="仿宋" w:cs="仿宋"/>
                <w:sz w:val="24"/>
                <w:szCs w:val="24"/>
              </w:rPr>
            </w:pPr>
            <w:r>
              <w:rPr>
                <w:rFonts w:hint="eastAsia" w:ascii="仿宋" w:hAnsi="仿宋" w:eastAsia="仿宋" w:cs="仿宋"/>
                <w:spacing w:val="-9"/>
                <w:sz w:val="24"/>
                <w:szCs w:val="24"/>
              </w:rPr>
              <w:t>邮政编码</w:t>
            </w:r>
          </w:p>
        </w:tc>
        <w:tc>
          <w:tcPr>
            <w:tcW w:w="1280"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36" w:line="223" w:lineRule="auto"/>
              <w:ind w:left="440"/>
              <w:rPr>
                <w:rFonts w:hint="eastAsia" w:ascii="仿宋" w:hAnsi="仿宋" w:eastAsia="仿宋" w:cs="仿宋"/>
                <w:sz w:val="24"/>
                <w:szCs w:val="24"/>
              </w:rPr>
            </w:pPr>
            <w:r>
              <w:rPr>
                <w:rFonts w:hint="eastAsia" w:ascii="仿宋" w:hAnsi="仿宋" w:eastAsia="仿宋" w:cs="仿宋"/>
                <w:spacing w:val="-22"/>
                <w:sz w:val="24"/>
                <w:szCs w:val="24"/>
              </w:rPr>
              <w:t>电话</w:t>
            </w:r>
          </w:p>
        </w:tc>
        <w:tc>
          <w:tcPr>
            <w:tcW w:w="1285" w:type="dxa"/>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w:t>
            </w:r>
          </w:p>
        </w:tc>
        <w:tc>
          <w:tcPr>
            <w:tcW w:w="700" w:type="dxa"/>
            <w:noWrap w:val="0"/>
            <w:vAlign w:val="top"/>
          </w:tcPr>
          <w:p>
            <w:pPr>
              <w:pStyle w:val="45"/>
              <w:spacing w:before="38" w:line="224" w:lineRule="auto"/>
              <w:ind w:left="122"/>
              <w:rPr>
                <w:rFonts w:hint="eastAsia" w:ascii="仿宋" w:hAnsi="仿宋" w:eastAsia="仿宋" w:cs="仿宋"/>
                <w:sz w:val="24"/>
                <w:szCs w:val="24"/>
              </w:rPr>
            </w:pPr>
            <w:r>
              <w:rPr>
                <w:rFonts w:hint="eastAsia" w:ascii="仿宋" w:hAnsi="仿宋" w:eastAsia="仿宋" w:cs="仿宋"/>
                <w:spacing w:val="-8"/>
                <w:sz w:val="24"/>
                <w:szCs w:val="24"/>
              </w:rPr>
              <w:t>姓名</w:t>
            </w:r>
          </w:p>
        </w:tc>
        <w:tc>
          <w:tcPr>
            <w:tcW w:w="1433"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37" w:line="223" w:lineRule="auto"/>
              <w:ind w:left="412"/>
              <w:rPr>
                <w:rFonts w:hint="eastAsia" w:ascii="仿宋" w:hAnsi="仿宋" w:eastAsia="仿宋" w:cs="仿宋"/>
                <w:sz w:val="24"/>
                <w:szCs w:val="24"/>
              </w:rPr>
            </w:pPr>
            <w:r>
              <w:rPr>
                <w:rFonts w:hint="eastAsia" w:ascii="仿宋" w:hAnsi="仿宋" w:eastAsia="仿宋" w:cs="仿宋"/>
                <w:spacing w:val="-8"/>
                <w:sz w:val="24"/>
                <w:szCs w:val="24"/>
              </w:rPr>
              <w:t>职务</w:t>
            </w:r>
          </w:p>
        </w:tc>
        <w:tc>
          <w:tcPr>
            <w:tcW w:w="1280"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37" w:line="223" w:lineRule="auto"/>
              <w:ind w:left="440"/>
              <w:rPr>
                <w:rFonts w:hint="eastAsia" w:ascii="仿宋" w:hAnsi="仿宋" w:eastAsia="仿宋" w:cs="仿宋"/>
                <w:sz w:val="24"/>
                <w:szCs w:val="24"/>
              </w:rPr>
            </w:pPr>
            <w:r>
              <w:rPr>
                <w:rFonts w:hint="eastAsia" w:ascii="仿宋" w:hAnsi="仿宋" w:eastAsia="仿宋" w:cs="仿宋"/>
                <w:spacing w:val="-22"/>
                <w:sz w:val="24"/>
                <w:szCs w:val="24"/>
              </w:rPr>
              <w:t>电话</w:t>
            </w:r>
          </w:p>
        </w:tc>
        <w:tc>
          <w:tcPr>
            <w:tcW w:w="1285" w:type="dxa"/>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联系人</w:t>
            </w:r>
          </w:p>
        </w:tc>
        <w:tc>
          <w:tcPr>
            <w:tcW w:w="700" w:type="dxa"/>
            <w:noWrap w:val="0"/>
            <w:vAlign w:val="top"/>
          </w:tcPr>
          <w:p>
            <w:pPr>
              <w:pStyle w:val="45"/>
              <w:spacing w:before="40" w:line="224" w:lineRule="auto"/>
              <w:ind w:left="122"/>
              <w:rPr>
                <w:rFonts w:hint="eastAsia" w:ascii="仿宋" w:hAnsi="仿宋" w:eastAsia="仿宋" w:cs="仿宋"/>
                <w:sz w:val="24"/>
                <w:szCs w:val="24"/>
              </w:rPr>
            </w:pPr>
            <w:r>
              <w:rPr>
                <w:rFonts w:hint="eastAsia" w:ascii="仿宋" w:hAnsi="仿宋" w:eastAsia="仿宋" w:cs="仿宋"/>
                <w:spacing w:val="-8"/>
                <w:sz w:val="24"/>
                <w:szCs w:val="24"/>
              </w:rPr>
              <w:t>姓名</w:t>
            </w:r>
          </w:p>
        </w:tc>
        <w:tc>
          <w:tcPr>
            <w:tcW w:w="1433"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39" w:line="223" w:lineRule="auto"/>
              <w:ind w:left="412"/>
              <w:rPr>
                <w:rFonts w:hint="eastAsia" w:ascii="仿宋" w:hAnsi="仿宋" w:eastAsia="仿宋" w:cs="仿宋"/>
                <w:sz w:val="24"/>
                <w:szCs w:val="24"/>
              </w:rPr>
            </w:pPr>
            <w:r>
              <w:rPr>
                <w:rFonts w:hint="eastAsia" w:ascii="仿宋" w:hAnsi="仿宋" w:eastAsia="仿宋" w:cs="仿宋"/>
                <w:spacing w:val="-8"/>
                <w:sz w:val="24"/>
                <w:szCs w:val="24"/>
              </w:rPr>
              <w:t>职务</w:t>
            </w:r>
          </w:p>
        </w:tc>
        <w:tc>
          <w:tcPr>
            <w:tcW w:w="1280"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116" w:line="223" w:lineRule="auto"/>
              <w:ind w:left="440"/>
              <w:rPr>
                <w:rFonts w:hint="eastAsia" w:ascii="仿宋" w:hAnsi="仿宋" w:eastAsia="仿宋" w:cs="仿宋"/>
                <w:sz w:val="24"/>
                <w:szCs w:val="24"/>
              </w:rPr>
            </w:pPr>
            <w:r>
              <w:rPr>
                <w:rFonts w:hint="eastAsia" w:ascii="仿宋" w:hAnsi="仿宋" w:eastAsia="仿宋" w:cs="仿宋"/>
                <w:spacing w:val="-22"/>
                <w:sz w:val="24"/>
                <w:szCs w:val="24"/>
              </w:rPr>
              <w:t>电话</w:t>
            </w:r>
          </w:p>
        </w:tc>
        <w:tc>
          <w:tcPr>
            <w:tcW w:w="1285" w:type="dxa"/>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联系人</w:t>
            </w:r>
          </w:p>
        </w:tc>
        <w:tc>
          <w:tcPr>
            <w:tcW w:w="700" w:type="dxa"/>
            <w:noWrap w:val="0"/>
            <w:vAlign w:val="top"/>
          </w:tcPr>
          <w:p>
            <w:pPr>
              <w:pStyle w:val="45"/>
              <w:spacing w:before="39" w:line="224" w:lineRule="auto"/>
              <w:ind w:left="122"/>
              <w:rPr>
                <w:rFonts w:hint="eastAsia" w:ascii="仿宋" w:hAnsi="仿宋" w:eastAsia="仿宋" w:cs="仿宋"/>
                <w:sz w:val="24"/>
                <w:szCs w:val="24"/>
              </w:rPr>
            </w:pPr>
            <w:r>
              <w:rPr>
                <w:rFonts w:hint="eastAsia" w:ascii="仿宋" w:hAnsi="仿宋" w:eastAsia="仿宋" w:cs="仿宋"/>
                <w:spacing w:val="-8"/>
                <w:sz w:val="24"/>
                <w:szCs w:val="24"/>
              </w:rPr>
              <w:t>姓名</w:t>
            </w:r>
          </w:p>
        </w:tc>
        <w:tc>
          <w:tcPr>
            <w:tcW w:w="1433"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38" w:line="223" w:lineRule="auto"/>
              <w:ind w:left="412"/>
              <w:rPr>
                <w:rFonts w:hint="eastAsia" w:ascii="仿宋" w:hAnsi="仿宋" w:eastAsia="仿宋" w:cs="仿宋"/>
                <w:sz w:val="24"/>
                <w:szCs w:val="24"/>
              </w:rPr>
            </w:pPr>
            <w:r>
              <w:rPr>
                <w:rFonts w:hint="eastAsia" w:ascii="仿宋" w:hAnsi="仿宋" w:eastAsia="仿宋" w:cs="仿宋"/>
                <w:spacing w:val="-8"/>
                <w:sz w:val="24"/>
                <w:szCs w:val="24"/>
              </w:rPr>
              <w:t>职务</w:t>
            </w:r>
          </w:p>
        </w:tc>
        <w:tc>
          <w:tcPr>
            <w:tcW w:w="1280" w:type="dxa"/>
            <w:noWrap w:val="0"/>
            <w:vAlign w:val="top"/>
          </w:tcPr>
          <w:p>
            <w:pPr>
              <w:rPr>
                <w:rFonts w:hint="eastAsia" w:ascii="仿宋" w:hAnsi="仿宋" w:eastAsia="仿宋" w:cs="仿宋"/>
                <w:sz w:val="24"/>
                <w:szCs w:val="24"/>
              </w:rPr>
            </w:pPr>
          </w:p>
        </w:tc>
        <w:tc>
          <w:tcPr>
            <w:tcW w:w="1280" w:type="dxa"/>
            <w:noWrap w:val="0"/>
            <w:vAlign w:val="top"/>
          </w:tcPr>
          <w:p>
            <w:pPr>
              <w:pStyle w:val="45"/>
              <w:spacing w:before="117" w:line="223" w:lineRule="auto"/>
              <w:ind w:left="440"/>
              <w:rPr>
                <w:rFonts w:hint="eastAsia" w:ascii="仿宋" w:hAnsi="仿宋" w:eastAsia="仿宋" w:cs="仿宋"/>
                <w:sz w:val="24"/>
                <w:szCs w:val="24"/>
              </w:rPr>
            </w:pPr>
            <w:r>
              <w:rPr>
                <w:rFonts w:hint="eastAsia" w:ascii="仿宋" w:hAnsi="仿宋" w:eastAsia="仿宋" w:cs="仿宋"/>
                <w:spacing w:val="-22"/>
                <w:sz w:val="24"/>
                <w:szCs w:val="24"/>
              </w:rPr>
              <w:t>电话</w:t>
            </w:r>
          </w:p>
        </w:tc>
        <w:tc>
          <w:tcPr>
            <w:tcW w:w="1285" w:type="dxa"/>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成立时间</w:t>
            </w:r>
          </w:p>
        </w:tc>
        <w:tc>
          <w:tcPr>
            <w:tcW w:w="2133" w:type="dxa"/>
            <w:gridSpan w:val="2"/>
            <w:noWrap w:val="0"/>
            <w:vAlign w:val="top"/>
          </w:tcPr>
          <w:p>
            <w:pPr>
              <w:rPr>
                <w:rFonts w:hint="eastAsia" w:ascii="仿宋" w:hAnsi="仿宋" w:eastAsia="仿宋" w:cs="仿宋"/>
                <w:sz w:val="24"/>
                <w:szCs w:val="24"/>
              </w:rPr>
            </w:pPr>
          </w:p>
        </w:tc>
        <w:tc>
          <w:tcPr>
            <w:tcW w:w="5125" w:type="dxa"/>
            <w:gridSpan w:val="4"/>
            <w:noWrap w:val="0"/>
            <w:vAlign w:val="top"/>
          </w:tcPr>
          <w:p>
            <w:pPr>
              <w:pStyle w:val="45"/>
              <w:spacing w:before="39" w:line="223" w:lineRule="auto"/>
              <w:ind w:left="36"/>
              <w:rPr>
                <w:rFonts w:hint="eastAsia" w:ascii="仿宋" w:hAnsi="仿宋" w:eastAsia="仿宋" w:cs="仿宋"/>
                <w:sz w:val="24"/>
                <w:szCs w:val="24"/>
              </w:rPr>
            </w:pPr>
            <w:r>
              <w:rPr>
                <w:rFonts w:hint="eastAsia" w:ascii="仿宋" w:hAnsi="仿宋" w:eastAsia="仿宋" w:cs="仿宋"/>
                <w:spacing w:val="-7"/>
                <w:sz w:val="24"/>
                <w:szCs w:val="24"/>
              </w:rPr>
              <w:t>员工人数：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营业执照号</w:t>
            </w:r>
          </w:p>
        </w:tc>
        <w:tc>
          <w:tcPr>
            <w:tcW w:w="7258" w:type="dxa"/>
            <w:gridSpan w:val="6"/>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经营范围</w:t>
            </w:r>
          </w:p>
        </w:tc>
        <w:tc>
          <w:tcPr>
            <w:tcW w:w="7258" w:type="dxa"/>
            <w:gridSpan w:val="6"/>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注册资金</w:t>
            </w:r>
          </w:p>
        </w:tc>
        <w:tc>
          <w:tcPr>
            <w:tcW w:w="7258" w:type="dxa"/>
            <w:gridSpan w:val="6"/>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基本账户</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开户行</w:t>
            </w:r>
          </w:p>
        </w:tc>
        <w:tc>
          <w:tcPr>
            <w:tcW w:w="7258" w:type="dxa"/>
            <w:gridSpan w:val="6"/>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709" w:type="dxa"/>
            <w:noWrap w:val="0"/>
            <w:vAlign w:val="top"/>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基本账户账号</w:t>
            </w:r>
          </w:p>
        </w:tc>
        <w:tc>
          <w:tcPr>
            <w:tcW w:w="7258" w:type="dxa"/>
            <w:gridSpan w:val="6"/>
            <w:noWrap w:val="0"/>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967" w:type="dxa"/>
            <w:gridSpan w:val="7"/>
            <w:noWrap w:val="0"/>
            <w:vAlign w:val="top"/>
          </w:tcPr>
          <w:p>
            <w:pPr>
              <w:pStyle w:val="45"/>
              <w:spacing w:before="40" w:line="221" w:lineRule="auto"/>
              <w:ind w:left="3296"/>
              <w:rPr>
                <w:rFonts w:hint="eastAsia" w:ascii="仿宋" w:hAnsi="仿宋" w:eastAsia="仿宋" w:cs="仿宋"/>
                <w:sz w:val="24"/>
                <w:szCs w:val="24"/>
              </w:rPr>
            </w:pPr>
            <w:r>
              <w:rPr>
                <w:rFonts w:hint="eastAsia" w:ascii="仿宋" w:hAnsi="仿宋" w:eastAsia="仿宋" w:cs="仿宋"/>
                <w:spacing w:val="-2"/>
                <w:sz w:val="24"/>
                <w:szCs w:val="24"/>
              </w:rPr>
              <w:t>企业简介（简要阐述）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jc w:val="center"/>
        </w:trPr>
        <w:tc>
          <w:tcPr>
            <w:tcW w:w="8967" w:type="dxa"/>
            <w:gridSpan w:val="7"/>
            <w:noWrap w:val="0"/>
            <w:vAlign w:val="top"/>
          </w:tcPr>
          <w:p>
            <w:pPr>
              <w:pStyle w:val="45"/>
              <w:spacing w:before="41" w:line="466" w:lineRule="exact"/>
              <w:ind w:left="76"/>
              <w:rPr>
                <w:rFonts w:hint="eastAsia" w:ascii="仿宋" w:hAnsi="仿宋" w:eastAsia="仿宋" w:cs="仿宋"/>
                <w:sz w:val="24"/>
                <w:szCs w:val="24"/>
              </w:rPr>
            </w:pPr>
            <w:r>
              <w:rPr>
                <w:rFonts w:hint="eastAsia" w:ascii="仿宋" w:hAnsi="仿宋" w:eastAsia="仿宋" w:cs="仿宋"/>
                <w:kern w:val="2"/>
                <w:sz w:val="24"/>
                <w:szCs w:val="24"/>
                <w:lang w:val="en-US" w:eastAsia="zh-CN" w:bidi="ar-SA"/>
              </w:rPr>
              <w:t>阐述企业的基本情况、组织人员结构、主要成员、资产、业绩、荣誉、经营模式、履约能力及从事咨询服务业的经验等。</w:t>
            </w:r>
          </w:p>
        </w:tc>
      </w:tr>
    </w:tbl>
    <w:p>
      <w:pPr>
        <w:pStyle w:val="9"/>
        <w:spacing w:line="421" w:lineRule="auto"/>
        <w:rPr>
          <w:rFonts w:hint="eastAsia" w:ascii="仿宋" w:hAnsi="仿宋" w:eastAsia="仿宋" w:cs="仿宋"/>
          <w:sz w:val="28"/>
          <w:szCs w:val="28"/>
        </w:rPr>
      </w:pPr>
    </w:p>
    <w:p>
      <w:pPr>
        <w:spacing w:before="78" w:line="359" w:lineRule="auto"/>
        <w:ind w:left="2" w:firstLine="480"/>
        <w:jc w:val="both"/>
        <w:rPr>
          <w:rFonts w:hint="eastAsia" w:ascii="仿宋" w:hAnsi="仿宋" w:eastAsia="仿宋" w:cs="仿宋"/>
          <w:sz w:val="24"/>
          <w:szCs w:val="24"/>
        </w:rPr>
      </w:pPr>
      <w:r>
        <w:rPr>
          <w:rFonts w:hint="eastAsia" w:ascii="仿宋" w:hAnsi="仿宋" w:eastAsia="仿宋" w:cs="仿宋"/>
          <w:spacing w:val="-3"/>
          <w:sz w:val="24"/>
          <w:szCs w:val="24"/>
        </w:rPr>
        <w:t>注：</w:t>
      </w:r>
      <w:r>
        <w:rPr>
          <w:rFonts w:hint="eastAsia" w:ascii="仿宋" w:hAnsi="仿宋" w:eastAsia="仿宋" w:cs="仿宋"/>
          <w:spacing w:val="-3"/>
          <w:sz w:val="24"/>
          <w:szCs w:val="24"/>
          <w:lang w:eastAsia="zh-CN"/>
        </w:rPr>
        <w:t>报价</w:t>
      </w:r>
      <w:r>
        <w:rPr>
          <w:rFonts w:hint="eastAsia" w:ascii="仿宋" w:hAnsi="仿宋" w:eastAsia="仿宋" w:cs="仿宋"/>
          <w:spacing w:val="-3"/>
          <w:sz w:val="24"/>
          <w:szCs w:val="24"/>
        </w:rPr>
        <w:t>人参照上表格提供</w:t>
      </w:r>
      <w:r>
        <w:rPr>
          <w:rFonts w:hint="eastAsia" w:ascii="仿宋" w:hAnsi="仿宋" w:eastAsia="仿宋" w:cs="仿宋"/>
          <w:spacing w:val="-3"/>
          <w:sz w:val="24"/>
          <w:szCs w:val="24"/>
          <w:lang w:eastAsia="zh-CN"/>
        </w:rPr>
        <w:t>询价</w:t>
      </w:r>
      <w:r>
        <w:rPr>
          <w:rFonts w:hint="eastAsia" w:ascii="仿宋" w:hAnsi="仿宋" w:eastAsia="仿宋" w:cs="仿宋"/>
          <w:spacing w:val="-3"/>
          <w:sz w:val="24"/>
          <w:szCs w:val="24"/>
        </w:rPr>
        <w:t>文件，可以对表格进行细化和补充，本表后须附营业执照副本的彩色扫描件、基本账户开户许可证的彩色扫描件应提供全本（证书封面、封底、空白页</w:t>
      </w:r>
      <w:r>
        <w:rPr>
          <w:rFonts w:hint="eastAsia" w:ascii="仿宋" w:hAnsi="仿宋" w:eastAsia="仿宋" w:cs="仿宋"/>
          <w:spacing w:val="-2"/>
          <w:sz w:val="24"/>
          <w:szCs w:val="24"/>
        </w:rPr>
        <w:t>除外</w:t>
      </w:r>
      <w:r>
        <w:rPr>
          <w:rFonts w:hint="eastAsia" w:ascii="仿宋" w:hAnsi="仿宋" w:eastAsia="仿宋" w:cs="仿宋"/>
          <w:spacing w:val="20"/>
          <w:sz w:val="24"/>
          <w:szCs w:val="24"/>
        </w:rPr>
        <w:t>），</w:t>
      </w:r>
      <w:r>
        <w:rPr>
          <w:rFonts w:hint="eastAsia" w:ascii="仿宋" w:hAnsi="仿宋" w:eastAsia="仿宋" w:cs="仿宋"/>
          <w:spacing w:val="-2"/>
          <w:sz w:val="24"/>
          <w:szCs w:val="24"/>
        </w:rPr>
        <w:t>已取消开户许可证的企业可提供由该企业基本账户开户银行加盖公章出具的 《基本</w:t>
      </w:r>
      <w:r>
        <w:rPr>
          <w:rFonts w:hint="eastAsia" w:ascii="仿宋" w:hAnsi="仿宋" w:eastAsia="仿宋" w:cs="仿宋"/>
          <w:spacing w:val="-1"/>
          <w:sz w:val="24"/>
          <w:szCs w:val="24"/>
        </w:rPr>
        <w:t>存款账户信息》彩色扫描件放入投标文件中。</w:t>
      </w:r>
    </w:p>
    <w:p>
      <w:pPr>
        <w:rPr>
          <w:rFonts w:hint="eastAsia"/>
        </w:rPr>
      </w:pPr>
      <w:r>
        <w:rPr>
          <w:rFonts w:hint="eastAsia"/>
        </w:rPr>
        <w:br w:type="page"/>
      </w:r>
    </w:p>
    <w:p>
      <w:pPr>
        <w:spacing w:before="312" w:beforeLines="100" w:after="312" w:afterLines="100" w:line="360" w:lineRule="auto"/>
        <w:jc w:val="center"/>
        <w:outlineLvl w:val="1"/>
        <w:rPr>
          <w:rFonts w:eastAsia="黑体"/>
          <w:bCs/>
          <w:sz w:val="30"/>
          <w:szCs w:val="30"/>
        </w:rPr>
      </w:pPr>
      <w:bookmarkStart w:id="74" w:name="_Toc6219"/>
      <w:bookmarkStart w:id="75" w:name="_Toc17328"/>
      <w:r>
        <w:rPr>
          <w:rFonts w:eastAsia="黑体"/>
          <w:bCs/>
          <w:sz w:val="30"/>
          <w:szCs w:val="30"/>
        </w:rPr>
        <w:t>信誉</w:t>
      </w:r>
      <w:r>
        <w:rPr>
          <w:rFonts w:hint="eastAsia" w:eastAsia="黑体"/>
          <w:bCs/>
          <w:sz w:val="30"/>
          <w:szCs w:val="30"/>
        </w:rPr>
        <w:t>承诺</w:t>
      </w:r>
      <w:r>
        <w:rPr>
          <w:rFonts w:eastAsia="黑体"/>
          <w:bCs/>
          <w:sz w:val="30"/>
          <w:szCs w:val="30"/>
        </w:rPr>
        <w:t>表</w:t>
      </w:r>
      <w:bookmarkEnd w:id="74"/>
      <w:bookmarkEnd w:id="75"/>
    </w:p>
    <w:p>
      <w:pPr>
        <w:ind w:firstLine="480"/>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pPr>
              <w:adjustRightInd w:val="0"/>
              <w:snapToGrid w:val="0"/>
              <w:jc w:val="center"/>
              <w:rPr>
                <w:szCs w:val="21"/>
              </w:rPr>
            </w:pPr>
            <w:r>
              <w:rPr>
                <w:szCs w:val="21"/>
              </w:rPr>
              <w:t>序号</w:t>
            </w:r>
          </w:p>
        </w:tc>
        <w:tc>
          <w:tcPr>
            <w:tcW w:w="6219" w:type="dxa"/>
            <w:vAlign w:val="center"/>
          </w:tcPr>
          <w:p>
            <w:pPr>
              <w:adjustRightInd w:val="0"/>
              <w:snapToGrid w:val="0"/>
              <w:jc w:val="center"/>
              <w:rPr>
                <w:szCs w:val="21"/>
              </w:rPr>
            </w:pPr>
            <w:r>
              <w:rPr>
                <w:szCs w:val="21"/>
              </w:rPr>
              <w:t>信誉内容</w:t>
            </w:r>
          </w:p>
        </w:tc>
        <w:tc>
          <w:tcPr>
            <w:tcW w:w="2257" w:type="dxa"/>
            <w:vAlign w:val="center"/>
          </w:tcPr>
          <w:p>
            <w:pPr>
              <w:adjustRightInd w:val="0"/>
              <w:snapToGrid w:val="0"/>
              <w:jc w:val="center"/>
              <w:rPr>
                <w:szCs w:val="21"/>
              </w:rPr>
            </w:pPr>
            <w:r>
              <w:rPr>
                <w:rFonts w:hint="eastAsia"/>
                <w:szCs w:val="21"/>
              </w:rPr>
              <w:t>报价方</w:t>
            </w:r>
            <w:r>
              <w:rPr>
                <w:szCs w:val="21"/>
              </w:rPr>
              <w:t>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pPr>
              <w:autoSpaceDE w:val="0"/>
              <w:autoSpaceDN w:val="0"/>
              <w:adjustRightInd w:val="0"/>
              <w:snapToGrid w:val="0"/>
              <w:jc w:val="center"/>
              <w:rPr>
                <w:szCs w:val="21"/>
              </w:rPr>
            </w:pPr>
            <w:r>
              <w:rPr>
                <w:rFonts w:hint="eastAsia"/>
                <w:szCs w:val="21"/>
              </w:rPr>
              <w:t>1</w:t>
            </w:r>
          </w:p>
        </w:tc>
        <w:tc>
          <w:tcPr>
            <w:tcW w:w="6219" w:type="dxa"/>
            <w:vAlign w:val="center"/>
          </w:tcPr>
          <w:p>
            <w:pPr>
              <w:spacing w:line="420" w:lineRule="exact"/>
              <w:jc w:val="left"/>
              <w:rPr>
                <w:rFonts w:hint="eastAsia" w:ascii="宋体" w:hAnsi="宋体" w:cs="Times New Roman"/>
                <w:sz w:val="24"/>
              </w:rPr>
            </w:pPr>
            <w:r>
              <w:rPr>
                <w:rFonts w:hint="eastAsia" w:ascii="宋体" w:hAnsi="宋体" w:cs="Times New Roman"/>
                <w:sz w:val="24"/>
              </w:rPr>
              <w:t>是否被责令停业，暂扣或吊销执照，或吊销资质证书</w:t>
            </w:r>
          </w:p>
        </w:tc>
        <w:tc>
          <w:tcPr>
            <w:tcW w:w="2257" w:type="dxa"/>
            <w:vAlign w:val="center"/>
          </w:tcPr>
          <w:p>
            <w:pPr>
              <w:adjustRightInd w:val="0"/>
              <w:snapToGrid w:val="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pPr>
              <w:adjustRightInd w:val="0"/>
              <w:snapToGrid w:val="0"/>
              <w:jc w:val="center"/>
              <w:rPr>
                <w:szCs w:val="21"/>
              </w:rPr>
            </w:pPr>
            <w:r>
              <w:rPr>
                <w:rFonts w:hint="eastAsia"/>
                <w:szCs w:val="21"/>
              </w:rPr>
              <w:t>2</w:t>
            </w:r>
          </w:p>
        </w:tc>
        <w:tc>
          <w:tcPr>
            <w:tcW w:w="6219" w:type="dxa"/>
            <w:vAlign w:val="center"/>
          </w:tcPr>
          <w:p>
            <w:pPr>
              <w:spacing w:line="420" w:lineRule="exact"/>
              <w:jc w:val="left"/>
              <w:rPr>
                <w:rFonts w:hint="eastAsia" w:ascii="宋体" w:hAnsi="宋体" w:cs="Times New Roman"/>
                <w:sz w:val="24"/>
              </w:rPr>
            </w:pPr>
            <w:r>
              <w:rPr>
                <w:rFonts w:hint="eastAsia" w:ascii="宋体" w:hAnsi="宋体" w:cs="Times New Roman"/>
                <w:sz w:val="24"/>
              </w:rPr>
              <w:t>是否进入清算程序，或被宣告破产，或其他丧失履约能力的情形</w:t>
            </w:r>
          </w:p>
        </w:tc>
        <w:tc>
          <w:tcPr>
            <w:tcW w:w="2257" w:type="dxa"/>
            <w:vAlign w:val="center"/>
          </w:tcPr>
          <w:p>
            <w:pPr>
              <w:adjustRightInd w:val="0"/>
              <w:snapToGrid w:val="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pPr>
              <w:adjustRightInd w:val="0"/>
              <w:snapToGrid w:val="0"/>
              <w:jc w:val="center"/>
              <w:rPr>
                <w:szCs w:val="21"/>
              </w:rPr>
            </w:pPr>
            <w:r>
              <w:rPr>
                <w:rFonts w:hint="eastAsia"/>
                <w:szCs w:val="21"/>
              </w:rPr>
              <w:t>3</w:t>
            </w:r>
          </w:p>
        </w:tc>
        <w:tc>
          <w:tcPr>
            <w:tcW w:w="6219" w:type="dxa"/>
            <w:vAlign w:val="center"/>
          </w:tcPr>
          <w:p>
            <w:pPr>
              <w:spacing w:line="420" w:lineRule="exact"/>
              <w:jc w:val="left"/>
              <w:rPr>
                <w:rFonts w:hint="eastAsia" w:ascii="宋体" w:hAnsi="宋体" w:cs="Times New Roman"/>
                <w:sz w:val="24"/>
              </w:rPr>
            </w:pPr>
            <w:r>
              <w:rPr>
                <w:rFonts w:hint="eastAsia" w:ascii="宋体" w:hAnsi="宋体" w:cs="Times New Roman"/>
                <w:sz w:val="24"/>
              </w:rPr>
              <w:t>是否在国家企业信用信息公示系统</w:t>
            </w:r>
            <w:r>
              <w:rPr>
                <w:rFonts w:hint="eastAsia" w:ascii="宋体" w:hAnsi="宋体" w:cs="Times New Roman"/>
                <w:sz w:val="24"/>
              </w:rPr>
              <w:fldChar w:fldCharType="begin"/>
            </w:r>
            <w:r>
              <w:rPr>
                <w:rFonts w:hint="eastAsia" w:ascii="宋体" w:hAnsi="宋体" w:cs="Times New Roman"/>
                <w:sz w:val="24"/>
              </w:rPr>
              <w:instrText xml:space="preserve"> HYPERLINK "http://www.gsxt.gov.cn/" \h </w:instrText>
            </w:r>
            <w:r>
              <w:rPr>
                <w:rFonts w:hint="eastAsia" w:ascii="宋体" w:hAnsi="宋体" w:cs="Times New Roman"/>
                <w:sz w:val="24"/>
              </w:rPr>
              <w:fldChar w:fldCharType="separate"/>
            </w:r>
            <w:r>
              <w:rPr>
                <w:rFonts w:hint="eastAsia" w:ascii="宋体" w:hAnsi="宋体" w:cs="Times New Roman"/>
                <w:sz w:val="24"/>
              </w:rPr>
              <w:t>（http://www.gsxt.gov.cn</w:t>
            </w:r>
            <w:r>
              <w:rPr>
                <w:rFonts w:hint="eastAsia" w:ascii="宋体" w:hAnsi="宋体" w:cs="Times New Roman"/>
                <w:sz w:val="24"/>
              </w:rPr>
              <w:fldChar w:fldCharType="end"/>
            </w:r>
            <w:r>
              <w:rPr>
                <w:rFonts w:hint="eastAsia" w:ascii="宋体" w:hAnsi="宋体" w:cs="Times New Roman"/>
                <w:sz w:val="24"/>
              </w:rPr>
              <w:t>）中被列入严重违法失信企业名单</w:t>
            </w:r>
          </w:p>
        </w:tc>
        <w:tc>
          <w:tcPr>
            <w:tcW w:w="2257" w:type="dxa"/>
            <w:vAlign w:val="center"/>
          </w:tcPr>
          <w:p>
            <w:pPr>
              <w:adjustRightInd w:val="0"/>
              <w:snapToGrid w:val="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pPr>
              <w:adjustRightInd w:val="0"/>
              <w:snapToGrid w:val="0"/>
              <w:jc w:val="center"/>
              <w:rPr>
                <w:szCs w:val="21"/>
              </w:rPr>
            </w:pPr>
            <w:r>
              <w:rPr>
                <w:rFonts w:hint="eastAsia"/>
                <w:szCs w:val="21"/>
              </w:rPr>
              <w:t>4</w:t>
            </w:r>
          </w:p>
        </w:tc>
        <w:tc>
          <w:tcPr>
            <w:tcW w:w="6219" w:type="dxa"/>
            <w:vAlign w:val="center"/>
          </w:tcPr>
          <w:p>
            <w:pPr>
              <w:spacing w:line="420" w:lineRule="exact"/>
              <w:jc w:val="left"/>
              <w:rPr>
                <w:rFonts w:hint="eastAsia" w:ascii="宋体" w:hAnsi="宋体" w:cs="Times New Roman"/>
                <w:sz w:val="24"/>
              </w:rPr>
            </w:pPr>
            <w:r>
              <w:rPr>
                <w:rFonts w:hint="eastAsia" w:ascii="宋体" w:hAnsi="宋体" w:cs="Times New Roman"/>
                <w:sz w:val="24"/>
              </w:rPr>
              <w:t>是否在“信用中国”网站（</w:t>
            </w:r>
            <w:r>
              <w:rPr>
                <w:rFonts w:hint="eastAsia" w:ascii="宋体" w:hAnsi="宋体" w:cs="Times New Roman"/>
                <w:sz w:val="24"/>
              </w:rPr>
              <w:fldChar w:fldCharType="begin"/>
            </w:r>
            <w:r>
              <w:rPr>
                <w:rFonts w:hint="eastAsia" w:ascii="宋体" w:hAnsi="宋体" w:cs="Times New Roman"/>
                <w:sz w:val="24"/>
              </w:rPr>
              <w:instrText xml:space="preserve"> HYPERLINK "http://www.creditchina.gov.cn/" \h </w:instrText>
            </w:r>
            <w:r>
              <w:rPr>
                <w:rFonts w:hint="eastAsia" w:ascii="宋体" w:hAnsi="宋体" w:cs="Times New Roman"/>
                <w:sz w:val="24"/>
              </w:rPr>
              <w:fldChar w:fldCharType="separate"/>
            </w:r>
            <w:r>
              <w:rPr>
                <w:rFonts w:hint="eastAsia" w:ascii="宋体" w:hAnsi="宋体" w:cs="Times New Roman"/>
                <w:sz w:val="24"/>
              </w:rPr>
              <w:t>http://www.creditchina.gov.cn</w:t>
            </w:r>
            <w:r>
              <w:rPr>
                <w:rFonts w:hint="eastAsia" w:ascii="宋体" w:hAnsi="宋体" w:cs="Times New Roman"/>
                <w:sz w:val="24"/>
              </w:rPr>
              <w:fldChar w:fldCharType="end"/>
            </w:r>
            <w:r>
              <w:rPr>
                <w:rFonts w:hint="eastAsia" w:ascii="宋体" w:hAnsi="宋体" w:cs="Times New Roman"/>
                <w:sz w:val="24"/>
              </w:rPr>
              <w:t>）中被列入失信被执行人名单</w:t>
            </w:r>
          </w:p>
        </w:tc>
        <w:tc>
          <w:tcPr>
            <w:tcW w:w="2257" w:type="dxa"/>
            <w:vAlign w:val="center"/>
          </w:tcPr>
          <w:p>
            <w:pPr>
              <w:adjustRightInd w:val="0"/>
              <w:snapToGrid w:val="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pPr>
              <w:adjustRightInd w:val="0"/>
              <w:snapToGrid w:val="0"/>
              <w:jc w:val="center"/>
              <w:rPr>
                <w:rFonts w:hint="eastAsia"/>
                <w:lang w:val="en-US" w:eastAsia="zh-CN"/>
              </w:rPr>
            </w:pPr>
            <w:r>
              <w:rPr>
                <w:rFonts w:hint="eastAsia"/>
                <w:szCs w:val="21"/>
                <w:lang w:val="en-US" w:eastAsia="zh-CN"/>
              </w:rPr>
              <w:t>5</w:t>
            </w:r>
          </w:p>
        </w:tc>
        <w:tc>
          <w:tcPr>
            <w:tcW w:w="6219" w:type="dxa"/>
            <w:vAlign w:val="center"/>
          </w:tcPr>
          <w:p>
            <w:pPr>
              <w:spacing w:line="480" w:lineRule="exact"/>
              <w:rPr>
                <w:rFonts w:hint="eastAsia" w:ascii="宋体" w:hAnsi="宋体" w:cs="Times New Roman"/>
                <w:sz w:val="24"/>
              </w:rPr>
            </w:pPr>
            <w:r>
              <w:rPr>
                <w:rFonts w:hint="eastAsia" w:ascii="宋体" w:hAnsi="宋体"/>
                <w:bCs/>
                <w:sz w:val="24"/>
                <w:lang w:val="en-US" w:eastAsia="zh-CN"/>
              </w:rPr>
              <w:t>在</w:t>
            </w:r>
            <w:r>
              <w:rPr>
                <w:rFonts w:hint="default" w:ascii="宋体" w:hAnsi="宋体"/>
                <w:bCs/>
                <w:sz w:val="24"/>
                <w:lang w:val="en-US" w:eastAsia="zh-CN"/>
              </w:rPr>
              <w:t>24个月内在我市行政区域内工程投标中被确定为中标人后，</w:t>
            </w:r>
            <w:r>
              <w:rPr>
                <w:rFonts w:hint="eastAsia" w:ascii="宋体" w:hAnsi="宋体"/>
                <w:bCs/>
                <w:sz w:val="24"/>
                <w:lang w:val="en-US" w:eastAsia="zh-CN"/>
              </w:rPr>
              <w:t>是否存在</w:t>
            </w:r>
            <w:r>
              <w:rPr>
                <w:rFonts w:hint="default" w:ascii="宋体" w:hAnsi="宋体"/>
                <w:bCs/>
                <w:sz w:val="24"/>
                <w:lang w:val="en-US" w:eastAsia="zh-CN"/>
              </w:rPr>
              <w:t>无正当理由放弃中标或不按规定提供履约担保的。</w:t>
            </w:r>
          </w:p>
        </w:tc>
        <w:tc>
          <w:tcPr>
            <w:tcW w:w="2257" w:type="dxa"/>
            <w:vAlign w:val="center"/>
          </w:tcPr>
          <w:p>
            <w:pPr>
              <w:adjustRightInd w:val="0"/>
              <w:snapToGrid w:val="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pPr>
              <w:adjustRightInd w:val="0"/>
              <w:snapToGrid w:val="0"/>
              <w:jc w:val="center"/>
              <w:rPr>
                <w:rFonts w:hint="eastAsia" w:eastAsia="宋体"/>
                <w:szCs w:val="21"/>
                <w:lang w:val="en-US" w:eastAsia="zh-CN"/>
              </w:rPr>
            </w:pPr>
            <w:r>
              <w:rPr>
                <w:rFonts w:hint="eastAsia"/>
                <w:szCs w:val="21"/>
                <w:lang w:val="en-US" w:eastAsia="zh-CN"/>
              </w:rPr>
              <w:t>6</w:t>
            </w:r>
          </w:p>
        </w:tc>
        <w:tc>
          <w:tcPr>
            <w:tcW w:w="6219" w:type="dxa"/>
            <w:vAlign w:val="center"/>
          </w:tcPr>
          <w:p>
            <w:pPr>
              <w:spacing w:line="420" w:lineRule="exact"/>
              <w:jc w:val="left"/>
              <w:rPr>
                <w:rFonts w:hint="eastAsia" w:ascii="宋体" w:hAnsi="宋体" w:cs="Times New Roman"/>
                <w:sz w:val="24"/>
              </w:rPr>
            </w:pPr>
            <w:r>
              <w:rPr>
                <w:rFonts w:hint="eastAsia" w:ascii="宋体" w:hAnsi="宋体"/>
                <w:bCs/>
                <w:sz w:val="24"/>
                <w:lang w:val="en-US" w:eastAsia="zh-CN"/>
              </w:rPr>
              <w:t>在</w:t>
            </w:r>
            <w:r>
              <w:rPr>
                <w:rFonts w:hint="default" w:ascii="宋体" w:hAnsi="宋体"/>
                <w:bCs/>
                <w:sz w:val="24"/>
                <w:lang w:val="en-US" w:eastAsia="zh-CN"/>
              </w:rPr>
              <w:t>6个月内（以通报发文时间为准）</w:t>
            </w:r>
            <w:r>
              <w:rPr>
                <w:rFonts w:hint="eastAsia" w:ascii="宋体" w:hAnsi="宋体"/>
                <w:bCs/>
                <w:sz w:val="24"/>
                <w:lang w:val="en-US" w:eastAsia="zh-CN"/>
              </w:rPr>
              <w:t>是否</w:t>
            </w:r>
            <w:r>
              <w:rPr>
                <w:rFonts w:hint="default" w:ascii="宋体" w:hAnsi="宋体"/>
                <w:bCs/>
                <w:sz w:val="24"/>
                <w:lang w:val="en-US" w:eastAsia="zh-CN"/>
              </w:rPr>
              <w:t>被我市及任何县（市、区）中国银行保险监督管理委员会（或行政执法部门）依法作出限制投标资格行政处罚（或暂停投标通报）的。</w:t>
            </w:r>
          </w:p>
        </w:tc>
        <w:tc>
          <w:tcPr>
            <w:tcW w:w="2257" w:type="dxa"/>
            <w:vAlign w:val="center"/>
          </w:tcPr>
          <w:p>
            <w:pPr>
              <w:adjustRightInd w:val="0"/>
              <w:snapToGrid w:val="0"/>
              <w:rPr>
                <w:szCs w:val="21"/>
              </w:rPr>
            </w:pPr>
          </w:p>
        </w:tc>
      </w:tr>
    </w:tbl>
    <w:p>
      <w:pPr>
        <w:spacing w:line="320" w:lineRule="exact"/>
        <w:jc w:val="left"/>
        <w:rPr>
          <w:szCs w:val="21"/>
        </w:rPr>
      </w:pPr>
      <w:r>
        <w:rPr>
          <w:szCs w:val="21"/>
        </w:rPr>
        <w:t>注：1.</w:t>
      </w:r>
      <w:r>
        <w:rPr>
          <w:rFonts w:hint="eastAsia"/>
          <w:szCs w:val="21"/>
        </w:rPr>
        <w:t>报价方情况说明请填写“是”或“否”。</w:t>
      </w:r>
    </w:p>
    <w:p>
      <w:pPr>
        <w:ind w:firstLine="420" w:firstLineChars="200"/>
        <w:rPr>
          <w:szCs w:val="21"/>
        </w:rPr>
      </w:pPr>
      <w:r>
        <w:rPr>
          <w:szCs w:val="21"/>
        </w:rPr>
        <w:t>2.</w:t>
      </w:r>
      <w:r>
        <w:rPr>
          <w:rFonts w:hint="eastAsia"/>
          <w:szCs w:val="21"/>
        </w:rPr>
        <w:t>报价方</w:t>
      </w:r>
      <w:r>
        <w:rPr>
          <w:szCs w:val="21"/>
        </w:rPr>
        <w:t>应如实填写本表，如隐瞒真实情况，一旦发现将取消其</w:t>
      </w:r>
      <w:r>
        <w:rPr>
          <w:rFonts w:hint="eastAsia"/>
          <w:szCs w:val="21"/>
        </w:rPr>
        <w:t>签约</w:t>
      </w:r>
      <w:r>
        <w:rPr>
          <w:szCs w:val="21"/>
        </w:rPr>
        <w:t>资格。</w:t>
      </w:r>
    </w:p>
    <w:p>
      <w:pPr>
        <w:pStyle w:val="2"/>
      </w:pPr>
    </w:p>
    <w:p>
      <w:pPr>
        <w:rPr>
          <w:szCs w:val="21"/>
        </w:rPr>
      </w:pPr>
    </w:p>
    <w:p>
      <w:pPr>
        <w:tabs>
          <w:tab w:val="left" w:pos="7460"/>
          <w:tab w:val="left" w:pos="8080"/>
          <w:tab w:val="left" w:pos="8800"/>
        </w:tabs>
        <w:autoSpaceDE w:val="0"/>
        <w:autoSpaceDN w:val="0"/>
        <w:adjustRightInd w:val="0"/>
        <w:spacing w:line="600" w:lineRule="auto"/>
        <w:ind w:left="3641" w:right="61"/>
        <w:rPr>
          <w:rFonts w:ascii="宋体" w:hAnsi="宋体"/>
          <w:sz w:val="24"/>
        </w:rPr>
      </w:pPr>
      <w:r>
        <w:rPr>
          <w:rFonts w:hint="eastAsia" w:ascii="宋体" w:hAnsi="宋体"/>
          <w:sz w:val="24"/>
        </w:rPr>
        <w:t>承诺</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pPr>
        <w:tabs>
          <w:tab w:val="left" w:pos="7460"/>
          <w:tab w:val="left" w:pos="8080"/>
          <w:tab w:val="left" w:pos="8800"/>
        </w:tabs>
        <w:autoSpaceDE w:val="0"/>
        <w:autoSpaceDN w:val="0"/>
        <w:adjustRightInd w:val="0"/>
        <w:spacing w:line="600" w:lineRule="auto"/>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pPr>
        <w:spacing w:line="600" w:lineRule="auto"/>
        <w:ind w:firstLine="3600" w:firstLineChars="15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00" w:lineRule="auto"/>
        <w:rPr>
          <w:rFonts w:ascii="宋体" w:hAnsi="宋体" w:cs="宋体"/>
          <w:szCs w:val="21"/>
        </w:rPr>
      </w:pPr>
    </w:p>
    <w:p>
      <w:pPr>
        <w:spacing w:before="312" w:beforeLines="100" w:after="312" w:afterLines="100" w:line="360" w:lineRule="auto"/>
        <w:jc w:val="center"/>
        <w:outlineLvl w:val="1"/>
        <w:rPr>
          <w:rFonts w:hint="eastAsia" w:ascii="Times New Roman" w:hAnsi="Times New Roman" w:eastAsia="黑体" w:cs="Times New Roman"/>
          <w:bCs/>
          <w:sz w:val="30"/>
          <w:szCs w:val="30"/>
          <w:lang w:val="en-US" w:eastAsia="zh-CN"/>
        </w:rPr>
      </w:pPr>
      <w:r>
        <w:rPr>
          <w:rFonts w:hint="eastAsia" w:eastAsia="黑体" w:cs="Times New Roman"/>
          <w:bCs/>
          <w:sz w:val="30"/>
          <w:szCs w:val="30"/>
          <w:lang w:val="en-US" w:eastAsia="zh-CN"/>
        </w:rPr>
        <w:t>商务</w:t>
      </w:r>
      <w:r>
        <w:rPr>
          <w:rFonts w:hint="eastAsia" w:ascii="Times New Roman" w:hAnsi="Times New Roman" w:eastAsia="黑体" w:cs="Times New Roman"/>
          <w:bCs/>
          <w:sz w:val="30"/>
          <w:szCs w:val="30"/>
          <w:lang w:val="en-US" w:eastAsia="zh-CN"/>
        </w:rPr>
        <w:t>文件资料</w:t>
      </w:r>
    </w:p>
    <w:p>
      <w:pPr>
        <w:pStyle w:val="2"/>
        <w:numPr>
          <w:ilvl w:val="0"/>
          <w:numId w:val="0"/>
        </w:numPr>
        <w:ind w:firstLine="560" w:firstLineChars="200"/>
        <w:rPr>
          <w:rFonts w:hint="eastAsia" w:ascii="仿宋_GB2312" w:hAnsi="华文楷体" w:eastAsia="仿宋_GB2312" w:cs="宋体"/>
          <w:b w:val="0"/>
          <w:color w:val="auto"/>
          <w:kern w:val="0"/>
          <w:sz w:val="28"/>
          <w:szCs w:val="28"/>
          <w:lang w:val="ru-RU" w:eastAsia="zh-CN" w:bidi="ar-SA"/>
        </w:rPr>
      </w:pPr>
      <w:r>
        <w:rPr>
          <w:rFonts w:hint="eastAsia" w:ascii="仿宋_GB2312" w:hAnsi="华文楷体" w:eastAsia="仿宋_GB2312" w:cs="宋体"/>
          <w:b w:val="0"/>
          <w:color w:val="auto"/>
          <w:kern w:val="0"/>
          <w:sz w:val="28"/>
          <w:szCs w:val="28"/>
          <w:lang w:val="en-US" w:eastAsia="zh-CN" w:bidi="ar-SA"/>
        </w:rPr>
        <w:t>1、</w:t>
      </w:r>
      <w:r>
        <w:rPr>
          <w:rFonts w:hint="eastAsia" w:ascii="仿宋_GB2312" w:hAnsi="华文楷体" w:eastAsia="仿宋_GB2312" w:cs="宋体"/>
          <w:b w:val="0"/>
          <w:color w:val="auto"/>
          <w:kern w:val="0"/>
          <w:sz w:val="28"/>
          <w:szCs w:val="28"/>
          <w:lang w:val="ru-RU" w:eastAsia="zh-CN" w:bidi="ar-SA"/>
        </w:rPr>
        <w:t>综合服务水平</w:t>
      </w:r>
    </w:p>
    <w:p>
      <w:pPr>
        <w:numPr>
          <w:ilvl w:val="0"/>
          <w:numId w:val="0"/>
        </w:numPr>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w:t>
      </w:r>
      <w:r>
        <w:rPr>
          <w:rFonts w:hint="default" w:ascii="仿宋_GB2312" w:hAnsi="华文楷体" w:eastAsia="仿宋_GB2312" w:cs="宋体"/>
          <w:b w:val="0"/>
          <w:color w:val="auto"/>
          <w:kern w:val="0"/>
          <w:sz w:val="28"/>
          <w:szCs w:val="28"/>
          <w:lang w:val="en-US" w:eastAsia="zh-CN" w:bidi="ar-SA"/>
        </w:rPr>
        <w:t>服务质量评价</w:t>
      </w:r>
    </w:p>
    <w:p>
      <w:pPr>
        <w:pStyle w:val="2"/>
        <w:ind w:firstLine="560" w:firstLineChars="200"/>
        <w:rPr>
          <w:rFonts w:hint="default"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3、综合偿付能力</w:t>
      </w:r>
    </w:p>
    <w:p>
      <w:pPr>
        <w:pStyle w:val="2"/>
        <w:jc w:val="center"/>
        <w:rPr>
          <w:rFonts w:hint="eastAsia" w:ascii="Times New Roman" w:hAnsi="Times New Roman" w:eastAsia="黑体" w:cs="Times New Roman"/>
          <w:bCs/>
          <w:sz w:val="30"/>
          <w:szCs w:val="30"/>
          <w:lang w:val="en-US" w:eastAsia="zh-CN"/>
        </w:rPr>
        <w:sectPr>
          <w:footerReference r:id="rId6" w:type="first"/>
          <w:footerReference r:id="rId5" w:type="default"/>
          <w:pgSz w:w="11906" w:h="16838"/>
          <w:pgMar w:top="1418" w:right="1418" w:bottom="1021" w:left="1418" w:header="851" w:footer="992" w:gutter="0"/>
          <w:pgNumType w:fmt="decimal"/>
          <w:cols w:space="720" w:num="1"/>
          <w:titlePg/>
          <w:docGrid w:type="lines" w:linePitch="312" w:charSpace="0"/>
        </w:sectPr>
      </w:pPr>
    </w:p>
    <w:p>
      <w:pPr>
        <w:spacing w:before="312" w:beforeLines="100" w:after="312" w:afterLines="100" w:line="360" w:lineRule="auto"/>
        <w:jc w:val="center"/>
        <w:outlineLvl w:val="1"/>
        <w:rPr>
          <w:rFonts w:hint="default" w:eastAsia="黑体" w:cs="Times New Roman"/>
          <w:bCs/>
          <w:sz w:val="30"/>
          <w:szCs w:val="30"/>
          <w:lang w:val="en-US" w:eastAsia="zh-CN"/>
        </w:rPr>
      </w:pPr>
      <w:r>
        <w:rPr>
          <w:rFonts w:hint="eastAsia" w:eastAsia="黑体" w:cs="Times New Roman"/>
          <w:bCs/>
          <w:sz w:val="30"/>
          <w:szCs w:val="30"/>
          <w:lang w:val="en-US" w:eastAsia="zh-CN"/>
        </w:rPr>
        <w:t>技术文件资料</w:t>
      </w:r>
    </w:p>
    <w:p>
      <w:pPr>
        <w:autoSpaceDE w:val="0"/>
        <w:autoSpaceDN w:val="0"/>
        <w:spacing w:line="560" w:lineRule="exact"/>
        <w:jc w:val="left"/>
        <w:rPr>
          <w:rFonts w:ascii="仿宋_GB2312" w:hAnsi="华文楷体" w:eastAsia="仿宋_GB2312" w:cs="宋体"/>
          <w:b/>
          <w:bCs/>
          <w:kern w:val="0"/>
          <w:sz w:val="28"/>
          <w:szCs w:val="28"/>
        </w:rPr>
      </w:pPr>
      <w:bookmarkStart w:id="76" w:name="_Toc14123"/>
      <w:r>
        <w:rPr>
          <w:rFonts w:hint="eastAsia" w:ascii="仿宋_GB2312" w:hAnsi="华文楷体" w:eastAsia="仿宋_GB2312" w:cs="宋体"/>
          <w:b/>
          <w:bCs/>
          <w:kern w:val="0"/>
          <w:sz w:val="28"/>
          <w:szCs w:val="28"/>
        </w:rPr>
        <w:t>一、服务</w:t>
      </w:r>
      <w:r>
        <w:rPr>
          <w:rFonts w:hint="eastAsia" w:ascii="仿宋_GB2312" w:hAnsi="华文楷体" w:eastAsia="仿宋_GB2312" w:cs="宋体"/>
          <w:b/>
          <w:bCs/>
          <w:kern w:val="0"/>
          <w:sz w:val="28"/>
          <w:szCs w:val="28"/>
          <w:lang w:val="en-US" w:eastAsia="zh-CN"/>
        </w:rPr>
        <w:t>与承诺</w:t>
      </w:r>
    </w:p>
    <w:p>
      <w:pPr>
        <w:autoSpaceDE w:val="0"/>
        <w:autoSpaceDN w:val="0"/>
        <w:spacing w:line="560" w:lineRule="exact"/>
        <w:jc w:val="left"/>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1、建筑工程安全生产责任险赔偿限额承诺</w:t>
      </w:r>
    </w:p>
    <w:p>
      <w:pPr>
        <w:ind w:left="560" w:hanging="560" w:hanging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（1）施工人员每次事故每人死亡、伤残赔偿限额人民币：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（2）施工人员每次事故每人医疗费用赔偿限额人民币：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（3）累计责任限额人民币：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p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（4）安全生产责任险第三者保障赔偿限额人民币：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w:t>
      </w:r>
    </w:p>
    <w:p>
      <w:p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2、工程一切险承诺</w:t>
      </w:r>
    </w:p>
    <w:p>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（1）赔偿限额</w:t>
      </w:r>
      <w:r>
        <w:rPr>
          <w:rFonts w:hint="eastAsia" w:ascii="仿宋_GB2312" w:hAnsi="华文楷体" w:eastAsia="仿宋_GB2312" w:cs="宋体"/>
          <w:b w:val="0"/>
          <w:color w:val="auto"/>
          <w:kern w:val="0"/>
          <w:sz w:val="28"/>
          <w:szCs w:val="28"/>
          <w:u w:val="single"/>
          <w:lang w:val="en-US" w:eastAsia="zh-CN" w:bidi="ar-SA"/>
        </w:rPr>
        <w:t xml:space="preserve">                                             </w:t>
      </w:r>
    </w:p>
    <w:p>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 xml:space="preserve">（2）每次事故免赔 </w:t>
      </w:r>
      <w:r>
        <w:rPr>
          <w:rFonts w:hint="eastAsia" w:ascii="仿宋_GB2312" w:hAnsi="华文楷体" w:eastAsia="仿宋_GB2312" w:cs="宋体"/>
          <w:b w:val="0"/>
          <w:color w:val="auto"/>
          <w:kern w:val="0"/>
          <w:sz w:val="28"/>
          <w:szCs w:val="28"/>
          <w:u w:val="single"/>
          <w:lang w:val="en-US" w:eastAsia="zh-CN" w:bidi="ar-SA"/>
        </w:rPr>
        <w:t xml:space="preserve">                                        </w:t>
      </w:r>
    </w:p>
    <w:p>
      <w:pPr>
        <w:numPr>
          <w:ilvl w:val="0"/>
          <w:numId w:val="0"/>
        </w:numPr>
        <w:rPr>
          <w:rFonts w:hint="eastAsia"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3、第三者责任险承诺</w:t>
      </w:r>
    </w:p>
    <w:p>
      <w:pPr>
        <w:numPr>
          <w:ilvl w:val="0"/>
          <w:numId w:val="0"/>
        </w:numPr>
        <w:rPr>
          <w:rFonts w:hint="eastAsia" w:ascii="仿宋_GB2312" w:hAnsi="华文楷体" w:eastAsia="仿宋_GB2312" w:cs="宋体"/>
          <w:b w:val="0"/>
          <w:color w:val="auto"/>
          <w:kern w:val="0"/>
          <w:sz w:val="28"/>
          <w:szCs w:val="28"/>
          <w:u w:val="none"/>
          <w:lang w:val="en-US" w:eastAsia="zh-CN" w:bidi="ar-SA"/>
        </w:rPr>
      </w:pPr>
      <w:r>
        <w:rPr>
          <w:rFonts w:hint="eastAsia" w:ascii="仿宋_GB2312" w:hAnsi="华文楷体" w:eastAsia="仿宋_GB2312" w:cs="宋体"/>
          <w:b w:val="0"/>
          <w:color w:val="auto"/>
          <w:kern w:val="0"/>
          <w:sz w:val="28"/>
          <w:szCs w:val="28"/>
          <w:lang w:val="en-US" w:eastAsia="zh-CN" w:bidi="ar-SA"/>
        </w:rPr>
        <w:t>（1）赔偿限额人民币：</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u w:val="none"/>
          <w:lang w:val="en-US" w:eastAsia="zh-CN" w:bidi="ar-SA"/>
        </w:rPr>
        <w:t>；</w:t>
      </w:r>
    </w:p>
    <w:p>
      <w:pPr>
        <w:numPr>
          <w:ilvl w:val="0"/>
          <w:numId w:val="0"/>
        </w:num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（2）每次事故免赔</w:t>
      </w:r>
      <w:r>
        <w:rPr>
          <w:rFonts w:hint="eastAsia" w:ascii="仿宋_GB2312" w:hAnsi="华文楷体" w:eastAsia="仿宋_GB2312" w:cs="宋体"/>
          <w:b w:val="0"/>
          <w:color w:val="auto"/>
          <w:kern w:val="0"/>
          <w:sz w:val="28"/>
          <w:szCs w:val="28"/>
          <w:u w:val="single"/>
          <w:lang w:val="en-US" w:eastAsia="zh-CN" w:bidi="ar-SA"/>
        </w:rPr>
        <w:t xml:space="preserve">                                          </w:t>
      </w:r>
    </w:p>
    <w:p>
      <w:pPr>
        <w:rPr>
          <w:rFonts w:hint="eastAsia"/>
        </w:rPr>
      </w:pPr>
    </w:p>
    <w:p>
      <w:pPr>
        <w:numPr>
          <w:ilvl w:val="0"/>
          <w:numId w:val="0"/>
        </w:numPr>
        <w:rPr>
          <w:rFonts w:hint="default" w:ascii="仿宋_GB2312" w:hAnsi="华文楷体" w:eastAsia="仿宋_GB2312" w:cs="宋体"/>
          <w:b/>
          <w:bCs/>
          <w:color w:val="auto"/>
          <w:kern w:val="0"/>
          <w:sz w:val="28"/>
          <w:szCs w:val="28"/>
          <w:lang w:val="en-US" w:eastAsia="zh-CN" w:bidi="ar-SA"/>
        </w:rPr>
      </w:pPr>
      <w:r>
        <w:rPr>
          <w:rFonts w:hint="eastAsia" w:ascii="仿宋_GB2312" w:hAnsi="华文楷体" w:eastAsia="仿宋_GB2312" w:cs="宋体"/>
          <w:b/>
          <w:bCs/>
          <w:color w:val="auto"/>
          <w:kern w:val="0"/>
          <w:sz w:val="28"/>
          <w:szCs w:val="28"/>
          <w:lang w:val="en-US" w:eastAsia="zh-CN" w:bidi="ar-SA"/>
        </w:rPr>
        <w:t>4、售后服务方案</w:t>
      </w:r>
    </w:p>
    <w:p>
      <w:pPr>
        <w:numPr>
          <w:ilvl w:val="0"/>
          <w:numId w:val="0"/>
        </w:numPr>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（1）对售后服务团队建设、后续理赔方案及承诺</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0" w:type="dxa"/>
          <w:bottom w:w="0" w:type="dxa"/>
          <w:right w:w="0" w:type="dxa"/>
        </w:tblCellMar>
      </w:tblPr>
      <w:tblGrid>
        <w:gridCol w:w="1392"/>
        <w:gridCol w:w="1080"/>
        <w:gridCol w:w="1236"/>
        <w:gridCol w:w="1236"/>
        <w:gridCol w:w="1236"/>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7416" w:type="dxa"/>
            <w:gridSpan w:val="6"/>
            <w:tcBorders>
              <w:top w:val="single" w:color="auto" w:sz="12" w:space="0"/>
              <w:bottom w:val="single" w:color="auto" w:sz="4" w:space="0"/>
            </w:tcBorders>
            <w:shd w:val="clear" w:color="auto" w:fill="CCCCCC"/>
            <w:noWrap w:val="0"/>
            <w:vAlign w:val="center"/>
          </w:tcPr>
          <w:p>
            <w:pPr>
              <w:spacing w:after="0" w:line="480" w:lineRule="exact"/>
              <w:jc w:val="cente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团队建设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职责</w:t>
            </w:r>
          </w:p>
        </w:tc>
        <w:tc>
          <w:tcPr>
            <w:tcW w:w="1080"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姓名</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职务</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手机</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固话</w:t>
            </w: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r>
              <w:rPr>
                <w:rFonts w:ascii="宋体" w:hAnsi="宋体" w:eastAsia="宋体"/>
                <w:b/>
                <w:sz w:val="21"/>
                <w:szCs w:val="21"/>
                <w:highlight w:val="none"/>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tcBorders>
              <w:top w:val="single" w:color="auto" w:sz="4" w:space="0"/>
            </w:tcBorders>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hint="eastAsia" w:ascii="宋体" w:hAnsi="宋体"/>
                <w:kern w:val="0"/>
                <w:sz w:val="21"/>
                <w:szCs w:val="21"/>
                <w:highlight w:val="none"/>
                <w:lang w:eastAsia="zh-CN" w:bidi="en-US"/>
              </w:rPr>
              <w:t>总</w:t>
            </w:r>
            <w:r>
              <w:rPr>
                <w:rFonts w:ascii="宋体" w:hAnsi="宋体"/>
                <w:kern w:val="0"/>
                <w:sz w:val="21"/>
                <w:szCs w:val="21"/>
                <w:highlight w:val="none"/>
                <w:lang w:eastAsia="zh-CN" w:bidi="en-US"/>
              </w:rPr>
              <w:t>公司协调</w:t>
            </w:r>
            <w:r>
              <w:rPr>
                <w:rFonts w:hint="eastAsia" w:ascii="宋体" w:hAnsi="宋体"/>
                <w:kern w:val="0"/>
                <w:sz w:val="21"/>
                <w:szCs w:val="21"/>
                <w:highlight w:val="none"/>
                <w:lang w:eastAsia="zh-CN" w:bidi="en-US"/>
              </w:rPr>
              <w:t>人</w:t>
            </w:r>
          </w:p>
        </w:tc>
        <w:tc>
          <w:tcPr>
            <w:tcW w:w="1080"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c>
          <w:tcPr>
            <w:tcW w:w="1236" w:type="dxa"/>
            <w:tcBorders>
              <w:top w:val="single" w:color="auto" w:sz="4" w:space="0"/>
            </w:tcBorders>
            <w:noWrap w:val="0"/>
            <w:vAlign w:val="center"/>
          </w:tcPr>
          <w:p>
            <w:pPr>
              <w:spacing w:after="0" w:line="480" w:lineRule="exact"/>
              <w:jc w:val="center"/>
              <w:rPr>
                <w:rFonts w:ascii="宋体" w:hAnsi="宋体" w:eastAsia="宋体"/>
                <w:b/>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项目负责人</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承保服务</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理赔服务</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第一联系人</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第二联系人</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2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现场服务</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370" w:hRule="atLeast"/>
          <w:jc w:val="center"/>
        </w:trPr>
        <w:tc>
          <w:tcPr>
            <w:tcW w:w="1392" w:type="dxa"/>
            <w:noWrap w:val="0"/>
            <w:vAlign w:val="center"/>
          </w:tcPr>
          <w:p>
            <w:pPr>
              <w:pStyle w:val="16"/>
              <w:tabs>
                <w:tab w:val="center" w:pos="4140"/>
                <w:tab w:val="right" w:pos="8300"/>
                <w:tab w:val="clear" w:pos="4153"/>
                <w:tab w:val="clear" w:pos="8306"/>
              </w:tabs>
              <w:spacing w:after="0" w:line="264" w:lineRule="auto"/>
              <w:jc w:val="center"/>
              <w:rPr>
                <w:rFonts w:ascii="宋体" w:hAnsi="宋体"/>
                <w:kern w:val="0"/>
                <w:sz w:val="21"/>
                <w:szCs w:val="21"/>
                <w:highlight w:val="none"/>
                <w:lang w:eastAsia="zh-CN" w:bidi="en-US"/>
              </w:rPr>
            </w:pPr>
            <w:r>
              <w:rPr>
                <w:rFonts w:ascii="宋体" w:hAnsi="宋体"/>
                <w:kern w:val="0"/>
                <w:sz w:val="21"/>
                <w:szCs w:val="21"/>
                <w:highlight w:val="none"/>
                <w:lang w:eastAsia="zh-CN" w:bidi="en-US"/>
              </w:rPr>
              <w:t>…</w:t>
            </w:r>
          </w:p>
        </w:tc>
        <w:tc>
          <w:tcPr>
            <w:tcW w:w="1080"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pStyle w:val="47"/>
              <w:widowControl w:val="0"/>
              <w:pBdr>
                <w:left w:val="none" w:color="auto" w:sz="0" w:space="0"/>
                <w:bottom w:val="none" w:color="auto" w:sz="0" w:space="0"/>
                <w:right w:val="none" w:color="auto" w:sz="0" w:space="0"/>
              </w:pBdr>
              <w:spacing w:before="0" w:beforeAutospacing="0" w:after="0" w:afterAutospacing="0" w:line="480" w:lineRule="exact"/>
              <w:ind w:firstLine="420"/>
              <w:textAlignment w:val="auto"/>
              <w:rPr>
                <w:rFonts w:ascii="宋体" w:hAnsi="宋体"/>
                <w:kern w:val="2"/>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c>
          <w:tcPr>
            <w:tcW w:w="1236" w:type="dxa"/>
            <w:noWrap w:val="0"/>
            <w:vAlign w:val="center"/>
          </w:tcPr>
          <w:p>
            <w:pPr>
              <w:spacing w:after="0" w:line="480" w:lineRule="exact"/>
              <w:jc w:val="center"/>
              <w:rPr>
                <w:rFonts w:ascii="宋体" w:hAnsi="宋体" w:eastAsia="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0" w:type="dxa"/>
            <w:bottom w:w="0" w:type="dxa"/>
            <w:right w:w="0" w:type="dxa"/>
          </w:tblCellMar>
        </w:tblPrEx>
        <w:trPr>
          <w:trHeight w:val="1914" w:hRule="atLeast"/>
          <w:jc w:val="center"/>
        </w:trPr>
        <w:tc>
          <w:tcPr>
            <w:tcW w:w="7416" w:type="dxa"/>
            <w:gridSpan w:val="6"/>
            <w:tcBorders>
              <w:bottom w:val="single" w:color="auto" w:sz="4" w:space="0"/>
            </w:tcBorders>
            <w:noWrap w:val="0"/>
            <w:vAlign w:val="center"/>
          </w:tcPr>
          <w:p>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 xml:space="preserve">第一联系人： </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联系地址：                                  邮编：</w:t>
            </w:r>
          </w:p>
          <w:p>
            <w:pPr>
              <w:pStyle w:val="6"/>
              <w:snapToGrid w:val="0"/>
              <w:spacing w:after="0" w:line="264" w:lineRule="auto"/>
              <w:rPr>
                <w:rFonts w:ascii="宋体" w:hAnsi="宋体" w:eastAsia="宋体"/>
                <w:b/>
                <w:szCs w:val="21"/>
                <w:highlight w:val="none"/>
                <w:lang w:bidi="en-US"/>
              </w:rPr>
            </w:pPr>
            <w:r>
              <w:rPr>
                <w:rFonts w:ascii="宋体" w:hAnsi="宋体" w:eastAsia="宋体"/>
                <w:b/>
                <w:szCs w:val="21"/>
                <w:highlight w:val="none"/>
                <w:lang w:bidi="en-US"/>
              </w:rPr>
              <w:t>第二联系人：</w:t>
            </w:r>
          </w:p>
          <w:p>
            <w:pPr>
              <w:pStyle w:val="6"/>
              <w:snapToGrid w:val="0"/>
              <w:spacing w:after="0" w:line="264" w:lineRule="auto"/>
              <w:rPr>
                <w:rFonts w:ascii="宋体" w:hAnsi="宋体" w:eastAsia="宋体"/>
                <w:szCs w:val="21"/>
                <w:highlight w:val="none"/>
                <w:lang w:bidi="en-US"/>
              </w:rPr>
            </w:pPr>
            <w:r>
              <w:rPr>
                <w:rFonts w:ascii="宋体" w:hAnsi="宋体" w:eastAsia="宋体"/>
                <w:szCs w:val="21"/>
                <w:highlight w:val="none"/>
                <w:lang w:bidi="en-US"/>
              </w:rPr>
              <w:t xml:space="preserve">姓名：                                      Email：  </w:t>
            </w:r>
          </w:p>
          <w:p>
            <w:pPr>
              <w:pStyle w:val="6"/>
              <w:snapToGrid w:val="0"/>
              <w:spacing w:after="0" w:line="264" w:lineRule="auto"/>
              <w:rPr>
                <w:rFonts w:ascii="宋体" w:hAnsi="宋体" w:eastAsia="宋体"/>
                <w:szCs w:val="21"/>
                <w:highlight w:val="none"/>
                <w:lang w:eastAsia="en-US" w:bidi="en-US"/>
              </w:rPr>
            </w:pPr>
            <w:r>
              <w:rPr>
                <w:rFonts w:ascii="宋体" w:hAnsi="宋体" w:eastAsia="宋体"/>
                <w:szCs w:val="21"/>
                <w:highlight w:val="none"/>
                <w:lang w:bidi="en-US"/>
              </w:rPr>
              <w:t>联系地址：                                  邮编：</w:t>
            </w:r>
          </w:p>
        </w:tc>
      </w:tr>
    </w:tbl>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自保险赔付达成一致意见并签署相关文件之日起，在以下时限内结案并向投保人支付全部赔款。</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(1) 赔款金额在人民币100万元以下，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pPr>
        <w:ind w:firstLine="560" w:firstLineChars="200"/>
        <w:rPr>
          <w:rFonts w:hint="eastAsia" w:ascii="仿宋_GB2312" w:hAnsi="华文楷体" w:eastAsia="仿宋_GB2312" w:cs="宋体"/>
          <w:b w:val="0"/>
          <w:color w:val="auto"/>
          <w:kern w:val="0"/>
          <w:sz w:val="28"/>
          <w:szCs w:val="28"/>
          <w:lang w:val="en-US" w:eastAsia="zh-CN" w:bidi="ar-SA"/>
        </w:rPr>
      </w:pPr>
      <w:r>
        <w:rPr>
          <w:rFonts w:hint="eastAsia" w:ascii="仿宋_GB2312" w:hAnsi="华文楷体" w:eastAsia="仿宋_GB2312" w:cs="宋体"/>
          <w:b w:val="0"/>
          <w:color w:val="auto"/>
          <w:kern w:val="0"/>
          <w:sz w:val="28"/>
          <w:szCs w:val="28"/>
          <w:lang w:val="en-US" w:eastAsia="zh-CN" w:bidi="ar-SA"/>
        </w:rPr>
        <w:t>(2) 赔款金额在人民币100万元（含）以上，300万元以下，</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pPr>
        <w:ind w:firstLine="560" w:firstLineChars="200"/>
        <w:rPr>
          <w:rFonts w:hint="default"/>
          <w:lang w:val="en-US" w:eastAsia="zh-CN"/>
        </w:rPr>
      </w:pPr>
      <w:r>
        <w:rPr>
          <w:rFonts w:hint="eastAsia" w:ascii="仿宋_GB2312" w:hAnsi="华文楷体" w:eastAsia="仿宋_GB2312" w:cs="宋体"/>
          <w:b w:val="0"/>
          <w:color w:val="auto"/>
          <w:kern w:val="0"/>
          <w:sz w:val="28"/>
          <w:szCs w:val="28"/>
          <w:lang w:val="en-US" w:eastAsia="zh-CN" w:bidi="ar-SA"/>
        </w:rPr>
        <w:t xml:space="preserve">(3)赔款金额在人民币300万元（含）以上， </w:t>
      </w:r>
      <w:r>
        <w:rPr>
          <w:rFonts w:hint="eastAsia" w:ascii="仿宋_GB2312" w:hAnsi="华文楷体" w:eastAsia="仿宋_GB2312" w:cs="宋体"/>
          <w:b w:val="0"/>
          <w:color w:val="auto"/>
          <w:kern w:val="0"/>
          <w:sz w:val="28"/>
          <w:szCs w:val="28"/>
          <w:u w:val="single"/>
          <w:lang w:val="en-US" w:eastAsia="zh-CN" w:bidi="ar-SA"/>
        </w:rPr>
        <w:t xml:space="preserve">   </w:t>
      </w:r>
      <w:r>
        <w:rPr>
          <w:rFonts w:hint="eastAsia" w:ascii="仿宋_GB2312" w:hAnsi="华文楷体" w:eastAsia="仿宋_GB2312" w:cs="宋体"/>
          <w:b w:val="0"/>
          <w:color w:val="auto"/>
          <w:kern w:val="0"/>
          <w:sz w:val="28"/>
          <w:szCs w:val="28"/>
          <w:lang w:val="en-US" w:eastAsia="zh-CN" w:bidi="ar-SA"/>
        </w:rPr>
        <w:t>个工作日内支付赔款；</w:t>
      </w:r>
    </w:p>
    <w:p>
      <w:pPr>
        <w:rPr>
          <w:rFonts w:hint="default" w:ascii="仿宋_GB2312" w:hAnsi="华文楷体" w:eastAsia="仿宋_GB2312" w:cs="宋体"/>
          <w:b w:val="0"/>
          <w:color w:val="auto"/>
          <w:kern w:val="0"/>
          <w:sz w:val="28"/>
          <w:szCs w:val="28"/>
          <w:u w:val="single"/>
          <w:lang w:val="en-US" w:eastAsia="zh-CN" w:bidi="ar-SA"/>
        </w:rPr>
      </w:pPr>
      <w:r>
        <w:rPr>
          <w:rFonts w:hint="eastAsia" w:ascii="仿宋_GB2312" w:hAnsi="华文楷体" w:eastAsia="仿宋_GB2312" w:cs="宋体"/>
          <w:b w:val="0"/>
          <w:color w:val="auto"/>
          <w:kern w:val="0"/>
          <w:sz w:val="28"/>
          <w:szCs w:val="28"/>
          <w:lang w:val="en-US" w:eastAsia="zh-CN" w:bidi="ar-SA"/>
        </w:rPr>
        <w:t>（2）现场踏勘时效</w:t>
      </w:r>
      <w:r>
        <w:rPr>
          <w:rFonts w:hint="eastAsia" w:ascii="仿宋_GB2312" w:hAnsi="华文楷体" w:eastAsia="仿宋_GB2312" w:cs="宋体"/>
          <w:b w:val="0"/>
          <w:color w:val="auto"/>
          <w:kern w:val="0"/>
          <w:sz w:val="28"/>
          <w:szCs w:val="28"/>
          <w:u w:val="single"/>
          <w:lang w:val="en-US" w:eastAsia="zh-CN" w:bidi="ar-SA"/>
        </w:rPr>
        <w:t xml:space="preserve">                                           </w:t>
      </w:r>
    </w:p>
    <w:p>
      <w:pPr>
        <w:rPr>
          <w:rFonts w:hint="eastAsia" w:eastAsia="黑体"/>
          <w:bCs/>
          <w:sz w:val="30"/>
          <w:szCs w:val="30"/>
        </w:rPr>
      </w:pPr>
      <w:r>
        <w:rPr>
          <w:rFonts w:hint="eastAsia" w:eastAsia="黑体"/>
          <w:bCs/>
          <w:sz w:val="30"/>
          <w:szCs w:val="30"/>
        </w:rPr>
        <w:br w:type="page"/>
      </w:r>
    </w:p>
    <w:p>
      <w:pPr>
        <w:spacing w:before="312" w:beforeLines="100" w:after="312" w:afterLines="100" w:line="360" w:lineRule="auto"/>
        <w:jc w:val="center"/>
        <w:outlineLvl w:val="1"/>
        <w:rPr>
          <w:rFonts w:eastAsia="黑体"/>
          <w:bCs/>
          <w:sz w:val="30"/>
          <w:szCs w:val="30"/>
        </w:rPr>
      </w:pPr>
      <w:r>
        <w:rPr>
          <w:rFonts w:hint="eastAsia" w:eastAsia="黑体"/>
          <w:bCs/>
          <w:sz w:val="30"/>
          <w:szCs w:val="30"/>
        </w:rPr>
        <w:t>其它资料</w:t>
      </w:r>
      <w:bookmarkEnd w:id="73"/>
      <w:bookmarkEnd w:id="76"/>
    </w:p>
    <w:p>
      <w:pPr>
        <w:rPr>
          <w:rFonts w:ascii="宋体" w:hAnsi="宋体"/>
          <w:color w:val="FF0000"/>
          <w:sz w:val="24"/>
        </w:rPr>
      </w:pPr>
    </w:p>
    <w:p>
      <w:pPr>
        <w:ind w:firstLine="480" w:firstLineChars="200"/>
        <w:rPr>
          <w:rFonts w:ascii="宋体" w:hAnsi="宋体"/>
          <w:color w:val="000000"/>
          <w:sz w:val="24"/>
        </w:rPr>
      </w:pPr>
      <w:r>
        <w:rPr>
          <w:rFonts w:hint="eastAsia" w:ascii="宋体" w:hAnsi="宋体"/>
          <w:color w:val="000000"/>
          <w:sz w:val="24"/>
        </w:rPr>
        <w:t>营业执照等</w:t>
      </w:r>
    </w:p>
    <w:p>
      <w:pPr>
        <w:rPr>
          <w:rFonts w:ascii="宋体" w:hAnsi="宋体"/>
          <w:color w:val="000000"/>
          <w:sz w:val="24"/>
        </w:rPr>
      </w:pPr>
    </w:p>
    <w:p>
      <w:pPr>
        <w:rPr>
          <w:rFonts w:ascii="宋体" w:hAnsi="宋体"/>
          <w:color w:val="000000"/>
          <w:sz w:val="24"/>
        </w:rPr>
      </w:pPr>
    </w:p>
    <w:p>
      <w:pPr>
        <w:ind w:left="1397" w:leftChars="208" w:hanging="960" w:hangingChars="400"/>
        <w:rPr>
          <w:rFonts w:ascii="宋体" w:hAnsi="宋体"/>
          <w:color w:val="000000"/>
          <w:sz w:val="24"/>
        </w:rPr>
      </w:pPr>
      <w:r>
        <w:rPr>
          <w:rFonts w:hint="eastAsia" w:ascii="宋体" w:hAnsi="宋体"/>
          <w:color w:val="000000"/>
          <w:sz w:val="24"/>
        </w:rPr>
        <w:t>注：营业执照提供复印件，并加盖公章；</w:t>
      </w:r>
    </w:p>
    <w:p>
      <w:pPr>
        <w:ind w:firstLine="960" w:firstLineChars="400"/>
        <w:rPr>
          <w:rFonts w:ascii="宋体" w:hAnsi="宋体"/>
          <w:color w:val="FF0000"/>
          <w:sz w:val="24"/>
        </w:rPr>
      </w:pPr>
    </w:p>
    <w:p>
      <w:pPr>
        <w:pStyle w:val="2"/>
        <w:rPr>
          <w:sz w:val="24"/>
        </w:rPr>
      </w:pPr>
    </w:p>
    <w:p>
      <w:pPr>
        <w:rPr>
          <w:rFonts w:ascii="宋体" w:hAnsi="宋体"/>
          <w:sz w:val="22"/>
        </w:rPr>
      </w:pPr>
    </w:p>
    <w:p>
      <w:pPr>
        <w:rPr>
          <w:rFonts w:ascii="宋体" w:hAnsi="宋体"/>
          <w:sz w:val="22"/>
        </w:rPr>
      </w:pPr>
    </w:p>
    <w:p>
      <w:pPr>
        <w:rPr>
          <w:rFonts w:ascii="宋体" w:hAnsi="宋体"/>
          <w:sz w:val="22"/>
        </w:rPr>
      </w:pPr>
    </w:p>
    <w:p>
      <w:pPr>
        <w:pStyle w:val="2"/>
        <w:rPr>
          <w:rFonts w:ascii="宋体" w:hAnsi="宋体"/>
          <w:sz w:val="22"/>
        </w:rPr>
      </w:pPr>
    </w:p>
    <w:p>
      <w:pPr>
        <w:rPr>
          <w:rFonts w:ascii="宋体" w:hAnsi="宋体"/>
          <w:sz w:val="22"/>
        </w:rPr>
      </w:pPr>
    </w:p>
    <w:p>
      <w:pPr>
        <w:pStyle w:val="2"/>
        <w:rPr>
          <w:rFonts w:ascii="宋体" w:hAnsi="宋体"/>
          <w:sz w:val="22"/>
        </w:rPr>
      </w:pPr>
    </w:p>
    <w:p>
      <w:pPr>
        <w:rPr>
          <w:rFonts w:ascii="宋体" w:hAnsi="宋体"/>
          <w:sz w:val="22"/>
        </w:rPr>
      </w:pPr>
    </w:p>
    <w:p>
      <w:pPr>
        <w:pStyle w:val="2"/>
        <w:rPr>
          <w:rFonts w:ascii="宋体" w:hAnsi="宋体"/>
          <w:sz w:val="22"/>
        </w:rPr>
      </w:pPr>
    </w:p>
    <w:p>
      <w:pPr>
        <w:rPr>
          <w:rFonts w:ascii="宋体" w:hAnsi="宋体"/>
          <w:sz w:val="22"/>
        </w:rPr>
      </w:pPr>
    </w:p>
    <w:p>
      <w:pPr>
        <w:pStyle w:val="2"/>
        <w:rPr>
          <w:rFonts w:ascii="宋体" w:hAnsi="宋体"/>
          <w:sz w:val="22"/>
        </w:rPr>
      </w:pPr>
    </w:p>
    <w:p>
      <w:pPr>
        <w:rPr>
          <w:rFonts w:ascii="宋体" w:hAnsi="宋体"/>
          <w:sz w:val="22"/>
        </w:rPr>
      </w:pPr>
    </w:p>
    <w:p>
      <w:pPr>
        <w:pStyle w:val="2"/>
        <w:rPr>
          <w:rFonts w:ascii="宋体" w:hAnsi="宋体"/>
          <w:sz w:val="22"/>
        </w:rPr>
      </w:pPr>
    </w:p>
    <w:p>
      <w:pPr>
        <w:rPr>
          <w:rFonts w:ascii="宋体" w:hAnsi="宋体"/>
          <w:sz w:val="22"/>
        </w:rPr>
      </w:pPr>
    </w:p>
    <w:p>
      <w:pPr>
        <w:pStyle w:val="2"/>
        <w:rPr>
          <w:rFonts w:ascii="宋体" w:hAnsi="宋体"/>
          <w:sz w:val="22"/>
        </w:rPr>
      </w:pPr>
    </w:p>
    <w:p/>
    <w:p>
      <w:pPr>
        <w:jc w:val="both"/>
      </w:pPr>
      <w:r>
        <w:rPr>
          <w:rFonts w:hint="eastAsia"/>
          <w:b/>
          <w:sz w:val="36"/>
          <w:szCs w:val="36"/>
        </w:rPr>
        <w:t xml:space="preserve">                                                      </w:t>
      </w:r>
    </w:p>
    <w:sectPr>
      <w:footerReference r:id="rId8" w:type="first"/>
      <w:footerReference r:id="rId7" w:type="default"/>
      <w:pgSz w:w="11906" w:h="16838"/>
      <w:pgMar w:top="1418" w:right="1418" w:bottom="1021"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martSimSun">
    <w:panose1 w:val="02010600030101010101"/>
    <w:charset w:val="86"/>
    <w:family w:val="auto"/>
    <w:pitch w:val="default"/>
    <w:sig w:usb0="00000003" w:usb1="080E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5"/>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5"/>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5"/>
        <w:tab w:val="clear" w:pos="4153"/>
      </w:tabs>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35"/>
        <w:tab w:val="clear" w:pos="4153"/>
      </w:tabs>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17EF1"/>
    <w:multiLevelType w:val="singleLevel"/>
    <w:tmpl w:val="F7917EF1"/>
    <w:lvl w:ilvl="0" w:tentative="0">
      <w:start w:val="3"/>
      <w:numFmt w:val="decimal"/>
      <w:suff w:val="nothing"/>
      <w:lvlText w:val="%1、"/>
      <w:lvlJc w:val="left"/>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5"/>
    <w:multiLevelType w:val="multilevel"/>
    <w:tmpl w:val="00000005"/>
    <w:lvl w:ilvl="0" w:tentative="0">
      <w:start w:val="1"/>
      <w:numFmt w:val="chineseCountingThousand"/>
      <w:lvlText w:val="第%1条"/>
      <w:lvlJc w:val="left"/>
      <w:pPr>
        <w:tabs>
          <w:tab w:val="left" w:pos="958"/>
        </w:tabs>
        <w:ind w:left="0" w:firstLine="567"/>
      </w:pPr>
      <w:rPr>
        <w:rFonts w:hint="eastAsia" w:ascii="宋体" w:hAnsi="宋体" w:eastAsia="宋体"/>
        <w:b/>
        <w:i w:val="0"/>
        <w:sz w:val="21"/>
        <w:szCs w:val="21"/>
        <w:lang w:val="en-US"/>
      </w:rPr>
    </w:lvl>
    <w:lvl w:ilvl="1" w:tentative="0">
      <w:start w:val="1"/>
      <w:numFmt w:val="decimal"/>
      <w:lvlText w:val="%2."/>
      <w:lvlJc w:val="left"/>
      <w:pPr>
        <w:tabs>
          <w:tab w:val="left" w:pos="840"/>
        </w:tabs>
        <w:ind w:left="840" w:hanging="420"/>
      </w:pPr>
      <w:rPr>
        <w:rFonts w:hint="eastAsia"/>
        <w:b/>
      </w:rPr>
    </w:lvl>
    <w:lvl w:ilvl="2" w:tentative="0">
      <w:start w:val="3"/>
      <w:numFmt w:val="japaneseCounting"/>
      <w:lvlText w:val="第%3条"/>
      <w:lvlJc w:val="left"/>
      <w:pPr>
        <w:tabs>
          <w:tab w:val="left" w:pos="2115"/>
        </w:tabs>
        <w:ind w:left="2115" w:hanging="1275"/>
      </w:pPr>
      <w:rPr>
        <w:rFonts w:hint="default"/>
        <w:b/>
        <w:sz w:val="32"/>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chineseCountingThousand"/>
      <w:lvlText w:val="(%1)"/>
      <w:lvlJc w:val="left"/>
      <w:pPr>
        <w:tabs>
          <w:tab w:val="left" w:pos="980"/>
        </w:tabs>
        <w:ind w:left="0" w:firstLine="5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9AFB18"/>
    <w:multiLevelType w:val="singleLevel"/>
    <w:tmpl w:val="009AFB18"/>
    <w:lvl w:ilvl="0" w:tentative="0">
      <w:start w:val="1"/>
      <w:numFmt w:val="decimal"/>
      <w:suff w:val="nothing"/>
      <w:lvlText w:val="（%1）"/>
      <w:lvlJc w:val="left"/>
    </w:lvl>
  </w:abstractNum>
  <w:abstractNum w:abstractNumId="5">
    <w:nsid w:val="0FB544A0"/>
    <w:multiLevelType w:val="singleLevel"/>
    <w:tmpl w:val="0FB544A0"/>
    <w:lvl w:ilvl="0" w:tentative="0">
      <w:start w:val="2"/>
      <w:numFmt w:val="decimal"/>
      <w:suff w:val="nothing"/>
      <w:lvlText w:val="（%1）"/>
      <w:lvlJc w:val="left"/>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2YTlhYTUwMzQwYmEzMjRmM2JjNzgzMGZlYjE3MmMifQ=="/>
  </w:docVars>
  <w:rsids>
    <w:rsidRoot w:val="00724915"/>
    <w:rsid w:val="000003A6"/>
    <w:rsid w:val="0000051E"/>
    <w:rsid w:val="0000324E"/>
    <w:rsid w:val="00003366"/>
    <w:rsid w:val="00007D98"/>
    <w:rsid w:val="00013E33"/>
    <w:rsid w:val="00020545"/>
    <w:rsid w:val="0002229C"/>
    <w:rsid w:val="00024664"/>
    <w:rsid w:val="00025736"/>
    <w:rsid w:val="0003148D"/>
    <w:rsid w:val="000426AD"/>
    <w:rsid w:val="00043429"/>
    <w:rsid w:val="00044F4A"/>
    <w:rsid w:val="00051209"/>
    <w:rsid w:val="00055DBB"/>
    <w:rsid w:val="00056611"/>
    <w:rsid w:val="00060856"/>
    <w:rsid w:val="000667E7"/>
    <w:rsid w:val="00070FAF"/>
    <w:rsid w:val="00074C34"/>
    <w:rsid w:val="00075254"/>
    <w:rsid w:val="00081751"/>
    <w:rsid w:val="00086BD8"/>
    <w:rsid w:val="00087D6B"/>
    <w:rsid w:val="00092BB5"/>
    <w:rsid w:val="000949B1"/>
    <w:rsid w:val="000A1C74"/>
    <w:rsid w:val="000A68C2"/>
    <w:rsid w:val="000B1AD1"/>
    <w:rsid w:val="000B2D80"/>
    <w:rsid w:val="000B46BA"/>
    <w:rsid w:val="000B5720"/>
    <w:rsid w:val="000B5E50"/>
    <w:rsid w:val="000C0989"/>
    <w:rsid w:val="000D4DE5"/>
    <w:rsid w:val="000E003F"/>
    <w:rsid w:val="000F2A55"/>
    <w:rsid w:val="000F5D26"/>
    <w:rsid w:val="000F7B12"/>
    <w:rsid w:val="001001DB"/>
    <w:rsid w:val="00113A0D"/>
    <w:rsid w:val="00113B9D"/>
    <w:rsid w:val="00115D7C"/>
    <w:rsid w:val="00117FDB"/>
    <w:rsid w:val="00127F84"/>
    <w:rsid w:val="00130438"/>
    <w:rsid w:val="00134A0A"/>
    <w:rsid w:val="00141071"/>
    <w:rsid w:val="00151F7D"/>
    <w:rsid w:val="00154834"/>
    <w:rsid w:val="001552C4"/>
    <w:rsid w:val="00156423"/>
    <w:rsid w:val="00161A52"/>
    <w:rsid w:val="0016449D"/>
    <w:rsid w:val="00180006"/>
    <w:rsid w:val="001804F7"/>
    <w:rsid w:val="00180FCA"/>
    <w:rsid w:val="00184C52"/>
    <w:rsid w:val="00185BEA"/>
    <w:rsid w:val="001909C5"/>
    <w:rsid w:val="00193AAA"/>
    <w:rsid w:val="001A4329"/>
    <w:rsid w:val="001B0AED"/>
    <w:rsid w:val="001B3221"/>
    <w:rsid w:val="001B645D"/>
    <w:rsid w:val="001B7F77"/>
    <w:rsid w:val="001C06F7"/>
    <w:rsid w:val="001C0B2E"/>
    <w:rsid w:val="001C59CB"/>
    <w:rsid w:val="001D0D4A"/>
    <w:rsid w:val="001D4321"/>
    <w:rsid w:val="001D6174"/>
    <w:rsid w:val="001F0D75"/>
    <w:rsid w:val="001F3239"/>
    <w:rsid w:val="001F6774"/>
    <w:rsid w:val="00207725"/>
    <w:rsid w:val="00212C5F"/>
    <w:rsid w:val="00214CB1"/>
    <w:rsid w:val="00215290"/>
    <w:rsid w:val="00221D04"/>
    <w:rsid w:val="0022519E"/>
    <w:rsid w:val="00230E79"/>
    <w:rsid w:val="002311E8"/>
    <w:rsid w:val="00237B10"/>
    <w:rsid w:val="0024294F"/>
    <w:rsid w:val="00244C87"/>
    <w:rsid w:val="00253910"/>
    <w:rsid w:val="00254D37"/>
    <w:rsid w:val="00255A21"/>
    <w:rsid w:val="00273B7D"/>
    <w:rsid w:val="002840CD"/>
    <w:rsid w:val="00287336"/>
    <w:rsid w:val="002927D1"/>
    <w:rsid w:val="002A12BB"/>
    <w:rsid w:val="002A1EC8"/>
    <w:rsid w:val="002A45E5"/>
    <w:rsid w:val="002A4890"/>
    <w:rsid w:val="002A5402"/>
    <w:rsid w:val="002A696C"/>
    <w:rsid w:val="002A69AC"/>
    <w:rsid w:val="002B6C33"/>
    <w:rsid w:val="002C1A61"/>
    <w:rsid w:val="002C1DFE"/>
    <w:rsid w:val="002C6341"/>
    <w:rsid w:val="002D079A"/>
    <w:rsid w:val="002D0AF0"/>
    <w:rsid w:val="002D2AF9"/>
    <w:rsid w:val="002D5636"/>
    <w:rsid w:val="002E1703"/>
    <w:rsid w:val="002E6AA4"/>
    <w:rsid w:val="002E7311"/>
    <w:rsid w:val="002E7E1C"/>
    <w:rsid w:val="002F0A5A"/>
    <w:rsid w:val="002F661C"/>
    <w:rsid w:val="002F76B7"/>
    <w:rsid w:val="003026C1"/>
    <w:rsid w:val="00302EFA"/>
    <w:rsid w:val="003065ED"/>
    <w:rsid w:val="00306F8F"/>
    <w:rsid w:val="00311144"/>
    <w:rsid w:val="0031563D"/>
    <w:rsid w:val="0031626B"/>
    <w:rsid w:val="00317F70"/>
    <w:rsid w:val="0032137F"/>
    <w:rsid w:val="00327375"/>
    <w:rsid w:val="00327E84"/>
    <w:rsid w:val="0033363B"/>
    <w:rsid w:val="0033794C"/>
    <w:rsid w:val="00350C47"/>
    <w:rsid w:val="00360A96"/>
    <w:rsid w:val="00360CCB"/>
    <w:rsid w:val="00361D68"/>
    <w:rsid w:val="00367146"/>
    <w:rsid w:val="003726CE"/>
    <w:rsid w:val="003729BD"/>
    <w:rsid w:val="003738FA"/>
    <w:rsid w:val="003779BA"/>
    <w:rsid w:val="003830E6"/>
    <w:rsid w:val="00385101"/>
    <w:rsid w:val="00385A8C"/>
    <w:rsid w:val="00390E90"/>
    <w:rsid w:val="00394057"/>
    <w:rsid w:val="0039603F"/>
    <w:rsid w:val="003A143B"/>
    <w:rsid w:val="003A3736"/>
    <w:rsid w:val="003A3DEC"/>
    <w:rsid w:val="003A5D32"/>
    <w:rsid w:val="003B7421"/>
    <w:rsid w:val="003C68DC"/>
    <w:rsid w:val="003D0B52"/>
    <w:rsid w:val="003D3BBE"/>
    <w:rsid w:val="003D4890"/>
    <w:rsid w:val="003E1E68"/>
    <w:rsid w:val="003E26E0"/>
    <w:rsid w:val="003F7D3A"/>
    <w:rsid w:val="0041176C"/>
    <w:rsid w:val="004200D0"/>
    <w:rsid w:val="00430953"/>
    <w:rsid w:val="00431263"/>
    <w:rsid w:val="00431C98"/>
    <w:rsid w:val="00440784"/>
    <w:rsid w:val="00440CDB"/>
    <w:rsid w:val="0044481B"/>
    <w:rsid w:val="004467BE"/>
    <w:rsid w:val="004618B4"/>
    <w:rsid w:val="00462F46"/>
    <w:rsid w:val="00462FC7"/>
    <w:rsid w:val="004633F1"/>
    <w:rsid w:val="00465A2B"/>
    <w:rsid w:val="00467F69"/>
    <w:rsid w:val="00473DF0"/>
    <w:rsid w:val="00493B85"/>
    <w:rsid w:val="00497078"/>
    <w:rsid w:val="004A038D"/>
    <w:rsid w:val="004A0DB2"/>
    <w:rsid w:val="004A263F"/>
    <w:rsid w:val="004A571A"/>
    <w:rsid w:val="004A755F"/>
    <w:rsid w:val="004B1253"/>
    <w:rsid w:val="004B3075"/>
    <w:rsid w:val="004B32F6"/>
    <w:rsid w:val="004B6BD2"/>
    <w:rsid w:val="004C03D4"/>
    <w:rsid w:val="004C2725"/>
    <w:rsid w:val="004C2A0E"/>
    <w:rsid w:val="004D6155"/>
    <w:rsid w:val="004E21F9"/>
    <w:rsid w:val="004E2B93"/>
    <w:rsid w:val="004E6013"/>
    <w:rsid w:val="004F0BEF"/>
    <w:rsid w:val="004F7804"/>
    <w:rsid w:val="00500B62"/>
    <w:rsid w:val="00500C71"/>
    <w:rsid w:val="00501C1F"/>
    <w:rsid w:val="005051D5"/>
    <w:rsid w:val="005146C2"/>
    <w:rsid w:val="005165DD"/>
    <w:rsid w:val="00516601"/>
    <w:rsid w:val="005275A9"/>
    <w:rsid w:val="00527DEE"/>
    <w:rsid w:val="00530E1B"/>
    <w:rsid w:val="00532138"/>
    <w:rsid w:val="005324CD"/>
    <w:rsid w:val="005367E9"/>
    <w:rsid w:val="005419D4"/>
    <w:rsid w:val="00542150"/>
    <w:rsid w:val="005438FF"/>
    <w:rsid w:val="0055610F"/>
    <w:rsid w:val="005565CE"/>
    <w:rsid w:val="00560932"/>
    <w:rsid w:val="00563F2D"/>
    <w:rsid w:val="00567F3C"/>
    <w:rsid w:val="005719FA"/>
    <w:rsid w:val="005748F4"/>
    <w:rsid w:val="00580C24"/>
    <w:rsid w:val="00583FEF"/>
    <w:rsid w:val="005872F9"/>
    <w:rsid w:val="00592D6A"/>
    <w:rsid w:val="0059485C"/>
    <w:rsid w:val="005B1E9B"/>
    <w:rsid w:val="005B7183"/>
    <w:rsid w:val="005C0B2E"/>
    <w:rsid w:val="005C20DC"/>
    <w:rsid w:val="005C6579"/>
    <w:rsid w:val="005D1301"/>
    <w:rsid w:val="005D77B2"/>
    <w:rsid w:val="005E1F31"/>
    <w:rsid w:val="005E52D0"/>
    <w:rsid w:val="005F3BA5"/>
    <w:rsid w:val="005F3D45"/>
    <w:rsid w:val="005F7C2E"/>
    <w:rsid w:val="00602ECA"/>
    <w:rsid w:val="006045C2"/>
    <w:rsid w:val="006102AD"/>
    <w:rsid w:val="00610B29"/>
    <w:rsid w:val="0061343A"/>
    <w:rsid w:val="00621DDC"/>
    <w:rsid w:val="006324DA"/>
    <w:rsid w:val="00634E8D"/>
    <w:rsid w:val="00637524"/>
    <w:rsid w:val="00640053"/>
    <w:rsid w:val="006400F5"/>
    <w:rsid w:val="00640D47"/>
    <w:rsid w:val="0064578A"/>
    <w:rsid w:val="00654F65"/>
    <w:rsid w:val="00657A4B"/>
    <w:rsid w:val="00664BD5"/>
    <w:rsid w:val="00667FEC"/>
    <w:rsid w:val="00672A62"/>
    <w:rsid w:val="0067606E"/>
    <w:rsid w:val="006827FF"/>
    <w:rsid w:val="006863B1"/>
    <w:rsid w:val="006A1A05"/>
    <w:rsid w:val="006A23C2"/>
    <w:rsid w:val="006A3EA3"/>
    <w:rsid w:val="006A421E"/>
    <w:rsid w:val="006A593E"/>
    <w:rsid w:val="006B4320"/>
    <w:rsid w:val="006B4685"/>
    <w:rsid w:val="006B536C"/>
    <w:rsid w:val="006C089A"/>
    <w:rsid w:val="006C3F80"/>
    <w:rsid w:val="006C468B"/>
    <w:rsid w:val="006C6EC2"/>
    <w:rsid w:val="006C79BB"/>
    <w:rsid w:val="006D1303"/>
    <w:rsid w:val="006D17C4"/>
    <w:rsid w:val="006D6F27"/>
    <w:rsid w:val="006D7382"/>
    <w:rsid w:val="006E078A"/>
    <w:rsid w:val="006E4584"/>
    <w:rsid w:val="006E76D1"/>
    <w:rsid w:val="006E7B43"/>
    <w:rsid w:val="006F1809"/>
    <w:rsid w:val="006F413A"/>
    <w:rsid w:val="006F70B2"/>
    <w:rsid w:val="00700715"/>
    <w:rsid w:val="0070074E"/>
    <w:rsid w:val="0072125B"/>
    <w:rsid w:val="00724915"/>
    <w:rsid w:val="00727C79"/>
    <w:rsid w:val="007347CB"/>
    <w:rsid w:val="00736539"/>
    <w:rsid w:val="00742C3A"/>
    <w:rsid w:val="00754CEE"/>
    <w:rsid w:val="00755CFC"/>
    <w:rsid w:val="00761578"/>
    <w:rsid w:val="00762C91"/>
    <w:rsid w:val="0076409D"/>
    <w:rsid w:val="00767D25"/>
    <w:rsid w:val="00767E84"/>
    <w:rsid w:val="00770A79"/>
    <w:rsid w:val="00772906"/>
    <w:rsid w:val="00774F1D"/>
    <w:rsid w:val="00776455"/>
    <w:rsid w:val="00777A7E"/>
    <w:rsid w:val="007819A3"/>
    <w:rsid w:val="00782938"/>
    <w:rsid w:val="00783A5F"/>
    <w:rsid w:val="00786CB4"/>
    <w:rsid w:val="0079229E"/>
    <w:rsid w:val="00793F1C"/>
    <w:rsid w:val="007A1519"/>
    <w:rsid w:val="007A3D13"/>
    <w:rsid w:val="007B2EAD"/>
    <w:rsid w:val="007B4CD1"/>
    <w:rsid w:val="007C2DA3"/>
    <w:rsid w:val="007C2E8F"/>
    <w:rsid w:val="007C7FB6"/>
    <w:rsid w:val="007D30A6"/>
    <w:rsid w:val="007D7D48"/>
    <w:rsid w:val="007E50AB"/>
    <w:rsid w:val="007E7B38"/>
    <w:rsid w:val="007F3188"/>
    <w:rsid w:val="007F603B"/>
    <w:rsid w:val="008021D2"/>
    <w:rsid w:val="008030AE"/>
    <w:rsid w:val="008210D2"/>
    <w:rsid w:val="00825347"/>
    <w:rsid w:val="00830922"/>
    <w:rsid w:val="00834011"/>
    <w:rsid w:val="00834B5A"/>
    <w:rsid w:val="00835089"/>
    <w:rsid w:val="00835939"/>
    <w:rsid w:val="00841EDE"/>
    <w:rsid w:val="00843AFE"/>
    <w:rsid w:val="00845A48"/>
    <w:rsid w:val="00845FF2"/>
    <w:rsid w:val="00846231"/>
    <w:rsid w:val="008504EC"/>
    <w:rsid w:val="00850DE3"/>
    <w:rsid w:val="0086369E"/>
    <w:rsid w:val="00865D09"/>
    <w:rsid w:val="00867815"/>
    <w:rsid w:val="00870DBC"/>
    <w:rsid w:val="00871404"/>
    <w:rsid w:val="00875CDF"/>
    <w:rsid w:val="008768DB"/>
    <w:rsid w:val="00876D55"/>
    <w:rsid w:val="00876E34"/>
    <w:rsid w:val="00882E9C"/>
    <w:rsid w:val="00883B60"/>
    <w:rsid w:val="00890814"/>
    <w:rsid w:val="00891172"/>
    <w:rsid w:val="0089268F"/>
    <w:rsid w:val="00893616"/>
    <w:rsid w:val="00895941"/>
    <w:rsid w:val="00895DA9"/>
    <w:rsid w:val="008A29B2"/>
    <w:rsid w:val="008A2A1F"/>
    <w:rsid w:val="008A325B"/>
    <w:rsid w:val="008A5608"/>
    <w:rsid w:val="008A7E2E"/>
    <w:rsid w:val="008B72F1"/>
    <w:rsid w:val="008B7F9B"/>
    <w:rsid w:val="008C2E26"/>
    <w:rsid w:val="008D07F7"/>
    <w:rsid w:val="008D284B"/>
    <w:rsid w:val="008D54A3"/>
    <w:rsid w:val="008E18A1"/>
    <w:rsid w:val="008E349D"/>
    <w:rsid w:val="008E57DE"/>
    <w:rsid w:val="008F0CCE"/>
    <w:rsid w:val="008F5961"/>
    <w:rsid w:val="00907071"/>
    <w:rsid w:val="009075CE"/>
    <w:rsid w:val="0091026F"/>
    <w:rsid w:val="00915A10"/>
    <w:rsid w:val="0092015E"/>
    <w:rsid w:val="009205C1"/>
    <w:rsid w:val="00925359"/>
    <w:rsid w:val="00930401"/>
    <w:rsid w:val="00935568"/>
    <w:rsid w:val="009359A3"/>
    <w:rsid w:val="00936B34"/>
    <w:rsid w:val="009415A4"/>
    <w:rsid w:val="0095342E"/>
    <w:rsid w:val="00955AB6"/>
    <w:rsid w:val="00955C5D"/>
    <w:rsid w:val="009611FD"/>
    <w:rsid w:val="00962794"/>
    <w:rsid w:val="00962FE0"/>
    <w:rsid w:val="009666B1"/>
    <w:rsid w:val="00967793"/>
    <w:rsid w:val="00970C2D"/>
    <w:rsid w:val="00973692"/>
    <w:rsid w:val="00975C55"/>
    <w:rsid w:val="00976FDD"/>
    <w:rsid w:val="00980AF6"/>
    <w:rsid w:val="009818B9"/>
    <w:rsid w:val="00982355"/>
    <w:rsid w:val="00984071"/>
    <w:rsid w:val="0099088B"/>
    <w:rsid w:val="00993B83"/>
    <w:rsid w:val="009944EA"/>
    <w:rsid w:val="00995FDA"/>
    <w:rsid w:val="009A0AD3"/>
    <w:rsid w:val="009A1C59"/>
    <w:rsid w:val="009A2DC0"/>
    <w:rsid w:val="009A3186"/>
    <w:rsid w:val="009A38D0"/>
    <w:rsid w:val="009B5947"/>
    <w:rsid w:val="009B68D8"/>
    <w:rsid w:val="009B75CC"/>
    <w:rsid w:val="009C08BD"/>
    <w:rsid w:val="009D6E91"/>
    <w:rsid w:val="009E10C3"/>
    <w:rsid w:val="009E195B"/>
    <w:rsid w:val="009E41E6"/>
    <w:rsid w:val="009E4CD0"/>
    <w:rsid w:val="009E5519"/>
    <w:rsid w:val="009E7D38"/>
    <w:rsid w:val="009F0166"/>
    <w:rsid w:val="009F29AB"/>
    <w:rsid w:val="009F5AA5"/>
    <w:rsid w:val="009F5B74"/>
    <w:rsid w:val="009F6E63"/>
    <w:rsid w:val="009F73F0"/>
    <w:rsid w:val="00A023A0"/>
    <w:rsid w:val="00A02A7A"/>
    <w:rsid w:val="00A108B6"/>
    <w:rsid w:val="00A22973"/>
    <w:rsid w:val="00A23EC8"/>
    <w:rsid w:val="00A32C66"/>
    <w:rsid w:val="00A33E46"/>
    <w:rsid w:val="00A35DEF"/>
    <w:rsid w:val="00A409F0"/>
    <w:rsid w:val="00A4220A"/>
    <w:rsid w:val="00A423CA"/>
    <w:rsid w:val="00A42C74"/>
    <w:rsid w:val="00A44706"/>
    <w:rsid w:val="00A46881"/>
    <w:rsid w:val="00A4797D"/>
    <w:rsid w:val="00A5103E"/>
    <w:rsid w:val="00A52764"/>
    <w:rsid w:val="00A528BF"/>
    <w:rsid w:val="00A57478"/>
    <w:rsid w:val="00A602BE"/>
    <w:rsid w:val="00A61F21"/>
    <w:rsid w:val="00A626F7"/>
    <w:rsid w:val="00A64646"/>
    <w:rsid w:val="00A65F64"/>
    <w:rsid w:val="00A738A0"/>
    <w:rsid w:val="00A747D7"/>
    <w:rsid w:val="00A77164"/>
    <w:rsid w:val="00A77EB7"/>
    <w:rsid w:val="00A81985"/>
    <w:rsid w:val="00A924B7"/>
    <w:rsid w:val="00A92E20"/>
    <w:rsid w:val="00A9353F"/>
    <w:rsid w:val="00A97AE3"/>
    <w:rsid w:val="00A97E8C"/>
    <w:rsid w:val="00AA60F1"/>
    <w:rsid w:val="00AA62AF"/>
    <w:rsid w:val="00AA6779"/>
    <w:rsid w:val="00AA6911"/>
    <w:rsid w:val="00AB1205"/>
    <w:rsid w:val="00AC069B"/>
    <w:rsid w:val="00AD2870"/>
    <w:rsid w:val="00AD4E6A"/>
    <w:rsid w:val="00AE4974"/>
    <w:rsid w:val="00AF22FB"/>
    <w:rsid w:val="00AF5222"/>
    <w:rsid w:val="00AF5AD3"/>
    <w:rsid w:val="00AF6705"/>
    <w:rsid w:val="00B01DE7"/>
    <w:rsid w:val="00B0263D"/>
    <w:rsid w:val="00B0471B"/>
    <w:rsid w:val="00B1469E"/>
    <w:rsid w:val="00B16A6A"/>
    <w:rsid w:val="00B16D12"/>
    <w:rsid w:val="00B175F0"/>
    <w:rsid w:val="00B252F2"/>
    <w:rsid w:val="00B30E8C"/>
    <w:rsid w:val="00B32696"/>
    <w:rsid w:val="00B33D07"/>
    <w:rsid w:val="00B34BF5"/>
    <w:rsid w:val="00B35B82"/>
    <w:rsid w:val="00B413EB"/>
    <w:rsid w:val="00B4446E"/>
    <w:rsid w:val="00B53A46"/>
    <w:rsid w:val="00B542F2"/>
    <w:rsid w:val="00B5658E"/>
    <w:rsid w:val="00B6032D"/>
    <w:rsid w:val="00B6400D"/>
    <w:rsid w:val="00B65B6F"/>
    <w:rsid w:val="00B65DB5"/>
    <w:rsid w:val="00B73915"/>
    <w:rsid w:val="00B75C2F"/>
    <w:rsid w:val="00B8738C"/>
    <w:rsid w:val="00B91858"/>
    <w:rsid w:val="00B92466"/>
    <w:rsid w:val="00B92667"/>
    <w:rsid w:val="00B9375B"/>
    <w:rsid w:val="00B940AF"/>
    <w:rsid w:val="00BA1F79"/>
    <w:rsid w:val="00BA39A0"/>
    <w:rsid w:val="00BA7A09"/>
    <w:rsid w:val="00BB337F"/>
    <w:rsid w:val="00BB4370"/>
    <w:rsid w:val="00BC1C4C"/>
    <w:rsid w:val="00BC46B6"/>
    <w:rsid w:val="00BC7A2B"/>
    <w:rsid w:val="00BD39CF"/>
    <w:rsid w:val="00BD3E66"/>
    <w:rsid w:val="00BD527F"/>
    <w:rsid w:val="00BE0CEC"/>
    <w:rsid w:val="00BE3542"/>
    <w:rsid w:val="00BF219C"/>
    <w:rsid w:val="00BF2D88"/>
    <w:rsid w:val="00C0294B"/>
    <w:rsid w:val="00C13760"/>
    <w:rsid w:val="00C25650"/>
    <w:rsid w:val="00C259B5"/>
    <w:rsid w:val="00C31C65"/>
    <w:rsid w:val="00C40AF2"/>
    <w:rsid w:val="00C44BE3"/>
    <w:rsid w:val="00C46A7A"/>
    <w:rsid w:val="00C56337"/>
    <w:rsid w:val="00C61B05"/>
    <w:rsid w:val="00C731B3"/>
    <w:rsid w:val="00C83078"/>
    <w:rsid w:val="00C90CFD"/>
    <w:rsid w:val="00C93BE4"/>
    <w:rsid w:val="00C964AC"/>
    <w:rsid w:val="00C97DAD"/>
    <w:rsid w:val="00CA01A9"/>
    <w:rsid w:val="00CA0362"/>
    <w:rsid w:val="00CA2E1F"/>
    <w:rsid w:val="00CB5942"/>
    <w:rsid w:val="00CB66F7"/>
    <w:rsid w:val="00CC0C27"/>
    <w:rsid w:val="00CC158C"/>
    <w:rsid w:val="00CC57DD"/>
    <w:rsid w:val="00CD1D55"/>
    <w:rsid w:val="00CD28A0"/>
    <w:rsid w:val="00CD29E0"/>
    <w:rsid w:val="00CD2B2D"/>
    <w:rsid w:val="00CD4591"/>
    <w:rsid w:val="00CE4006"/>
    <w:rsid w:val="00CE4DB2"/>
    <w:rsid w:val="00CE64DA"/>
    <w:rsid w:val="00CF5A89"/>
    <w:rsid w:val="00D02BCE"/>
    <w:rsid w:val="00D0557F"/>
    <w:rsid w:val="00D10B46"/>
    <w:rsid w:val="00D11FE2"/>
    <w:rsid w:val="00D218C7"/>
    <w:rsid w:val="00D31F55"/>
    <w:rsid w:val="00D37EA9"/>
    <w:rsid w:val="00D40AF6"/>
    <w:rsid w:val="00D4212E"/>
    <w:rsid w:val="00D427A5"/>
    <w:rsid w:val="00D504F1"/>
    <w:rsid w:val="00D52657"/>
    <w:rsid w:val="00D6034E"/>
    <w:rsid w:val="00D60F4A"/>
    <w:rsid w:val="00D65E8D"/>
    <w:rsid w:val="00D668BA"/>
    <w:rsid w:val="00D75DAB"/>
    <w:rsid w:val="00D81122"/>
    <w:rsid w:val="00D82567"/>
    <w:rsid w:val="00D837A0"/>
    <w:rsid w:val="00D866FB"/>
    <w:rsid w:val="00D902FE"/>
    <w:rsid w:val="00DA26B6"/>
    <w:rsid w:val="00DA32E1"/>
    <w:rsid w:val="00DA3A08"/>
    <w:rsid w:val="00DA4E74"/>
    <w:rsid w:val="00DA51CD"/>
    <w:rsid w:val="00DA70CF"/>
    <w:rsid w:val="00DA7399"/>
    <w:rsid w:val="00DB33BA"/>
    <w:rsid w:val="00DB58CE"/>
    <w:rsid w:val="00DC00D2"/>
    <w:rsid w:val="00DC7CC9"/>
    <w:rsid w:val="00DD336F"/>
    <w:rsid w:val="00DE1A13"/>
    <w:rsid w:val="00DE7AB7"/>
    <w:rsid w:val="00DF1C81"/>
    <w:rsid w:val="00DF6EBF"/>
    <w:rsid w:val="00DF705B"/>
    <w:rsid w:val="00E0639B"/>
    <w:rsid w:val="00E12CCA"/>
    <w:rsid w:val="00E14BA8"/>
    <w:rsid w:val="00E16B5D"/>
    <w:rsid w:val="00E170CC"/>
    <w:rsid w:val="00E17F97"/>
    <w:rsid w:val="00E236FC"/>
    <w:rsid w:val="00E23ACD"/>
    <w:rsid w:val="00E2675F"/>
    <w:rsid w:val="00E31F60"/>
    <w:rsid w:val="00E325D0"/>
    <w:rsid w:val="00E44045"/>
    <w:rsid w:val="00E47A23"/>
    <w:rsid w:val="00E579EE"/>
    <w:rsid w:val="00E64994"/>
    <w:rsid w:val="00E64DED"/>
    <w:rsid w:val="00E67F3B"/>
    <w:rsid w:val="00E70C87"/>
    <w:rsid w:val="00E72E74"/>
    <w:rsid w:val="00E73397"/>
    <w:rsid w:val="00E7381A"/>
    <w:rsid w:val="00E7466B"/>
    <w:rsid w:val="00E75F15"/>
    <w:rsid w:val="00E76A41"/>
    <w:rsid w:val="00E80121"/>
    <w:rsid w:val="00E832F2"/>
    <w:rsid w:val="00E93CA7"/>
    <w:rsid w:val="00E9569D"/>
    <w:rsid w:val="00E979AC"/>
    <w:rsid w:val="00EA7C6D"/>
    <w:rsid w:val="00EB413E"/>
    <w:rsid w:val="00EB7AEF"/>
    <w:rsid w:val="00EC27DE"/>
    <w:rsid w:val="00EC39FD"/>
    <w:rsid w:val="00ED142F"/>
    <w:rsid w:val="00ED1683"/>
    <w:rsid w:val="00ED468A"/>
    <w:rsid w:val="00ED4B3E"/>
    <w:rsid w:val="00ED6CBD"/>
    <w:rsid w:val="00EE0106"/>
    <w:rsid w:val="00EE1814"/>
    <w:rsid w:val="00EE469B"/>
    <w:rsid w:val="00EE5705"/>
    <w:rsid w:val="00EF0333"/>
    <w:rsid w:val="00EF104A"/>
    <w:rsid w:val="00F03BFF"/>
    <w:rsid w:val="00F04133"/>
    <w:rsid w:val="00F06534"/>
    <w:rsid w:val="00F133D4"/>
    <w:rsid w:val="00F17987"/>
    <w:rsid w:val="00F22EE1"/>
    <w:rsid w:val="00F23DF6"/>
    <w:rsid w:val="00F23E1D"/>
    <w:rsid w:val="00F23F9D"/>
    <w:rsid w:val="00F25A26"/>
    <w:rsid w:val="00F354FB"/>
    <w:rsid w:val="00F35784"/>
    <w:rsid w:val="00F35919"/>
    <w:rsid w:val="00F37145"/>
    <w:rsid w:val="00F37BE9"/>
    <w:rsid w:val="00F41057"/>
    <w:rsid w:val="00F478D6"/>
    <w:rsid w:val="00F51992"/>
    <w:rsid w:val="00F54547"/>
    <w:rsid w:val="00F54ABF"/>
    <w:rsid w:val="00F57D0E"/>
    <w:rsid w:val="00F604D4"/>
    <w:rsid w:val="00F67094"/>
    <w:rsid w:val="00F67BA3"/>
    <w:rsid w:val="00F7078A"/>
    <w:rsid w:val="00F74E24"/>
    <w:rsid w:val="00F754D5"/>
    <w:rsid w:val="00F7556A"/>
    <w:rsid w:val="00F7646D"/>
    <w:rsid w:val="00F77762"/>
    <w:rsid w:val="00F874E3"/>
    <w:rsid w:val="00F923AF"/>
    <w:rsid w:val="00F9419A"/>
    <w:rsid w:val="00F956EB"/>
    <w:rsid w:val="00F975A5"/>
    <w:rsid w:val="00FA20B9"/>
    <w:rsid w:val="00FA477F"/>
    <w:rsid w:val="00FB08C9"/>
    <w:rsid w:val="00FB147C"/>
    <w:rsid w:val="00FB38D0"/>
    <w:rsid w:val="00FB3ADC"/>
    <w:rsid w:val="00FB4F5B"/>
    <w:rsid w:val="00FB54D6"/>
    <w:rsid w:val="00FC1DBC"/>
    <w:rsid w:val="00FC225C"/>
    <w:rsid w:val="00FC7EB1"/>
    <w:rsid w:val="00FE29AE"/>
    <w:rsid w:val="00FE55B9"/>
    <w:rsid w:val="00FE7127"/>
    <w:rsid w:val="00FE7537"/>
    <w:rsid w:val="00FE7E5E"/>
    <w:rsid w:val="00FF7322"/>
    <w:rsid w:val="00FF74DC"/>
    <w:rsid w:val="00FF773D"/>
    <w:rsid w:val="01283295"/>
    <w:rsid w:val="013F259C"/>
    <w:rsid w:val="017D5A58"/>
    <w:rsid w:val="01B83E2F"/>
    <w:rsid w:val="01D55AD3"/>
    <w:rsid w:val="02033DFA"/>
    <w:rsid w:val="021F731A"/>
    <w:rsid w:val="02210C06"/>
    <w:rsid w:val="026474EE"/>
    <w:rsid w:val="026F45A7"/>
    <w:rsid w:val="02F95D79"/>
    <w:rsid w:val="03806F86"/>
    <w:rsid w:val="0393416B"/>
    <w:rsid w:val="03ED51F7"/>
    <w:rsid w:val="03F31577"/>
    <w:rsid w:val="042233B1"/>
    <w:rsid w:val="04231491"/>
    <w:rsid w:val="04252E63"/>
    <w:rsid w:val="043471CC"/>
    <w:rsid w:val="05062CC2"/>
    <w:rsid w:val="051B1B9F"/>
    <w:rsid w:val="05514E3E"/>
    <w:rsid w:val="05720E24"/>
    <w:rsid w:val="05E44808"/>
    <w:rsid w:val="060F2843"/>
    <w:rsid w:val="062C58F9"/>
    <w:rsid w:val="06307187"/>
    <w:rsid w:val="067B29CE"/>
    <w:rsid w:val="06AC5F82"/>
    <w:rsid w:val="07687181"/>
    <w:rsid w:val="079159A1"/>
    <w:rsid w:val="08740015"/>
    <w:rsid w:val="087D3A94"/>
    <w:rsid w:val="090F7940"/>
    <w:rsid w:val="09236DC5"/>
    <w:rsid w:val="094A591E"/>
    <w:rsid w:val="097F6FAE"/>
    <w:rsid w:val="09EA163E"/>
    <w:rsid w:val="0A416970"/>
    <w:rsid w:val="0A765D15"/>
    <w:rsid w:val="0A786C09"/>
    <w:rsid w:val="0AC736EC"/>
    <w:rsid w:val="0AD651A1"/>
    <w:rsid w:val="0ADA2692"/>
    <w:rsid w:val="0AF949AE"/>
    <w:rsid w:val="0B063EE6"/>
    <w:rsid w:val="0B161B3C"/>
    <w:rsid w:val="0B1E4930"/>
    <w:rsid w:val="0B2D2B37"/>
    <w:rsid w:val="0B922BD0"/>
    <w:rsid w:val="0B951E36"/>
    <w:rsid w:val="0BB93D26"/>
    <w:rsid w:val="0BEB57DF"/>
    <w:rsid w:val="0BF25F1E"/>
    <w:rsid w:val="0C605BA6"/>
    <w:rsid w:val="0D2164C5"/>
    <w:rsid w:val="0D387EA7"/>
    <w:rsid w:val="0D3E2172"/>
    <w:rsid w:val="0D4151CC"/>
    <w:rsid w:val="0D6A287C"/>
    <w:rsid w:val="0D926985"/>
    <w:rsid w:val="0D9C30EB"/>
    <w:rsid w:val="0E0F540F"/>
    <w:rsid w:val="0E112E0A"/>
    <w:rsid w:val="0E306C9E"/>
    <w:rsid w:val="0E3552AF"/>
    <w:rsid w:val="0E4427A9"/>
    <w:rsid w:val="0E833DCE"/>
    <w:rsid w:val="0E9D70ED"/>
    <w:rsid w:val="0EBB7EDC"/>
    <w:rsid w:val="0EBC653B"/>
    <w:rsid w:val="0EDD15F6"/>
    <w:rsid w:val="0EED4F91"/>
    <w:rsid w:val="0F037D8A"/>
    <w:rsid w:val="0F19203C"/>
    <w:rsid w:val="0F406633"/>
    <w:rsid w:val="0F4E304F"/>
    <w:rsid w:val="0F526473"/>
    <w:rsid w:val="0F623D0B"/>
    <w:rsid w:val="0F9B1F41"/>
    <w:rsid w:val="0FC1695C"/>
    <w:rsid w:val="0FDC015F"/>
    <w:rsid w:val="10076A7F"/>
    <w:rsid w:val="10881212"/>
    <w:rsid w:val="108C3DC5"/>
    <w:rsid w:val="10BC0215"/>
    <w:rsid w:val="10CE1CC4"/>
    <w:rsid w:val="125E645C"/>
    <w:rsid w:val="125F31C5"/>
    <w:rsid w:val="12A13D28"/>
    <w:rsid w:val="12AB1520"/>
    <w:rsid w:val="12B42F20"/>
    <w:rsid w:val="12CC1D8F"/>
    <w:rsid w:val="137B08F6"/>
    <w:rsid w:val="142C39B8"/>
    <w:rsid w:val="142E1CD0"/>
    <w:rsid w:val="14502A59"/>
    <w:rsid w:val="14A27CFE"/>
    <w:rsid w:val="14AF76CB"/>
    <w:rsid w:val="14B647CD"/>
    <w:rsid w:val="15030BDD"/>
    <w:rsid w:val="158C170B"/>
    <w:rsid w:val="15EB42F1"/>
    <w:rsid w:val="161C2B3E"/>
    <w:rsid w:val="161E12A7"/>
    <w:rsid w:val="1661096E"/>
    <w:rsid w:val="16996421"/>
    <w:rsid w:val="16F46D27"/>
    <w:rsid w:val="16FC7E71"/>
    <w:rsid w:val="171E6772"/>
    <w:rsid w:val="174A673C"/>
    <w:rsid w:val="184E3F65"/>
    <w:rsid w:val="188C5456"/>
    <w:rsid w:val="18B057C0"/>
    <w:rsid w:val="18B4224D"/>
    <w:rsid w:val="190D15D1"/>
    <w:rsid w:val="19317882"/>
    <w:rsid w:val="19460B99"/>
    <w:rsid w:val="19562EFC"/>
    <w:rsid w:val="195633B5"/>
    <w:rsid w:val="19D91F41"/>
    <w:rsid w:val="19D96B46"/>
    <w:rsid w:val="1A91261D"/>
    <w:rsid w:val="1AFB7074"/>
    <w:rsid w:val="1B214753"/>
    <w:rsid w:val="1B2C09B3"/>
    <w:rsid w:val="1B2E348B"/>
    <w:rsid w:val="1B326960"/>
    <w:rsid w:val="1B5F00C5"/>
    <w:rsid w:val="1B6B022C"/>
    <w:rsid w:val="1BEA514D"/>
    <w:rsid w:val="1BF81F4D"/>
    <w:rsid w:val="1C950D42"/>
    <w:rsid w:val="1CD30133"/>
    <w:rsid w:val="1D246E3D"/>
    <w:rsid w:val="1D293A6E"/>
    <w:rsid w:val="1D7454E4"/>
    <w:rsid w:val="1DA76EE7"/>
    <w:rsid w:val="1DC90A37"/>
    <w:rsid w:val="1DFA7FB2"/>
    <w:rsid w:val="1DFE521F"/>
    <w:rsid w:val="1E255266"/>
    <w:rsid w:val="1E7D51AC"/>
    <w:rsid w:val="1E906EE4"/>
    <w:rsid w:val="1ED34268"/>
    <w:rsid w:val="1EFE4140"/>
    <w:rsid w:val="1F7543FA"/>
    <w:rsid w:val="1FB00FC7"/>
    <w:rsid w:val="1FB23CB9"/>
    <w:rsid w:val="1FF874DF"/>
    <w:rsid w:val="204638BE"/>
    <w:rsid w:val="206B04C1"/>
    <w:rsid w:val="20820CAD"/>
    <w:rsid w:val="20964898"/>
    <w:rsid w:val="20F31CA9"/>
    <w:rsid w:val="20F61030"/>
    <w:rsid w:val="20F71718"/>
    <w:rsid w:val="211014F1"/>
    <w:rsid w:val="21232287"/>
    <w:rsid w:val="21393401"/>
    <w:rsid w:val="2163106E"/>
    <w:rsid w:val="21AF080B"/>
    <w:rsid w:val="21E5041F"/>
    <w:rsid w:val="21E707D6"/>
    <w:rsid w:val="221140A1"/>
    <w:rsid w:val="224401DC"/>
    <w:rsid w:val="22704C39"/>
    <w:rsid w:val="22CB4246"/>
    <w:rsid w:val="22EB3FC4"/>
    <w:rsid w:val="23040255"/>
    <w:rsid w:val="230512D0"/>
    <w:rsid w:val="235E3DF2"/>
    <w:rsid w:val="23633E82"/>
    <w:rsid w:val="239006C7"/>
    <w:rsid w:val="24322222"/>
    <w:rsid w:val="244E4916"/>
    <w:rsid w:val="24831FDA"/>
    <w:rsid w:val="24B77627"/>
    <w:rsid w:val="24DD05AC"/>
    <w:rsid w:val="250A3632"/>
    <w:rsid w:val="2549755C"/>
    <w:rsid w:val="25CE4E4B"/>
    <w:rsid w:val="25D0095F"/>
    <w:rsid w:val="25F74B93"/>
    <w:rsid w:val="267023F7"/>
    <w:rsid w:val="26DD66EE"/>
    <w:rsid w:val="274609A9"/>
    <w:rsid w:val="275A3337"/>
    <w:rsid w:val="275D3BB9"/>
    <w:rsid w:val="275E104E"/>
    <w:rsid w:val="27893EC7"/>
    <w:rsid w:val="27910EB2"/>
    <w:rsid w:val="27941CFF"/>
    <w:rsid w:val="28177DC2"/>
    <w:rsid w:val="281B106D"/>
    <w:rsid w:val="290D0C94"/>
    <w:rsid w:val="294C7245"/>
    <w:rsid w:val="296C6A09"/>
    <w:rsid w:val="297E5E51"/>
    <w:rsid w:val="29AC12B4"/>
    <w:rsid w:val="29BA109E"/>
    <w:rsid w:val="29C54E43"/>
    <w:rsid w:val="29FA5F08"/>
    <w:rsid w:val="2AAA1BB0"/>
    <w:rsid w:val="2AE76A01"/>
    <w:rsid w:val="2B3F7F48"/>
    <w:rsid w:val="2B901C85"/>
    <w:rsid w:val="2BAC504F"/>
    <w:rsid w:val="2BDE22FD"/>
    <w:rsid w:val="2BE87470"/>
    <w:rsid w:val="2BEF546E"/>
    <w:rsid w:val="2BF53250"/>
    <w:rsid w:val="2C18689A"/>
    <w:rsid w:val="2C267886"/>
    <w:rsid w:val="2C271DE5"/>
    <w:rsid w:val="2C2A2FF0"/>
    <w:rsid w:val="2CE916B2"/>
    <w:rsid w:val="2D262D0F"/>
    <w:rsid w:val="2D2D43D2"/>
    <w:rsid w:val="2D654495"/>
    <w:rsid w:val="2D7E0911"/>
    <w:rsid w:val="2D9B2143"/>
    <w:rsid w:val="2DE966DA"/>
    <w:rsid w:val="2E0F19C7"/>
    <w:rsid w:val="2E7B5C02"/>
    <w:rsid w:val="2EB5240C"/>
    <w:rsid w:val="2EBC257E"/>
    <w:rsid w:val="2F300C12"/>
    <w:rsid w:val="2F73680E"/>
    <w:rsid w:val="2F754015"/>
    <w:rsid w:val="2F9B758A"/>
    <w:rsid w:val="2FAC3DB4"/>
    <w:rsid w:val="2FF14CFB"/>
    <w:rsid w:val="304B2C99"/>
    <w:rsid w:val="306D437C"/>
    <w:rsid w:val="30A51685"/>
    <w:rsid w:val="30BD4333"/>
    <w:rsid w:val="30CC4D09"/>
    <w:rsid w:val="30D82A80"/>
    <w:rsid w:val="31343915"/>
    <w:rsid w:val="314712AD"/>
    <w:rsid w:val="3170692B"/>
    <w:rsid w:val="319B2302"/>
    <w:rsid w:val="320B2801"/>
    <w:rsid w:val="325C2E18"/>
    <w:rsid w:val="32E263D0"/>
    <w:rsid w:val="33120759"/>
    <w:rsid w:val="331F182B"/>
    <w:rsid w:val="334F28D3"/>
    <w:rsid w:val="337B4EF0"/>
    <w:rsid w:val="33844C55"/>
    <w:rsid w:val="33884F17"/>
    <w:rsid w:val="33B83654"/>
    <w:rsid w:val="33BB121F"/>
    <w:rsid w:val="340B2214"/>
    <w:rsid w:val="34A2774B"/>
    <w:rsid w:val="34A95C2B"/>
    <w:rsid w:val="354303DC"/>
    <w:rsid w:val="355C3543"/>
    <w:rsid w:val="35714DC7"/>
    <w:rsid w:val="359750C8"/>
    <w:rsid w:val="35B31902"/>
    <w:rsid w:val="35C6684B"/>
    <w:rsid w:val="35F73B70"/>
    <w:rsid w:val="362234A5"/>
    <w:rsid w:val="362E4A4C"/>
    <w:rsid w:val="362E53FC"/>
    <w:rsid w:val="36453593"/>
    <w:rsid w:val="36670BE6"/>
    <w:rsid w:val="369F43A1"/>
    <w:rsid w:val="36BB10C8"/>
    <w:rsid w:val="36BD22BD"/>
    <w:rsid w:val="371D0F29"/>
    <w:rsid w:val="37D44BCF"/>
    <w:rsid w:val="38575800"/>
    <w:rsid w:val="38612E62"/>
    <w:rsid w:val="387E4B3B"/>
    <w:rsid w:val="38874FB3"/>
    <w:rsid w:val="388F2857"/>
    <w:rsid w:val="39102AF4"/>
    <w:rsid w:val="3922613E"/>
    <w:rsid w:val="39C65ADF"/>
    <w:rsid w:val="39E92812"/>
    <w:rsid w:val="39F37E96"/>
    <w:rsid w:val="39FE3121"/>
    <w:rsid w:val="3A184B85"/>
    <w:rsid w:val="3A5A54BA"/>
    <w:rsid w:val="3A79445D"/>
    <w:rsid w:val="3A966D07"/>
    <w:rsid w:val="3AAD6F57"/>
    <w:rsid w:val="3ABB6F06"/>
    <w:rsid w:val="3B1E08A3"/>
    <w:rsid w:val="3BA037CE"/>
    <w:rsid w:val="3C0A1DF7"/>
    <w:rsid w:val="3C4B6C12"/>
    <w:rsid w:val="3C9F05FA"/>
    <w:rsid w:val="3CFE26EE"/>
    <w:rsid w:val="3D2D020D"/>
    <w:rsid w:val="3D600CB3"/>
    <w:rsid w:val="3D6A0606"/>
    <w:rsid w:val="3DBA7C20"/>
    <w:rsid w:val="3DE633A4"/>
    <w:rsid w:val="3E143AEF"/>
    <w:rsid w:val="3E95711C"/>
    <w:rsid w:val="3EB9038A"/>
    <w:rsid w:val="3F145FAD"/>
    <w:rsid w:val="3F3161E4"/>
    <w:rsid w:val="3F94681B"/>
    <w:rsid w:val="3FA677FC"/>
    <w:rsid w:val="3FF1463D"/>
    <w:rsid w:val="40170C11"/>
    <w:rsid w:val="40197335"/>
    <w:rsid w:val="40370155"/>
    <w:rsid w:val="4076360E"/>
    <w:rsid w:val="40866223"/>
    <w:rsid w:val="408961BB"/>
    <w:rsid w:val="408D07A3"/>
    <w:rsid w:val="40910204"/>
    <w:rsid w:val="40E4327F"/>
    <w:rsid w:val="410D72A3"/>
    <w:rsid w:val="414C3A28"/>
    <w:rsid w:val="423B7849"/>
    <w:rsid w:val="42AE61F3"/>
    <w:rsid w:val="43006F6B"/>
    <w:rsid w:val="433F37FA"/>
    <w:rsid w:val="436A142C"/>
    <w:rsid w:val="43AF1499"/>
    <w:rsid w:val="440320CC"/>
    <w:rsid w:val="441B5933"/>
    <w:rsid w:val="4447075E"/>
    <w:rsid w:val="444C01E3"/>
    <w:rsid w:val="44AE49FA"/>
    <w:rsid w:val="459C7FB6"/>
    <w:rsid w:val="45CA7240"/>
    <w:rsid w:val="45E02BB8"/>
    <w:rsid w:val="45ED27F5"/>
    <w:rsid w:val="45F3785C"/>
    <w:rsid w:val="462A540D"/>
    <w:rsid w:val="46420762"/>
    <w:rsid w:val="46980646"/>
    <w:rsid w:val="46B1257F"/>
    <w:rsid w:val="472471F5"/>
    <w:rsid w:val="47354FD7"/>
    <w:rsid w:val="47DC6CDE"/>
    <w:rsid w:val="48861F15"/>
    <w:rsid w:val="48C637F3"/>
    <w:rsid w:val="48DB338A"/>
    <w:rsid w:val="48E45F89"/>
    <w:rsid w:val="491A2F73"/>
    <w:rsid w:val="493872F8"/>
    <w:rsid w:val="493E2177"/>
    <w:rsid w:val="495A0BC8"/>
    <w:rsid w:val="49C53482"/>
    <w:rsid w:val="49F92059"/>
    <w:rsid w:val="49F94346"/>
    <w:rsid w:val="49FD76B5"/>
    <w:rsid w:val="49FF2FED"/>
    <w:rsid w:val="4A030100"/>
    <w:rsid w:val="4A225F83"/>
    <w:rsid w:val="4AA05F4A"/>
    <w:rsid w:val="4AC86DC2"/>
    <w:rsid w:val="4B0D06CC"/>
    <w:rsid w:val="4B372608"/>
    <w:rsid w:val="4B4F2BC1"/>
    <w:rsid w:val="4BB254CC"/>
    <w:rsid w:val="4BD97779"/>
    <w:rsid w:val="4C1B582F"/>
    <w:rsid w:val="4C3D2024"/>
    <w:rsid w:val="4CE753A9"/>
    <w:rsid w:val="4D9B4CC4"/>
    <w:rsid w:val="4D9D40E2"/>
    <w:rsid w:val="4DD001A6"/>
    <w:rsid w:val="4DD21759"/>
    <w:rsid w:val="4E7463E7"/>
    <w:rsid w:val="4E790579"/>
    <w:rsid w:val="4EA11089"/>
    <w:rsid w:val="4EA9484A"/>
    <w:rsid w:val="4EDC7213"/>
    <w:rsid w:val="4EE77D9B"/>
    <w:rsid w:val="4EFB5844"/>
    <w:rsid w:val="4FD02B19"/>
    <w:rsid w:val="504A7806"/>
    <w:rsid w:val="508235A6"/>
    <w:rsid w:val="50A33062"/>
    <w:rsid w:val="50E853D3"/>
    <w:rsid w:val="50FD6AED"/>
    <w:rsid w:val="51003F81"/>
    <w:rsid w:val="51130D4B"/>
    <w:rsid w:val="51351D15"/>
    <w:rsid w:val="51401043"/>
    <w:rsid w:val="514912BA"/>
    <w:rsid w:val="51682FC2"/>
    <w:rsid w:val="5258175C"/>
    <w:rsid w:val="528771EB"/>
    <w:rsid w:val="52B539AF"/>
    <w:rsid w:val="52C87173"/>
    <w:rsid w:val="52D446F0"/>
    <w:rsid w:val="531D7612"/>
    <w:rsid w:val="53D303E3"/>
    <w:rsid w:val="54065283"/>
    <w:rsid w:val="54084111"/>
    <w:rsid w:val="540938D5"/>
    <w:rsid w:val="542D0BD1"/>
    <w:rsid w:val="546C718F"/>
    <w:rsid w:val="5486504B"/>
    <w:rsid w:val="54C02294"/>
    <w:rsid w:val="54E85A08"/>
    <w:rsid w:val="55376D11"/>
    <w:rsid w:val="557776F2"/>
    <w:rsid w:val="55AF6532"/>
    <w:rsid w:val="55D03AA2"/>
    <w:rsid w:val="55E21467"/>
    <w:rsid w:val="56293A3C"/>
    <w:rsid w:val="56395079"/>
    <w:rsid w:val="56660E2B"/>
    <w:rsid w:val="566956E2"/>
    <w:rsid w:val="56F84025"/>
    <w:rsid w:val="570B7EC2"/>
    <w:rsid w:val="575C02FE"/>
    <w:rsid w:val="578F2598"/>
    <w:rsid w:val="579A6F61"/>
    <w:rsid w:val="57F20D57"/>
    <w:rsid w:val="58154BE7"/>
    <w:rsid w:val="58862B32"/>
    <w:rsid w:val="58C3085E"/>
    <w:rsid w:val="58C75EEC"/>
    <w:rsid w:val="590A2A4F"/>
    <w:rsid w:val="5A163F42"/>
    <w:rsid w:val="5A4C2893"/>
    <w:rsid w:val="5AC95C92"/>
    <w:rsid w:val="5B21310B"/>
    <w:rsid w:val="5B435A44"/>
    <w:rsid w:val="5C9411B4"/>
    <w:rsid w:val="5CD81774"/>
    <w:rsid w:val="5D924DD9"/>
    <w:rsid w:val="5D9A216C"/>
    <w:rsid w:val="5DBA018B"/>
    <w:rsid w:val="5E337BCE"/>
    <w:rsid w:val="5E6C52B2"/>
    <w:rsid w:val="5E7C0BC0"/>
    <w:rsid w:val="5E8B5853"/>
    <w:rsid w:val="5EDC3CC2"/>
    <w:rsid w:val="5F012D6B"/>
    <w:rsid w:val="5F033761"/>
    <w:rsid w:val="5F2E1A1A"/>
    <w:rsid w:val="5F694209"/>
    <w:rsid w:val="5F7230B4"/>
    <w:rsid w:val="5F82235F"/>
    <w:rsid w:val="5F891A94"/>
    <w:rsid w:val="5F8F700F"/>
    <w:rsid w:val="5FAF5614"/>
    <w:rsid w:val="600430FE"/>
    <w:rsid w:val="603B7706"/>
    <w:rsid w:val="604C67E4"/>
    <w:rsid w:val="606D5642"/>
    <w:rsid w:val="60901BA7"/>
    <w:rsid w:val="60A3477B"/>
    <w:rsid w:val="60A92D64"/>
    <w:rsid w:val="60CE11AD"/>
    <w:rsid w:val="614941EB"/>
    <w:rsid w:val="6155202D"/>
    <w:rsid w:val="61B84E22"/>
    <w:rsid w:val="61CA3003"/>
    <w:rsid w:val="621B3277"/>
    <w:rsid w:val="62335B17"/>
    <w:rsid w:val="62915BC1"/>
    <w:rsid w:val="62941BF7"/>
    <w:rsid w:val="629C3A1E"/>
    <w:rsid w:val="62DE04EE"/>
    <w:rsid w:val="62EA7E57"/>
    <w:rsid w:val="62ED08B8"/>
    <w:rsid w:val="631C44D8"/>
    <w:rsid w:val="633D2E0E"/>
    <w:rsid w:val="636A6DF3"/>
    <w:rsid w:val="638024DF"/>
    <w:rsid w:val="63C37195"/>
    <w:rsid w:val="63F4054F"/>
    <w:rsid w:val="644D348F"/>
    <w:rsid w:val="6470717E"/>
    <w:rsid w:val="64A73D01"/>
    <w:rsid w:val="65A97B5E"/>
    <w:rsid w:val="65AE3D7F"/>
    <w:rsid w:val="65B17511"/>
    <w:rsid w:val="663503D1"/>
    <w:rsid w:val="664F146B"/>
    <w:rsid w:val="66801540"/>
    <w:rsid w:val="66860FC3"/>
    <w:rsid w:val="668D18E2"/>
    <w:rsid w:val="66967370"/>
    <w:rsid w:val="66973E45"/>
    <w:rsid w:val="66FF3A15"/>
    <w:rsid w:val="675D5089"/>
    <w:rsid w:val="676E366B"/>
    <w:rsid w:val="677C3509"/>
    <w:rsid w:val="6799169C"/>
    <w:rsid w:val="679B4C51"/>
    <w:rsid w:val="67BB3D0D"/>
    <w:rsid w:val="67C36EA9"/>
    <w:rsid w:val="67FF2CF3"/>
    <w:rsid w:val="685161D3"/>
    <w:rsid w:val="68931942"/>
    <w:rsid w:val="69116EF4"/>
    <w:rsid w:val="69291120"/>
    <w:rsid w:val="6938776C"/>
    <w:rsid w:val="69A95C4F"/>
    <w:rsid w:val="6A406BD9"/>
    <w:rsid w:val="6A7E1191"/>
    <w:rsid w:val="6B4F4556"/>
    <w:rsid w:val="6B570461"/>
    <w:rsid w:val="6B755D3E"/>
    <w:rsid w:val="6C191640"/>
    <w:rsid w:val="6C4B1942"/>
    <w:rsid w:val="6C733992"/>
    <w:rsid w:val="6CB5787A"/>
    <w:rsid w:val="6D343F93"/>
    <w:rsid w:val="6D3F71A1"/>
    <w:rsid w:val="6DAB16D8"/>
    <w:rsid w:val="6DBD1686"/>
    <w:rsid w:val="6E1D7CFF"/>
    <w:rsid w:val="6E3D06AF"/>
    <w:rsid w:val="6E6E0BD2"/>
    <w:rsid w:val="6EBD3C73"/>
    <w:rsid w:val="6ED24CBD"/>
    <w:rsid w:val="6EF56BFD"/>
    <w:rsid w:val="6F6A78CA"/>
    <w:rsid w:val="6FA64F9D"/>
    <w:rsid w:val="6FA775C6"/>
    <w:rsid w:val="6FCC3D44"/>
    <w:rsid w:val="6FD233CB"/>
    <w:rsid w:val="701E6A64"/>
    <w:rsid w:val="705B5186"/>
    <w:rsid w:val="707E1814"/>
    <w:rsid w:val="70C64CF5"/>
    <w:rsid w:val="70F943CB"/>
    <w:rsid w:val="710339BF"/>
    <w:rsid w:val="71170DA2"/>
    <w:rsid w:val="71461D2D"/>
    <w:rsid w:val="7156190C"/>
    <w:rsid w:val="71877BAC"/>
    <w:rsid w:val="71891325"/>
    <w:rsid w:val="71FE4BEA"/>
    <w:rsid w:val="72050C3C"/>
    <w:rsid w:val="720A6E64"/>
    <w:rsid w:val="720F5389"/>
    <w:rsid w:val="72231CD3"/>
    <w:rsid w:val="722B668F"/>
    <w:rsid w:val="73394290"/>
    <w:rsid w:val="737208E1"/>
    <w:rsid w:val="73C1212E"/>
    <w:rsid w:val="73E84F83"/>
    <w:rsid w:val="741D6C0E"/>
    <w:rsid w:val="741F22E5"/>
    <w:rsid w:val="74412D7C"/>
    <w:rsid w:val="74462B03"/>
    <w:rsid w:val="74C376E9"/>
    <w:rsid w:val="74F03209"/>
    <w:rsid w:val="74FF39CA"/>
    <w:rsid w:val="75185A19"/>
    <w:rsid w:val="7595486B"/>
    <w:rsid w:val="759F6D8C"/>
    <w:rsid w:val="75E95679"/>
    <w:rsid w:val="762124A6"/>
    <w:rsid w:val="762753A1"/>
    <w:rsid w:val="763C2BE3"/>
    <w:rsid w:val="76563C0C"/>
    <w:rsid w:val="76AA29C3"/>
    <w:rsid w:val="76F727BA"/>
    <w:rsid w:val="77033775"/>
    <w:rsid w:val="771238F1"/>
    <w:rsid w:val="77397934"/>
    <w:rsid w:val="774921DC"/>
    <w:rsid w:val="77B77146"/>
    <w:rsid w:val="78142BA1"/>
    <w:rsid w:val="783058EB"/>
    <w:rsid w:val="78427C92"/>
    <w:rsid w:val="787046CE"/>
    <w:rsid w:val="78C52E49"/>
    <w:rsid w:val="78E31489"/>
    <w:rsid w:val="79001BE7"/>
    <w:rsid w:val="792974C9"/>
    <w:rsid w:val="7950273F"/>
    <w:rsid w:val="797131C7"/>
    <w:rsid w:val="79DF4C29"/>
    <w:rsid w:val="79F418FA"/>
    <w:rsid w:val="7A0F730E"/>
    <w:rsid w:val="7A217312"/>
    <w:rsid w:val="7A3E5C57"/>
    <w:rsid w:val="7A6979A2"/>
    <w:rsid w:val="7A9114DA"/>
    <w:rsid w:val="7A981F2C"/>
    <w:rsid w:val="7ADB3972"/>
    <w:rsid w:val="7AE76E96"/>
    <w:rsid w:val="7AFD7008"/>
    <w:rsid w:val="7B387F12"/>
    <w:rsid w:val="7B645909"/>
    <w:rsid w:val="7C7A6D1D"/>
    <w:rsid w:val="7CC90205"/>
    <w:rsid w:val="7CD246AB"/>
    <w:rsid w:val="7D0F6265"/>
    <w:rsid w:val="7D387EA3"/>
    <w:rsid w:val="7D3947B3"/>
    <w:rsid w:val="7D866AC8"/>
    <w:rsid w:val="7D9D293A"/>
    <w:rsid w:val="7E52504E"/>
    <w:rsid w:val="7E5B722F"/>
    <w:rsid w:val="7EC565E5"/>
    <w:rsid w:val="7EEF3B80"/>
    <w:rsid w:val="7EFC37C7"/>
    <w:rsid w:val="7F330A6C"/>
    <w:rsid w:val="7F79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0"/>
    <w:autoRedefine/>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adjustRightInd w:val="0"/>
      <w:snapToGrid w:val="0"/>
      <w:spacing w:beforeLines="50" w:afterLines="50"/>
      <w:ind w:firstLine="200" w:firstLineChars="200"/>
      <w:outlineLvl w:val="3"/>
    </w:pPr>
    <w:rPr>
      <w:b/>
      <w:bCs/>
      <w:snapToGrid w:val="0"/>
      <w:color w:val="000000" w:themeColor="text1"/>
      <w:kern w:val="0"/>
      <w:szCs w:val="28"/>
      <w:lang w:val="sq-AL"/>
      <w14:textFill>
        <w14:solidFill>
          <w14:schemeClr w14:val="tx1"/>
        </w14:solidFill>
      </w14:textFill>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adjustRightInd w:val="0"/>
      <w:spacing w:line="312" w:lineRule="atLeast"/>
      <w:ind w:firstLine="420"/>
      <w:textAlignment w:val="baseline"/>
    </w:pPr>
    <w:rPr>
      <w:sz w:val="21"/>
      <w:szCs w:val="20"/>
      <w:lang w:eastAsia="zh-CN" w:bidi="ar-SA"/>
    </w:rPr>
  </w:style>
  <w:style w:type="paragraph" w:styleId="7">
    <w:name w:val="Body Text First Indent 2"/>
    <w:basedOn w:val="8"/>
    <w:next w:val="9"/>
    <w:autoRedefine/>
    <w:qFormat/>
    <w:uiPriority w:val="0"/>
    <w:pPr>
      <w:ind w:firstLine="420"/>
    </w:pPr>
  </w:style>
  <w:style w:type="paragraph" w:styleId="8">
    <w:name w:val="Body Text Indent"/>
    <w:basedOn w:val="1"/>
    <w:next w:val="9"/>
    <w:autoRedefine/>
    <w:qFormat/>
    <w:uiPriority w:val="0"/>
    <w:pPr>
      <w:spacing w:line="480" w:lineRule="exact"/>
      <w:ind w:firstLine="560" w:firstLineChars="200"/>
    </w:pPr>
    <w:rPr>
      <w:kern w:val="2"/>
      <w:sz w:val="21"/>
      <w:szCs w:val="24"/>
      <w:lang w:bidi="ar-SA"/>
    </w:rPr>
  </w:style>
  <w:style w:type="paragraph" w:styleId="9">
    <w:name w:val="Body Text"/>
    <w:basedOn w:val="1"/>
    <w:next w:val="10"/>
    <w:link w:val="31"/>
    <w:autoRedefine/>
    <w:qFormat/>
    <w:uiPriority w:val="0"/>
    <w:pPr>
      <w:adjustRightInd w:val="0"/>
      <w:snapToGrid w:val="0"/>
      <w:spacing w:line="360" w:lineRule="auto"/>
      <w:ind w:firstLine="200" w:firstLineChars="200"/>
    </w:pPr>
    <w:rPr>
      <w:rFonts w:ascii="Calibri" w:hAnsi="Calibri"/>
      <w:kern w:val="0"/>
      <w:sz w:val="24"/>
      <w:szCs w:val="20"/>
      <w:lang w:val="zh-CN"/>
    </w:rPr>
  </w:style>
  <w:style w:type="paragraph" w:customStyle="1" w:styleId="10">
    <w:name w:val="Default"/>
    <w:autoRedefine/>
    <w:qFormat/>
    <w:uiPriority w:val="0"/>
    <w:pPr>
      <w:widowControl w:val="0"/>
      <w:autoSpaceDE w:val="0"/>
      <w:autoSpaceDN w:val="0"/>
    </w:pPr>
    <w:rPr>
      <w:rFonts w:ascii="宋体" w:hAnsi="宋体" w:eastAsia="宋体" w:cs="Times New Roman"/>
      <w:color w:val="000000"/>
      <w:kern w:val="0"/>
      <w:sz w:val="24"/>
      <w:szCs w:val="20"/>
      <w:lang w:val="en-US" w:eastAsia="zh-CN" w:bidi="ar-SA"/>
    </w:rPr>
  </w:style>
  <w:style w:type="paragraph" w:styleId="11">
    <w:name w:val="annotation text"/>
    <w:basedOn w:val="1"/>
    <w:link w:val="42"/>
    <w:autoRedefine/>
    <w:unhideWhenUsed/>
    <w:qFormat/>
    <w:uiPriority w:val="99"/>
    <w:pPr>
      <w:jc w:val="left"/>
    </w:p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spacing w:before="0" w:after="120" w:line="480" w:lineRule="auto"/>
      <w:ind w:left="420" w:leftChars="200" w:right="0"/>
    </w:pPr>
    <w:rPr>
      <w:rFonts w:ascii="Calibri" w:hAnsi="Calibri" w:eastAsia="宋体" w:cs="Times New Roman"/>
      <w:kern w:val="2"/>
      <w:sz w:val="21"/>
      <w:szCs w:val="24"/>
      <w:lang w:bidi="ar-SA"/>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Body Text 2"/>
    <w:basedOn w:val="1"/>
    <w:autoRedefine/>
    <w:qFormat/>
    <w:uiPriority w:val="0"/>
    <w:pPr>
      <w:spacing w:after="120" w:afterLines="0" w:line="480" w:lineRule="auto"/>
    </w:pPr>
    <w:rPr>
      <w:kern w:val="2"/>
      <w:sz w:val="21"/>
      <w:szCs w:val="24"/>
      <w:lang w:bidi="ar-SA"/>
    </w:rPr>
  </w:style>
  <w:style w:type="paragraph" w:styleId="21">
    <w:name w:val="Normal (Web)"/>
    <w:basedOn w:val="1"/>
    <w:autoRedefine/>
    <w:qFormat/>
    <w:uiPriority w:val="0"/>
    <w:rPr>
      <w:sz w:val="24"/>
    </w:rPr>
  </w:style>
  <w:style w:type="paragraph" w:styleId="22">
    <w:name w:val="annotation subject"/>
    <w:basedOn w:val="11"/>
    <w:next w:val="11"/>
    <w:link w:val="43"/>
    <w:autoRedefine/>
    <w:qFormat/>
    <w:uiPriority w:val="0"/>
    <w:rPr>
      <w:b/>
      <w:bCs/>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autoRedefine/>
    <w:qFormat/>
    <w:uiPriority w:val="0"/>
    <w:rPr>
      <w:b/>
    </w:rPr>
  </w:style>
  <w:style w:type="character" w:styleId="27">
    <w:name w:val="page number"/>
    <w:basedOn w:val="25"/>
    <w:autoRedefine/>
    <w:qFormat/>
    <w:uiPriority w:val="0"/>
  </w:style>
  <w:style w:type="character" w:styleId="28">
    <w:name w:val="Hyperlink"/>
    <w:autoRedefine/>
    <w:unhideWhenUsed/>
    <w:qFormat/>
    <w:uiPriority w:val="99"/>
    <w:rPr>
      <w:color w:val="0563C1"/>
      <w:u w:val="single"/>
    </w:rPr>
  </w:style>
  <w:style w:type="character" w:styleId="29">
    <w:name w:val="annotation reference"/>
    <w:basedOn w:val="25"/>
    <w:autoRedefine/>
    <w:unhideWhenUsed/>
    <w:qFormat/>
    <w:uiPriority w:val="99"/>
    <w:rPr>
      <w:sz w:val="21"/>
      <w:szCs w:val="21"/>
    </w:rPr>
  </w:style>
  <w:style w:type="character" w:customStyle="1" w:styleId="30">
    <w:name w:val="标题 2 字符"/>
    <w:link w:val="4"/>
    <w:autoRedefine/>
    <w:qFormat/>
    <w:uiPriority w:val="0"/>
    <w:rPr>
      <w:rFonts w:ascii="Arial" w:hAnsi="Arial" w:eastAsia="黑体"/>
      <w:b/>
      <w:bCs/>
      <w:kern w:val="2"/>
      <w:sz w:val="32"/>
      <w:szCs w:val="32"/>
      <w:lang w:val="en-US" w:eastAsia="zh-CN" w:bidi="ar-SA"/>
    </w:rPr>
  </w:style>
  <w:style w:type="character" w:customStyle="1" w:styleId="31">
    <w:name w:val="正文文本 字符"/>
    <w:link w:val="9"/>
    <w:autoRedefine/>
    <w:qFormat/>
    <w:uiPriority w:val="0"/>
    <w:rPr>
      <w:rFonts w:ascii="Calibri" w:hAnsi="Calibri"/>
      <w:sz w:val="24"/>
    </w:rPr>
  </w:style>
  <w:style w:type="paragraph" w:customStyle="1" w:styleId="32">
    <w:name w:val="目录 11"/>
    <w:basedOn w:val="1"/>
    <w:next w:val="1"/>
    <w:autoRedefine/>
    <w:qFormat/>
    <w:uiPriority w:val="0"/>
  </w:style>
  <w:style w:type="paragraph" w:customStyle="1" w:styleId="33">
    <w:name w:val="目录 21"/>
    <w:basedOn w:val="1"/>
    <w:next w:val="1"/>
    <w:autoRedefine/>
    <w:qFormat/>
    <w:uiPriority w:val="0"/>
    <w:pPr>
      <w:ind w:left="420" w:leftChars="200"/>
    </w:pPr>
  </w:style>
  <w:style w:type="character" w:customStyle="1" w:styleId="34">
    <w:name w:val="标题 2 Char1"/>
    <w:autoRedefine/>
    <w:qFormat/>
    <w:uiPriority w:val="0"/>
    <w:rPr>
      <w:rFonts w:ascii="Arial" w:hAnsi="Arial" w:eastAsia="黑体" w:cs="Times New Roman"/>
      <w:bCs/>
      <w:kern w:val="0"/>
      <w:sz w:val="28"/>
      <w:szCs w:val="32"/>
    </w:rPr>
  </w:style>
  <w:style w:type="character" w:customStyle="1" w:styleId="35">
    <w:name w:val="正文文本 Char1"/>
    <w:autoRedefine/>
    <w:qFormat/>
    <w:uiPriority w:val="0"/>
    <w:rPr>
      <w:kern w:val="2"/>
      <w:sz w:val="21"/>
      <w:szCs w:val="24"/>
    </w:rPr>
  </w:style>
  <w:style w:type="paragraph" w:customStyle="1" w:styleId="36">
    <w:name w:val="Char Char Char Char"/>
    <w:basedOn w:val="1"/>
    <w:autoRedefine/>
    <w:qFormat/>
    <w:uiPriority w:val="0"/>
    <w:pPr>
      <w:spacing w:line="360" w:lineRule="auto"/>
      <w:ind w:firstLine="200" w:firstLineChars="200"/>
    </w:pPr>
    <w:rPr>
      <w:rFonts w:ascii="宋体" w:hAnsi="宋体" w:cs="宋体"/>
      <w:sz w:val="24"/>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
    <w:name w:val="章、篇名"/>
    <w:basedOn w:val="1"/>
    <w:next w:val="1"/>
    <w:autoRedefine/>
    <w:qFormat/>
    <w:uiPriority w:val="0"/>
    <w:pPr>
      <w:spacing w:before="480" w:after="360" w:line="560" w:lineRule="exact"/>
      <w:jc w:val="center"/>
    </w:pPr>
    <w:rPr>
      <w:rFonts w:eastAsia="文鼎大标宋简"/>
      <w:b/>
      <w:sz w:val="36"/>
      <w:szCs w:val="20"/>
    </w:rPr>
  </w:style>
  <w:style w:type="character" w:customStyle="1" w:styleId="40">
    <w:name w:val="font61"/>
    <w:basedOn w:val="25"/>
    <w:autoRedefine/>
    <w:qFormat/>
    <w:uiPriority w:val="0"/>
    <w:rPr>
      <w:rFonts w:hint="eastAsia" w:ascii="宋体" w:hAnsi="宋体" w:eastAsia="宋体" w:cs="宋体"/>
      <w:color w:val="auto"/>
      <w:sz w:val="24"/>
      <w:szCs w:val="24"/>
      <w:u w:val="none"/>
    </w:rPr>
  </w:style>
  <w:style w:type="character" w:customStyle="1" w:styleId="41">
    <w:name w:val="font01"/>
    <w:basedOn w:val="25"/>
    <w:autoRedefine/>
    <w:qFormat/>
    <w:uiPriority w:val="0"/>
    <w:rPr>
      <w:rFonts w:hint="eastAsia" w:ascii="宋体" w:hAnsi="宋体" w:eastAsia="宋体" w:cs="宋体"/>
      <w:color w:val="auto"/>
      <w:sz w:val="24"/>
      <w:szCs w:val="24"/>
      <w:u w:val="none"/>
    </w:rPr>
  </w:style>
  <w:style w:type="character" w:customStyle="1" w:styleId="42">
    <w:name w:val="批注文字 字符"/>
    <w:basedOn w:val="25"/>
    <w:link w:val="11"/>
    <w:autoRedefine/>
    <w:qFormat/>
    <w:uiPriority w:val="99"/>
    <w:rPr>
      <w:kern w:val="2"/>
      <w:sz w:val="21"/>
      <w:szCs w:val="24"/>
    </w:rPr>
  </w:style>
  <w:style w:type="character" w:customStyle="1" w:styleId="43">
    <w:name w:val="批注主题 字符"/>
    <w:basedOn w:val="42"/>
    <w:link w:val="22"/>
    <w:autoRedefine/>
    <w:qFormat/>
    <w:uiPriority w:val="0"/>
    <w:rPr>
      <w:b/>
      <w:bCs/>
      <w:kern w:val="2"/>
      <w:sz w:val="21"/>
      <w:szCs w:val="24"/>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仿宋" w:hAnsi="仿宋" w:eastAsia="仿宋" w:cs="仿宋"/>
      <w:sz w:val="24"/>
      <w:szCs w:val="24"/>
      <w:lang w:val="en-US" w:eastAsia="en-US" w:bidi="ar-SA"/>
    </w:rPr>
  </w:style>
  <w:style w:type="paragraph" w:customStyle="1" w:styleId="46">
    <w:name w:val="正文1"/>
    <w:basedOn w:val="1"/>
    <w:autoRedefine/>
    <w:qFormat/>
    <w:uiPriority w:val="0"/>
    <w:pPr>
      <w:spacing w:line="480" w:lineRule="exact"/>
      <w:ind w:firstLine="480" w:firstLineChars="200"/>
    </w:pPr>
    <w:rPr>
      <w:rFonts w:ascii="宋体"/>
      <w:kern w:val="2"/>
      <w:sz w:val="24"/>
      <w:szCs w:val="20"/>
      <w:lang w:eastAsia="zh-CN" w:bidi="ar-SA"/>
    </w:rPr>
  </w:style>
  <w:style w:type="paragraph" w:customStyle="1" w:styleId="47">
    <w:name w:val="xl35"/>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Calibri" w:hAnsi="Calibri" w:eastAsia="宋体" w:cs="Times New Roman"/>
      <w:kern w:val="0"/>
      <w:sz w:val="24"/>
      <w:szCs w:val="20"/>
    </w:rPr>
  </w:style>
  <w:style w:type="paragraph" w:customStyle="1" w:styleId="48">
    <w:name w:val="p0"/>
    <w:basedOn w:val="1"/>
    <w:autoRedefine/>
    <w:qFormat/>
    <w:uiPriority w:val="0"/>
    <w:pPr>
      <w:widowControl/>
      <w:jc w:val="left"/>
    </w:pPr>
    <w:rPr>
      <w:rFonts w:ascii="Calibri" w:hAnsi="Calibri" w:eastAsia="宋体" w:cs="Times New Roman"/>
      <w:kern w:val="0"/>
      <w:sz w:val="24"/>
      <w:szCs w:val="21"/>
      <w:lang w:eastAsia="en-US" w:bidi="en-US"/>
    </w:rPr>
  </w:style>
  <w:style w:type="paragraph" w:customStyle="1" w:styleId="49">
    <w:name w:val="p15"/>
    <w:basedOn w:val="1"/>
    <w:autoRedefine/>
    <w:qFormat/>
    <w:uiPriority w:val="0"/>
    <w:pPr>
      <w:widowControl/>
      <w:snapToGrid w:val="0"/>
      <w:spacing w:line="312" w:lineRule="atLeast"/>
      <w:ind w:firstLine="420"/>
    </w:pPr>
    <w:rPr>
      <w:kern w:val="0"/>
      <w:szCs w:val="21"/>
    </w:rPr>
  </w:style>
  <w:style w:type="paragraph" w:customStyle="1" w:styleId="50">
    <w:name w:val="_Style 3"/>
    <w:basedOn w:val="1"/>
    <w:autoRedefine/>
    <w:qFormat/>
    <w:uiPriority w:val="0"/>
    <w:pPr>
      <w:spacing w:line="360" w:lineRule="auto"/>
      <w:ind w:firstLine="480" w:firstLineChars="200"/>
      <w:jc w:val="center"/>
    </w:pPr>
    <w:rPr>
      <w:rFonts w:ascii="仿宋_GB2312" w:hAnsi="宋体" w:eastAsia="仿宋_GB2312"/>
      <w:sz w:val="24"/>
      <w:szCs w:val="20"/>
    </w:rPr>
  </w:style>
  <w:style w:type="character" w:customStyle="1" w:styleId="51">
    <w:name w:val="apple-style-span"/>
    <w:autoRedefine/>
    <w:qFormat/>
    <w:uiPriority w:val="0"/>
    <w:rPr>
      <w:rFonts w:ascii="Calibri" w:hAnsi="Calibri" w:eastAsia="宋体" w:cs="Times New Roman"/>
    </w:rPr>
  </w:style>
  <w:style w:type="character" w:customStyle="1" w:styleId="52">
    <w:name w:val="apple-converted-space"/>
    <w:autoRedefine/>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3771</Words>
  <Characters>3919</Characters>
  <Lines>18</Lines>
  <Paragraphs>11</Paragraphs>
  <TotalTime>12</TotalTime>
  <ScaleCrop>false</ScaleCrop>
  <LinksUpToDate>false</LinksUpToDate>
  <CharactersWithSpaces>4461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2022-09-13T08:05:00Z</dcterms:created>
  <dc:creator>User</dc:creator>
  <cp:lastModifiedBy>Administrator</cp:lastModifiedBy>
  <cp:lastPrinted>2024-02-26T06:52:00Z</cp:lastPrinted>
  <dcterms:modified xsi:type="dcterms:W3CDTF">2024-02-28T07:01:21Z</dcterms:modified>
  <dc:title>关于收费大棚铝塑板更换工程说明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27BF8FA73E8E476A917D4FBD53568861_13</vt:lpwstr>
  </property>
</Properties>
</file>