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44"/>
          <w:szCs w:val="44"/>
        </w:rPr>
      </w:pPr>
      <w:r>
        <w:rPr>
          <w:rFonts w:hint="eastAsia"/>
          <w:b/>
          <w:sz w:val="44"/>
          <w:szCs w:val="44"/>
        </w:rPr>
        <w:t>赣州高速</w:t>
      </w:r>
      <w:r>
        <w:rPr>
          <w:b/>
          <w:sz w:val="44"/>
          <w:szCs w:val="44"/>
        </w:rPr>
        <w:t>公路</w:t>
      </w:r>
      <w:r>
        <w:rPr>
          <w:rFonts w:hint="eastAsia"/>
          <w:b/>
          <w:sz w:val="44"/>
          <w:szCs w:val="44"/>
        </w:rPr>
        <w:t>有限责任公司</w:t>
      </w:r>
    </w:p>
    <w:p>
      <w:pPr>
        <w:jc w:val="center"/>
        <w:rPr>
          <w:b/>
          <w:sz w:val="36"/>
          <w:szCs w:val="36"/>
        </w:rPr>
      </w:pPr>
    </w:p>
    <w:p>
      <w:pPr>
        <w:jc w:val="center"/>
        <w:rPr>
          <w:rFonts w:hint="eastAsia" w:eastAsiaTheme="minorEastAsia"/>
          <w:b/>
          <w:sz w:val="44"/>
          <w:szCs w:val="44"/>
          <w:lang w:eastAsia="zh-CN"/>
        </w:rPr>
      </w:pPr>
      <w:r>
        <w:rPr>
          <w:rFonts w:hint="eastAsia"/>
          <w:b/>
          <w:sz w:val="52"/>
          <w:szCs w:val="52"/>
        </w:rPr>
        <w:t>赣定、龙杨高速公路沿线部分UPS电池更换项目询价文件</w:t>
      </w:r>
      <w:r>
        <w:rPr>
          <w:rFonts w:hint="eastAsia"/>
          <w:b/>
          <w:sz w:val="52"/>
          <w:szCs w:val="52"/>
          <w:lang w:eastAsia="zh-CN"/>
        </w:rPr>
        <w:t>（</w:t>
      </w:r>
      <w:r>
        <w:rPr>
          <w:rFonts w:hint="eastAsia"/>
          <w:b/>
          <w:sz w:val="52"/>
          <w:szCs w:val="52"/>
          <w:lang w:val="en-US" w:eastAsia="zh-CN"/>
        </w:rPr>
        <w:t>第二次</w:t>
      </w:r>
      <w:r>
        <w:rPr>
          <w:rFonts w:hint="eastAsia"/>
          <w:b/>
          <w:sz w:val="52"/>
          <w:szCs w:val="52"/>
          <w:lang w:eastAsia="zh-CN"/>
        </w:rPr>
        <w:t>）</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both"/>
        <w:rPr>
          <w:b/>
          <w:sz w:val="36"/>
          <w:szCs w:val="36"/>
        </w:rPr>
      </w:pPr>
    </w:p>
    <w:p>
      <w:pPr>
        <w:jc w:val="center"/>
        <w:rPr>
          <w:b/>
          <w:sz w:val="36"/>
          <w:szCs w:val="36"/>
        </w:rPr>
      </w:pPr>
    </w:p>
    <w:p>
      <w:pPr>
        <w:jc w:val="center"/>
        <w:rPr>
          <w:b/>
          <w:sz w:val="36"/>
          <w:szCs w:val="36"/>
        </w:rPr>
      </w:pPr>
    </w:p>
    <w:p>
      <w:pPr>
        <w:jc w:val="center"/>
        <w:rPr>
          <w:b/>
          <w:sz w:val="36"/>
          <w:szCs w:val="36"/>
        </w:rPr>
      </w:pPr>
      <w:r>
        <w:rPr>
          <w:rFonts w:hint="eastAsia"/>
          <w:b/>
          <w:sz w:val="36"/>
          <w:szCs w:val="36"/>
        </w:rPr>
        <w:t>赣州高速</w:t>
      </w:r>
      <w:r>
        <w:rPr>
          <w:b/>
          <w:sz w:val="36"/>
          <w:szCs w:val="36"/>
        </w:rPr>
        <w:t>公路</w:t>
      </w:r>
      <w:r>
        <w:rPr>
          <w:rFonts w:hint="eastAsia"/>
          <w:b/>
          <w:sz w:val="36"/>
          <w:szCs w:val="36"/>
        </w:rPr>
        <w:t>有限责任公司</w:t>
      </w:r>
    </w:p>
    <w:p>
      <w:pPr>
        <w:jc w:val="center"/>
        <w:rPr>
          <w:b/>
          <w:sz w:val="36"/>
          <w:szCs w:val="36"/>
        </w:rPr>
      </w:pPr>
    </w:p>
    <w:p>
      <w:pPr>
        <w:jc w:val="center"/>
        <w:rPr>
          <w:b/>
          <w:sz w:val="36"/>
          <w:szCs w:val="36"/>
        </w:rPr>
      </w:pPr>
      <w:r>
        <w:rPr>
          <w:rFonts w:hint="eastAsia"/>
          <w:b/>
          <w:sz w:val="36"/>
          <w:szCs w:val="36"/>
        </w:rPr>
        <w:t>二</w:t>
      </w:r>
      <w:r>
        <w:rPr>
          <w:b/>
          <w:sz w:val="36"/>
          <w:szCs w:val="36"/>
        </w:rPr>
        <w:t>O</w:t>
      </w:r>
      <w:r>
        <w:rPr>
          <w:rFonts w:hint="eastAsia"/>
          <w:b/>
          <w:sz w:val="36"/>
          <w:szCs w:val="36"/>
        </w:rPr>
        <w:t>二二年五月</w:t>
      </w:r>
    </w:p>
    <w:p>
      <w:pPr>
        <w:spacing w:line="420" w:lineRule="exact"/>
        <w:jc w:val="center"/>
        <w:rPr>
          <w:rFonts w:hint="eastAsia"/>
          <w:b/>
          <w:sz w:val="36"/>
          <w:szCs w:val="36"/>
        </w:rPr>
      </w:pPr>
    </w:p>
    <w:p>
      <w:pPr>
        <w:spacing w:line="420" w:lineRule="exact"/>
        <w:jc w:val="center"/>
        <w:rPr>
          <w:rFonts w:hint="eastAsia"/>
          <w:b/>
          <w:sz w:val="36"/>
          <w:szCs w:val="36"/>
        </w:rPr>
      </w:pPr>
    </w:p>
    <w:p>
      <w:pPr>
        <w:spacing w:line="420" w:lineRule="exact"/>
        <w:jc w:val="center"/>
        <w:rPr>
          <w:b/>
          <w:sz w:val="36"/>
          <w:szCs w:val="36"/>
        </w:rPr>
      </w:pPr>
      <w:r>
        <w:rPr>
          <w:rFonts w:hint="eastAsia"/>
          <w:b/>
          <w:sz w:val="36"/>
          <w:szCs w:val="36"/>
        </w:rPr>
        <w:t>第一章</w:t>
      </w:r>
    </w:p>
    <w:p>
      <w:pPr>
        <w:spacing w:line="420" w:lineRule="exact"/>
        <w:jc w:val="center"/>
        <w:rPr>
          <w:rFonts w:hint="eastAsia"/>
          <w:b/>
          <w:sz w:val="36"/>
          <w:szCs w:val="36"/>
        </w:rPr>
      </w:pPr>
      <w:r>
        <w:rPr>
          <w:rFonts w:hint="eastAsia"/>
          <w:b/>
          <w:sz w:val="36"/>
          <w:szCs w:val="36"/>
        </w:rPr>
        <w:t>赣定、龙杨高速公路沿线部分UPS电池更换项目</w:t>
      </w:r>
    </w:p>
    <w:p>
      <w:pPr>
        <w:spacing w:line="420" w:lineRule="exact"/>
        <w:jc w:val="center"/>
        <w:rPr>
          <w:b/>
          <w:sz w:val="36"/>
          <w:szCs w:val="36"/>
        </w:rPr>
      </w:pPr>
      <w:r>
        <w:rPr>
          <w:rFonts w:hint="eastAsia"/>
          <w:b/>
          <w:sz w:val="36"/>
          <w:szCs w:val="36"/>
        </w:rPr>
        <w:t>询价公告</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b/>
          <w:kern w:val="0"/>
          <w:sz w:val="24"/>
          <w:szCs w:val="24"/>
        </w:rPr>
      </w:pPr>
      <w:r>
        <w:rPr>
          <w:rFonts w:hint="eastAsia" w:ascii="宋体" w:hAnsi="宋体" w:eastAsia="宋体" w:cs="宋体"/>
          <w:b/>
          <w:bCs/>
          <w:kern w:val="0"/>
          <w:sz w:val="24"/>
          <w:szCs w:val="24"/>
        </w:rPr>
        <w:t>一、询价条件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因大广高速公路赣定段、龙杨段机房UPS电池采购更换的需要，现要对赣定路段：监控中心、南康南、龙回、信丰北、信丰、铁石口、信丰服务区、龙南、定南、老城、定南省界机房和龙杨路段：龙杨分中心、龙南南、全南、杨村、龙杨省界机房UPS电池进行采购更换，资金来源为自有资金，该项目已具备采购更换条件，现对该项目进行公开询价。</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本次询价项目名称：赣定、龙杨高速公路沿线部分UPS电池更换项目。采购人为: 赣州高速</w:t>
      </w:r>
      <w:r>
        <w:rPr>
          <w:rFonts w:ascii="宋体" w:hAnsi="宋体" w:eastAsia="宋体" w:cs="宋体"/>
          <w:kern w:val="0"/>
          <w:sz w:val="24"/>
          <w:szCs w:val="24"/>
        </w:rPr>
        <w:t>公路</w:t>
      </w:r>
      <w:r>
        <w:rPr>
          <w:rFonts w:hint="eastAsia" w:ascii="宋体" w:hAnsi="宋体" w:eastAsia="宋体" w:cs="宋体"/>
          <w:kern w:val="0"/>
          <w:sz w:val="24"/>
          <w:szCs w:val="24"/>
        </w:rPr>
        <w:t>有限责任公司。</w:t>
      </w:r>
    </w:p>
    <w:p>
      <w:pPr>
        <w:widowControl/>
        <w:spacing w:line="420"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项目概况：采购更换赣定路段：监控中心机房4只1</w:t>
      </w:r>
      <w:r>
        <w:rPr>
          <w:rFonts w:ascii="宋体" w:hAnsi="宋体" w:eastAsia="宋体" w:cs="宋体"/>
          <w:kern w:val="0"/>
          <w:sz w:val="24"/>
          <w:szCs w:val="24"/>
        </w:rPr>
        <w:t>2V100AH</w:t>
      </w:r>
      <w:r>
        <w:rPr>
          <w:rFonts w:hint="eastAsia" w:ascii="宋体" w:hAnsi="宋体" w:eastAsia="宋体" w:cs="宋体"/>
          <w:kern w:val="0"/>
          <w:sz w:val="24"/>
          <w:szCs w:val="24"/>
        </w:rPr>
        <w:t>，南康南机房4只1</w:t>
      </w:r>
      <w:r>
        <w:rPr>
          <w:rFonts w:ascii="宋体" w:hAnsi="宋体" w:eastAsia="宋体" w:cs="宋体"/>
          <w:kern w:val="0"/>
          <w:sz w:val="24"/>
          <w:szCs w:val="24"/>
        </w:rPr>
        <w:t>2V100AH，</w:t>
      </w:r>
      <w:r>
        <w:rPr>
          <w:rFonts w:hint="eastAsia" w:ascii="宋体" w:hAnsi="宋体" w:eastAsia="宋体" w:cs="宋体"/>
          <w:kern w:val="0"/>
          <w:sz w:val="24"/>
          <w:szCs w:val="24"/>
        </w:rPr>
        <w:t>龙回机房4只1</w:t>
      </w:r>
      <w:r>
        <w:rPr>
          <w:rFonts w:ascii="宋体" w:hAnsi="宋体" w:eastAsia="宋体" w:cs="宋体"/>
          <w:kern w:val="0"/>
          <w:sz w:val="24"/>
          <w:szCs w:val="24"/>
        </w:rPr>
        <w:t>2V100AH</w:t>
      </w:r>
      <w:r>
        <w:rPr>
          <w:rFonts w:hint="eastAsia" w:ascii="宋体" w:hAnsi="宋体" w:eastAsia="宋体" w:cs="宋体"/>
          <w:kern w:val="0"/>
          <w:sz w:val="24"/>
          <w:szCs w:val="24"/>
        </w:rPr>
        <w:t>，信丰北机房</w:t>
      </w:r>
      <w:r>
        <w:rPr>
          <w:rFonts w:ascii="宋体" w:hAnsi="宋体" w:eastAsia="宋体" w:cs="宋体"/>
          <w:kern w:val="0"/>
          <w:sz w:val="24"/>
          <w:szCs w:val="24"/>
        </w:rPr>
        <w:t>20</w:t>
      </w:r>
      <w:r>
        <w:rPr>
          <w:rFonts w:hint="eastAsia" w:ascii="宋体" w:hAnsi="宋体" w:eastAsia="宋体" w:cs="宋体"/>
          <w:kern w:val="0"/>
          <w:sz w:val="24"/>
          <w:szCs w:val="24"/>
        </w:rPr>
        <w:t>只1</w:t>
      </w:r>
      <w:r>
        <w:rPr>
          <w:rFonts w:ascii="宋体" w:hAnsi="宋体" w:eastAsia="宋体" w:cs="宋体"/>
          <w:kern w:val="0"/>
          <w:sz w:val="24"/>
          <w:szCs w:val="24"/>
        </w:rPr>
        <w:t>2V100AH</w:t>
      </w:r>
      <w:r>
        <w:rPr>
          <w:rFonts w:hint="eastAsia" w:ascii="宋体" w:hAnsi="宋体" w:eastAsia="宋体" w:cs="宋体"/>
          <w:kern w:val="0"/>
          <w:sz w:val="24"/>
          <w:szCs w:val="24"/>
        </w:rPr>
        <w:t>，信丰机房4只1</w:t>
      </w:r>
      <w:r>
        <w:rPr>
          <w:rFonts w:ascii="宋体" w:hAnsi="宋体" w:eastAsia="宋体" w:cs="宋体"/>
          <w:kern w:val="0"/>
          <w:sz w:val="24"/>
          <w:szCs w:val="24"/>
        </w:rPr>
        <w:t>2V100AH</w:t>
      </w:r>
      <w:r>
        <w:rPr>
          <w:rFonts w:hint="eastAsia" w:ascii="宋体" w:hAnsi="宋体" w:eastAsia="宋体" w:cs="宋体"/>
          <w:kern w:val="0"/>
          <w:sz w:val="24"/>
          <w:szCs w:val="24"/>
        </w:rPr>
        <w:t>，铁石口机房4只1</w:t>
      </w:r>
      <w:r>
        <w:rPr>
          <w:rFonts w:ascii="宋体" w:hAnsi="宋体" w:eastAsia="宋体" w:cs="宋体"/>
          <w:kern w:val="0"/>
          <w:sz w:val="24"/>
          <w:szCs w:val="24"/>
        </w:rPr>
        <w:t>2V100AH、</w:t>
      </w:r>
      <w:r>
        <w:rPr>
          <w:rFonts w:hint="eastAsia" w:ascii="宋体" w:hAnsi="宋体" w:eastAsia="宋体" w:cs="宋体"/>
          <w:kern w:val="0"/>
          <w:sz w:val="24"/>
          <w:szCs w:val="24"/>
        </w:rPr>
        <w:t>4</w:t>
      </w:r>
      <w:r>
        <w:rPr>
          <w:rFonts w:ascii="宋体" w:hAnsi="宋体" w:eastAsia="宋体" w:cs="宋体"/>
          <w:kern w:val="0"/>
          <w:sz w:val="24"/>
          <w:szCs w:val="24"/>
        </w:rPr>
        <w:t>0只</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，信丰服务区机房4只1</w:t>
      </w:r>
      <w:r>
        <w:rPr>
          <w:rFonts w:ascii="宋体" w:hAnsi="宋体" w:eastAsia="宋体" w:cs="宋体"/>
          <w:kern w:val="0"/>
          <w:sz w:val="24"/>
          <w:szCs w:val="24"/>
        </w:rPr>
        <w:t>2V100AH，</w:t>
      </w:r>
      <w:r>
        <w:rPr>
          <w:rFonts w:hint="eastAsia" w:ascii="宋体" w:hAnsi="宋体" w:eastAsia="宋体" w:cs="宋体"/>
          <w:kern w:val="0"/>
          <w:sz w:val="24"/>
          <w:szCs w:val="24"/>
        </w:rPr>
        <w:t>龙南机房4只1</w:t>
      </w:r>
      <w:r>
        <w:rPr>
          <w:rFonts w:ascii="宋体" w:hAnsi="宋体" w:eastAsia="宋体" w:cs="宋体"/>
          <w:kern w:val="0"/>
          <w:sz w:val="24"/>
          <w:szCs w:val="24"/>
        </w:rPr>
        <w:t>2V100AH</w:t>
      </w:r>
      <w:r>
        <w:rPr>
          <w:rFonts w:hint="eastAsia" w:ascii="宋体" w:hAnsi="宋体" w:eastAsia="宋体" w:cs="宋体"/>
          <w:kern w:val="0"/>
          <w:sz w:val="24"/>
          <w:szCs w:val="24"/>
        </w:rPr>
        <w:t>、</w:t>
      </w:r>
      <w:r>
        <w:rPr>
          <w:rFonts w:ascii="宋体" w:hAnsi="宋体" w:eastAsia="宋体" w:cs="宋体"/>
          <w:kern w:val="0"/>
          <w:sz w:val="24"/>
          <w:szCs w:val="24"/>
        </w:rPr>
        <w:t>60只</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定南机房4只1</w:t>
      </w:r>
      <w:r>
        <w:rPr>
          <w:rFonts w:ascii="宋体" w:hAnsi="宋体" w:eastAsia="宋体" w:cs="宋体"/>
          <w:kern w:val="0"/>
          <w:sz w:val="24"/>
          <w:szCs w:val="24"/>
        </w:rPr>
        <w:t>2V100AH、</w:t>
      </w:r>
      <w:r>
        <w:rPr>
          <w:rFonts w:hint="eastAsia" w:ascii="宋体" w:hAnsi="宋体" w:eastAsia="宋体" w:cs="宋体"/>
          <w:kern w:val="0"/>
          <w:sz w:val="24"/>
          <w:szCs w:val="24"/>
        </w:rPr>
        <w:t>4</w:t>
      </w:r>
      <w:r>
        <w:rPr>
          <w:rFonts w:ascii="宋体" w:hAnsi="宋体" w:eastAsia="宋体" w:cs="宋体"/>
          <w:kern w:val="0"/>
          <w:sz w:val="24"/>
          <w:szCs w:val="24"/>
        </w:rPr>
        <w:t>0只</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老城机房4只1</w:t>
      </w:r>
      <w:r>
        <w:rPr>
          <w:rFonts w:ascii="宋体" w:hAnsi="宋体" w:eastAsia="宋体" w:cs="宋体"/>
          <w:kern w:val="0"/>
          <w:sz w:val="24"/>
          <w:szCs w:val="24"/>
        </w:rPr>
        <w:t>2V100AH、</w:t>
      </w:r>
      <w:r>
        <w:rPr>
          <w:rFonts w:hint="eastAsia" w:ascii="宋体" w:hAnsi="宋体" w:eastAsia="宋体" w:cs="宋体"/>
          <w:kern w:val="0"/>
          <w:sz w:val="24"/>
          <w:szCs w:val="24"/>
        </w:rPr>
        <w:t>4</w:t>
      </w:r>
      <w:r>
        <w:rPr>
          <w:rFonts w:ascii="宋体" w:hAnsi="宋体" w:eastAsia="宋体" w:cs="宋体"/>
          <w:kern w:val="0"/>
          <w:sz w:val="24"/>
          <w:szCs w:val="24"/>
        </w:rPr>
        <w:t>0只</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定南省界机房4只1</w:t>
      </w:r>
      <w:r>
        <w:rPr>
          <w:rFonts w:ascii="宋体" w:hAnsi="宋体" w:eastAsia="宋体" w:cs="宋体"/>
          <w:kern w:val="0"/>
          <w:sz w:val="24"/>
          <w:szCs w:val="24"/>
        </w:rPr>
        <w:t>2V100AH、20只</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,龙杨</w:t>
      </w:r>
      <w:r>
        <w:rPr>
          <w:rFonts w:ascii="宋体" w:hAnsi="宋体" w:eastAsia="宋体" w:cs="宋体"/>
          <w:kern w:val="0"/>
          <w:sz w:val="24"/>
          <w:szCs w:val="24"/>
        </w:rPr>
        <w:t>路段</w:t>
      </w:r>
      <w:r>
        <w:rPr>
          <w:rFonts w:hint="eastAsia" w:ascii="宋体" w:hAnsi="宋体" w:eastAsia="宋体" w:cs="宋体"/>
          <w:kern w:val="0"/>
          <w:sz w:val="24"/>
          <w:szCs w:val="24"/>
        </w:rPr>
        <w:t>：龙杨分中心</w:t>
      </w:r>
      <w:r>
        <w:rPr>
          <w:rFonts w:ascii="宋体" w:hAnsi="宋体" w:eastAsia="宋体" w:cs="宋体"/>
          <w:kern w:val="0"/>
          <w:sz w:val="24"/>
          <w:szCs w:val="24"/>
        </w:rPr>
        <w:t>8</w:t>
      </w:r>
      <w:r>
        <w:rPr>
          <w:rFonts w:hint="eastAsia" w:ascii="宋体" w:hAnsi="宋体" w:eastAsia="宋体" w:cs="宋体"/>
          <w:kern w:val="0"/>
          <w:sz w:val="24"/>
          <w:szCs w:val="24"/>
        </w:rPr>
        <w:t>只1</w:t>
      </w:r>
      <w:r>
        <w:rPr>
          <w:rFonts w:ascii="宋体" w:hAnsi="宋体" w:eastAsia="宋体" w:cs="宋体"/>
          <w:kern w:val="0"/>
          <w:sz w:val="24"/>
          <w:szCs w:val="24"/>
        </w:rPr>
        <w:t>2V100AH、80只NP80-12，龙南南8</w:t>
      </w:r>
      <w:r>
        <w:rPr>
          <w:rFonts w:hint="eastAsia" w:ascii="宋体" w:hAnsi="宋体" w:eastAsia="宋体" w:cs="宋体"/>
          <w:kern w:val="0"/>
          <w:sz w:val="24"/>
          <w:szCs w:val="24"/>
        </w:rPr>
        <w:t>只1</w:t>
      </w:r>
      <w:r>
        <w:rPr>
          <w:rFonts w:ascii="宋体" w:hAnsi="宋体" w:eastAsia="宋体" w:cs="宋体"/>
          <w:kern w:val="0"/>
          <w:sz w:val="24"/>
          <w:szCs w:val="24"/>
        </w:rPr>
        <w:t>2V100AH，全南8</w:t>
      </w:r>
      <w:r>
        <w:rPr>
          <w:rFonts w:hint="eastAsia" w:ascii="宋体" w:hAnsi="宋体" w:eastAsia="宋体" w:cs="宋体"/>
          <w:kern w:val="0"/>
          <w:sz w:val="24"/>
          <w:szCs w:val="24"/>
        </w:rPr>
        <w:t>只1</w:t>
      </w:r>
      <w:r>
        <w:rPr>
          <w:rFonts w:ascii="宋体" w:hAnsi="宋体" w:eastAsia="宋体" w:cs="宋体"/>
          <w:kern w:val="0"/>
          <w:sz w:val="24"/>
          <w:szCs w:val="24"/>
        </w:rPr>
        <w:t>2V100AH、120只NP80-12，杨村8</w:t>
      </w:r>
      <w:r>
        <w:rPr>
          <w:rFonts w:hint="eastAsia" w:ascii="宋体" w:hAnsi="宋体" w:eastAsia="宋体" w:cs="宋体"/>
          <w:kern w:val="0"/>
          <w:sz w:val="24"/>
          <w:szCs w:val="24"/>
        </w:rPr>
        <w:t>只1</w:t>
      </w:r>
      <w:r>
        <w:rPr>
          <w:rFonts w:ascii="宋体" w:hAnsi="宋体" w:eastAsia="宋体" w:cs="宋体"/>
          <w:kern w:val="0"/>
          <w:sz w:val="24"/>
          <w:szCs w:val="24"/>
        </w:rPr>
        <w:t>2V100AH、120只NP80-12，龙杨省界</w:t>
      </w:r>
      <w:r>
        <w:rPr>
          <w:rFonts w:hint="eastAsia" w:ascii="宋体" w:hAnsi="宋体" w:eastAsia="宋体" w:cs="宋体"/>
          <w:kern w:val="0"/>
          <w:sz w:val="24"/>
          <w:szCs w:val="24"/>
        </w:rPr>
        <w:t>6</w:t>
      </w:r>
      <w:r>
        <w:rPr>
          <w:rFonts w:ascii="宋体" w:hAnsi="宋体" w:eastAsia="宋体" w:cs="宋体"/>
          <w:kern w:val="0"/>
          <w:sz w:val="24"/>
          <w:szCs w:val="24"/>
        </w:rPr>
        <w:t xml:space="preserve">4只12V17A </w:t>
      </w:r>
      <w:r>
        <w:rPr>
          <w:rFonts w:hint="eastAsia" w:ascii="宋体" w:hAnsi="宋体" w:eastAsia="宋体" w:cs="宋体"/>
          <w:kern w:val="0"/>
          <w:sz w:val="24"/>
          <w:szCs w:val="24"/>
        </w:rPr>
        <w:t xml:space="preserve"> UPS电池，以及旧电池回收无害处理。</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二、施工内容及技术标准</w:t>
      </w:r>
    </w:p>
    <w:tbl>
      <w:tblPr>
        <w:tblStyle w:val="1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1559"/>
        <w:gridCol w:w="709"/>
        <w:gridCol w:w="709"/>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施工内容说明</w:t>
            </w:r>
          </w:p>
        </w:tc>
        <w:tc>
          <w:tcPr>
            <w:tcW w:w="7484" w:type="dxa"/>
            <w:gridSpan w:val="5"/>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拆卸旧电池，安装新电池，检测，搬运，回收处理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项目</w:t>
            </w:r>
          </w:p>
        </w:tc>
        <w:tc>
          <w:tcPr>
            <w:tcW w:w="1418"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名称</w:t>
            </w:r>
          </w:p>
        </w:tc>
        <w:tc>
          <w:tcPr>
            <w:tcW w:w="1559"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型号</w:t>
            </w:r>
          </w:p>
        </w:tc>
        <w:tc>
          <w:tcPr>
            <w:tcW w:w="709"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单位</w:t>
            </w:r>
          </w:p>
        </w:tc>
        <w:tc>
          <w:tcPr>
            <w:tcW w:w="709"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数量</w:t>
            </w:r>
          </w:p>
        </w:tc>
        <w:tc>
          <w:tcPr>
            <w:tcW w:w="3089"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收费系统</w:t>
            </w:r>
          </w:p>
        </w:tc>
        <w:tc>
          <w:tcPr>
            <w:tcW w:w="1418"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55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65</w:t>
            </w:r>
            <w:r>
              <w:rPr>
                <w:rFonts w:hint="eastAsia" w:cs="宋体" w:asciiTheme="minorEastAsia" w:hAnsiTheme="minorEastAsia"/>
                <w:kern w:val="0"/>
                <w:sz w:val="24"/>
                <w:szCs w:val="24"/>
              </w:rPr>
              <w:t>AH</w:t>
            </w:r>
          </w:p>
        </w:tc>
        <w:tc>
          <w:tcPr>
            <w:tcW w:w="70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只</w:t>
            </w:r>
          </w:p>
        </w:tc>
        <w:tc>
          <w:tcPr>
            <w:tcW w:w="709" w:type="dxa"/>
            <w:vAlign w:val="center"/>
          </w:tcPr>
          <w:p>
            <w:pPr>
              <w:spacing w:line="42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200</w:t>
            </w:r>
          </w:p>
        </w:tc>
        <w:tc>
          <w:tcPr>
            <w:tcW w:w="3089" w:type="dxa"/>
            <w:vAlign w:val="center"/>
          </w:tcPr>
          <w:p>
            <w:pPr>
              <w:widowControl/>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耐高温型 赣定</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通信系统</w:t>
            </w:r>
          </w:p>
        </w:tc>
        <w:tc>
          <w:tcPr>
            <w:tcW w:w="1418"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55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100</w:t>
            </w:r>
            <w:r>
              <w:rPr>
                <w:rFonts w:hint="eastAsia" w:cs="宋体" w:asciiTheme="minorEastAsia" w:hAnsiTheme="minorEastAsia"/>
                <w:kern w:val="0"/>
                <w:sz w:val="24"/>
                <w:szCs w:val="24"/>
              </w:rPr>
              <w:t>AH</w:t>
            </w:r>
          </w:p>
        </w:tc>
        <w:tc>
          <w:tcPr>
            <w:tcW w:w="70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只</w:t>
            </w:r>
          </w:p>
        </w:tc>
        <w:tc>
          <w:tcPr>
            <w:tcW w:w="709" w:type="dxa"/>
            <w:vAlign w:val="center"/>
          </w:tcPr>
          <w:p>
            <w:pPr>
              <w:spacing w:line="42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60</w:t>
            </w:r>
          </w:p>
        </w:tc>
        <w:tc>
          <w:tcPr>
            <w:tcW w:w="3089" w:type="dxa"/>
            <w:vAlign w:val="center"/>
          </w:tcPr>
          <w:p>
            <w:pPr>
              <w:widowControl/>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耐高温型 赣定</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收费系统</w:t>
            </w:r>
          </w:p>
        </w:tc>
        <w:tc>
          <w:tcPr>
            <w:tcW w:w="1418"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55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80</w:t>
            </w:r>
            <w:r>
              <w:rPr>
                <w:rFonts w:hint="eastAsia" w:cs="宋体" w:asciiTheme="minorEastAsia" w:hAnsiTheme="minorEastAsia"/>
                <w:kern w:val="0"/>
                <w:sz w:val="24"/>
                <w:szCs w:val="24"/>
              </w:rPr>
              <w:t>AH</w:t>
            </w:r>
          </w:p>
        </w:tc>
        <w:tc>
          <w:tcPr>
            <w:tcW w:w="709" w:type="dxa"/>
            <w:vAlign w:val="center"/>
          </w:tcPr>
          <w:p>
            <w:pPr>
              <w:widowControl/>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只</w:t>
            </w:r>
          </w:p>
        </w:tc>
        <w:tc>
          <w:tcPr>
            <w:tcW w:w="709" w:type="dxa"/>
            <w:vAlign w:val="center"/>
          </w:tcPr>
          <w:p>
            <w:pPr>
              <w:spacing w:line="420" w:lineRule="atLeast"/>
              <w:jc w:val="center"/>
              <w:rPr>
                <w:rFonts w:hint="eastAsia" w:cs="宋体" w:asciiTheme="minorEastAsia" w:hAnsiTheme="minorEastAsia"/>
                <w:kern w:val="0"/>
                <w:sz w:val="24"/>
                <w:szCs w:val="24"/>
              </w:rPr>
            </w:pPr>
            <w:r>
              <w:rPr>
                <w:rFonts w:cs="宋体" w:asciiTheme="minorEastAsia" w:hAnsiTheme="minorEastAsia"/>
                <w:kern w:val="0"/>
                <w:sz w:val="24"/>
                <w:szCs w:val="24"/>
              </w:rPr>
              <w:t>320</w:t>
            </w:r>
          </w:p>
        </w:tc>
        <w:tc>
          <w:tcPr>
            <w:tcW w:w="3089" w:type="dxa"/>
            <w:vAlign w:val="center"/>
          </w:tcPr>
          <w:p>
            <w:pPr>
              <w:widowControl/>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耐高温型 龙杨</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通信系统</w:t>
            </w:r>
          </w:p>
        </w:tc>
        <w:tc>
          <w:tcPr>
            <w:tcW w:w="1418" w:type="dxa"/>
            <w:vAlign w:val="center"/>
          </w:tcPr>
          <w:p>
            <w:pPr>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559" w:type="dxa"/>
            <w:vAlign w:val="center"/>
          </w:tcPr>
          <w:p>
            <w:pPr>
              <w:jc w:val="center"/>
              <w:rPr>
                <w:rFonts w:hint="eastAsia" w:cs="宋体" w:asciiTheme="minorEastAsia" w:hAnsiTheme="minorEastAsia"/>
                <w:kern w:val="0"/>
                <w:sz w:val="24"/>
                <w:szCs w:val="24"/>
              </w:rPr>
            </w:pPr>
            <w:r>
              <w:rPr>
                <w:rFonts w:cs="宋体" w:asciiTheme="minorEastAsia" w:hAnsiTheme="minorEastAsia"/>
                <w:kern w:val="0"/>
                <w:sz w:val="24"/>
                <w:szCs w:val="24"/>
              </w:rPr>
              <w:t>12V100AH</w:t>
            </w:r>
          </w:p>
        </w:tc>
        <w:tc>
          <w:tcPr>
            <w:tcW w:w="709" w:type="dxa"/>
            <w:vAlign w:val="center"/>
          </w:tcPr>
          <w:p>
            <w:pPr>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只</w:t>
            </w:r>
          </w:p>
        </w:tc>
        <w:tc>
          <w:tcPr>
            <w:tcW w:w="709" w:type="dxa"/>
            <w:vAlign w:val="center"/>
          </w:tcPr>
          <w:p>
            <w:pPr>
              <w:jc w:val="center"/>
              <w:rPr>
                <w:rFonts w:hint="eastAsia" w:cs="宋体" w:asciiTheme="minorEastAsia" w:hAnsiTheme="minorEastAsia"/>
                <w:kern w:val="0"/>
                <w:sz w:val="24"/>
                <w:szCs w:val="24"/>
              </w:rPr>
            </w:pPr>
            <w:r>
              <w:rPr>
                <w:rFonts w:cs="宋体" w:asciiTheme="minorEastAsia" w:hAnsiTheme="minorEastAsia"/>
                <w:kern w:val="0"/>
                <w:sz w:val="24"/>
                <w:szCs w:val="24"/>
              </w:rPr>
              <w:t>32</w:t>
            </w:r>
          </w:p>
        </w:tc>
        <w:tc>
          <w:tcPr>
            <w:tcW w:w="3089" w:type="dxa"/>
            <w:vAlign w:val="center"/>
          </w:tcPr>
          <w:p>
            <w:pPr>
              <w:widowControl/>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耐高温型 龙杨</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96"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监控系统</w:t>
            </w:r>
          </w:p>
        </w:tc>
        <w:tc>
          <w:tcPr>
            <w:tcW w:w="1418"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55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12V17AH</w:t>
            </w:r>
          </w:p>
        </w:tc>
        <w:tc>
          <w:tcPr>
            <w:tcW w:w="70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只</w:t>
            </w:r>
          </w:p>
        </w:tc>
        <w:tc>
          <w:tcPr>
            <w:tcW w:w="709" w:type="dxa"/>
            <w:vAlign w:val="center"/>
          </w:tcPr>
          <w:p>
            <w:pPr>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64</w:t>
            </w:r>
          </w:p>
        </w:tc>
        <w:tc>
          <w:tcPr>
            <w:tcW w:w="3089" w:type="dxa"/>
            <w:vAlign w:val="center"/>
          </w:tcPr>
          <w:p>
            <w:pPr>
              <w:widowControl/>
              <w:spacing w:line="420" w:lineRule="atLeast"/>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耐高温型 龙杨</w:t>
            </w:r>
            <w:r>
              <w:rPr>
                <w:rFonts w:cs="宋体" w:asciiTheme="minorEastAsia" w:hAnsiTheme="minorEastAsia"/>
                <w:kern w:val="0"/>
                <w:sz w:val="24"/>
                <w:szCs w:val="24"/>
              </w:rPr>
              <w:t>路段</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kern w:val="0"/>
          <w:sz w:val="24"/>
          <w:szCs w:val="24"/>
        </w:rPr>
      </w:pPr>
      <w:r>
        <w:rPr>
          <w:rFonts w:hint="eastAsia" w:ascii="宋体" w:hAnsi="宋体" w:eastAsia="宋体" w:cs="宋体"/>
          <w:kern w:val="0"/>
          <w:sz w:val="24"/>
          <w:szCs w:val="24"/>
        </w:rPr>
        <w:t>须符合Y</w:t>
      </w:r>
      <w:r>
        <w:rPr>
          <w:rFonts w:ascii="宋体" w:hAnsi="宋体" w:eastAsia="宋体" w:cs="宋体"/>
          <w:kern w:val="0"/>
          <w:sz w:val="24"/>
          <w:szCs w:val="24"/>
        </w:rPr>
        <w:t>D</w:t>
      </w:r>
      <w:r>
        <w:rPr>
          <w:rFonts w:hint="eastAsia" w:ascii="宋体" w:hAnsi="宋体" w:eastAsia="宋体" w:cs="宋体"/>
          <w:kern w:val="0"/>
          <w:sz w:val="24"/>
          <w:szCs w:val="24"/>
        </w:rPr>
        <w:t>/</w:t>
      </w:r>
      <w:r>
        <w:rPr>
          <w:rFonts w:ascii="宋体" w:hAnsi="宋体" w:eastAsia="宋体" w:cs="宋体"/>
          <w:kern w:val="0"/>
          <w:sz w:val="24"/>
          <w:szCs w:val="24"/>
        </w:rPr>
        <w:t>T 2657</w:t>
      </w:r>
      <w:r>
        <w:rPr>
          <w:rFonts w:hint="eastAsia" w:ascii="宋体" w:hAnsi="宋体" w:eastAsia="宋体" w:cs="宋体"/>
          <w:kern w:val="0"/>
          <w:sz w:val="24"/>
          <w:szCs w:val="24"/>
        </w:rPr>
        <w:t>-</w:t>
      </w:r>
      <w:r>
        <w:rPr>
          <w:rFonts w:ascii="宋体" w:hAnsi="宋体" w:eastAsia="宋体" w:cs="宋体"/>
          <w:kern w:val="0"/>
          <w:sz w:val="24"/>
          <w:szCs w:val="24"/>
        </w:rPr>
        <w:t>2013</w:t>
      </w:r>
      <w:r>
        <w:rPr>
          <w:rFonts w:hint="eastAsia" w:ascii="宋体" w:hAnsi="宋体" w:eastAsia="宋体" w:cs="宋体"/>
          <w:kern w:val="0"/>
          <w:sz w:val="24"/>
          <w:szCs w:val="24"/>
        </w:rPr>
        <w:t>《通信用高温型阀控式密封铅酸蓄电池》标准要求。</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kern w:val="0"/>
          <w:sz w:val="24"/>
          <w:szCs w:val="24"/>
        </w:rPr>
      </w:pPr>
      <w:r>
        <w:rPr>
          <w:rFonts w:hint="eastAsia" w:ascii="宋体" w:hAnsi="宋体" w:eastAsia="宋体" w:cs="宋体"/>
          <w:kern w:val="0"/>
          <w:sz w:val="24"/>
          <w:szCs w:val="24"/>
        </w:rPr>
        <w:t>蓄电池需求：</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eastAsia="宋体" w:cs="宋体"/>
          <w:kern w:val="0"/>
          <w:sz w:val="24"/>
          <w:szCs w:val="24"/>
        </w:rPr>
      </w:pPr>
      <w:r>
        <w:rPr>
          <w:rFonts w:hint="eastAsia" w:ascii="宋体" w:hAnsi="宋体" w:eastAsia="宋体" w:cs="宋体"/>
          <w:kern w:val="0"/>
          <w:sz w:val="24"/>
          <w:szCs w:val="24"/>
        </w:rPr>
        <w:t>高温型铅酸免维护蓄电池，容量：</w:t>
      </w:r>
      <w:bookmarkStart w:id="0" w:name="_Hlk55910969"/>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bookmarkEnd w:id="0"/>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rPr>
      </w:pPr>
      <w:r>
        <w:rPr>
          <w:rFonts w:hint="eastAsia" w:ascii="宋体" w:hAnsi="宋体" w:eastAsia="宋体" w:cs="宋体"/>
          <w:kern w:val="0"/>
          <w:sz w:val="24"/>
          <w:szCs w:val="24"/>
        </w:rPr>
        <w:t>基础技术参数：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textAlignment w:val="auto"/>
        <w:rPr>
          <w:rFonts w:ascii="宋体" w:hAnsi="宋体" w:eastAsia="宋体" w:cs="宋体"/>
          <w:szCs w:val="24"/>
        </w:rPr>
      </w:pPr>
      <w:r>
        <w:rPr>
          <w:rFonts w:hint="eastAsia" w:ascii="宋体" w:hAnsi="宋体" w:cs="宋体"/>
        </w:rPr>
        <w:t>具体采购技术标准详见附件。</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施工地点: 赣州高速</w:t>
      </w:r>
      <w:r>
        <w:rPr>
          <w:rFonts w:ascii="宋体" w:hAnsi="宋体" w:eastAsia="宋体" w:cs="宋体"/>
          <w:kern w:val="0"/>
          <w:sz w:val="24"/>
          <w:szCs w:val="24"/>
        </w:rPr>
        <w:t>公路</w:t>
      </w:r>
      <w:r>
        <w:rPr>
          <w:rFonts w:hint="eastAsia" w:ascii="宋体" w:hAnsi="宋体" w:eastAsia="宋体" w:cs="宋体"/>
          <w:kern w:val="0"/>
          <w:sz w:val="24"/>
          <w:szCs w:val="24"/>
        </w:rPr>
        <w:t>有限责任公司下属</w:t>
      </w:r>
      <w:r>
        <w:rPr>
          <w:rFonts w:ascii="宋体" w:hAnsi="宋体" w:eastAsia="宋体" w:cs="宋体"/>
          <w:kern w:val="0"/>
          <w:sz w:val="24"/>
          <w:szCs w:val="24"/>
        </w:rPr>
        <w:t>和畅运营管理公司</w:t>
      </w:r>
      <w:r>
        <w:rPr>
          <w:rFonts w:hint="eastAsia" w:ascii="宋体" w:hAnsi="宋体" w:eastAsia="宋体" w:cs="宋体"/>
          <w:kern w:val="0"/>
          <w:sz w:val="24"/>
          <w:szCs w:val="24"/>
        </w:rPr>
        <w:t>赣定路段：监控中心、南康南、龙回、信丰北、信丰、铁石口、信丰服务区、龙南、定南、老城、定南省界机房和龙杨</w:t>
      </w:r>
      <w:r>
        <w:rPr>
          <w:rFonts w:ascii="宋体" w:hAnsi="宋体" w:eastAsia="宋体" w:cs="宋体"/>
          <w:kern w:val="0"/>
          <w:sz w:val="24"/>
          <w:szCs w:val="24"/>
        </w:rPr>
        <w:t>路段</w:t>
      </w:r>
      <w:r>
        <w:rPr>
          <w:rFonts w:hint="eastAsia" w:ascii="宋体" w:hAnsi="宋体" w:eastAsia="宋体" w:cs="宋体"/>
          <w:kern w:val="0"/>
          <w:sz w:val="24"/>
          <w:szCs w:val="24"/>
        </w:rPr>
        <w:t>：龙杨分中心</w:t>
      </w:r>
      <w:r>
        <w:rPr>
          <w:rFonts w:ascii="宋体" w:hAnsi="宋体" w:eastAsia="宋体" w:cs="宋体"/>
          <w:kern w:val="0"/>
          <w:sz w:val="24"/>
          <w:szCs w:val="24"/>
        </w:rPr>
        <w:t>、龙南南、全南、杨村、龙杨省界机房</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kern w:val="0"/>
          <w:sz w:val="24"/>
          <w:szCs w:val="24"/>
        </w:rPr>
        <w:t>施工时间：供应商（报价方）必须在签订合同后30天内完成供货及安装，如未完成，</w:t>
      </w:r>
      <w:r>
        <w:rPr>
          <w:rFonts w:hint="eastAsia" w:ascii="宋体" w:hAnsi="宋体" w:eastAsia="宋体" w:cs="宋体"/>
          <w:b/>
          <w:bCs/>
          <w:kern w:val="0"/>
          <w:sz w:val="24"/>
          <w:szCs w:val="24"/>
        </w:rPr>
        <w:t>逾期违约金：1000元/天</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b/>
          <w:bCs/>
          <w:kern w:val="0"/>
          <w:sz w:val="24"/>
          <w:szCs w:val="24"/>
        </w:rPr>
        <w:t>三、本次询价的控制价上限及要求</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控制价上限：</w:t>
      </w:r>
      <w:r>
        <w:rPr>
          <w:rFonts w:hint="eastAsia" w:ascii="宋体" w:hAnsi="宋体" w:eastAsia="宋体" w:cs="宋体"/>
          <w:b/>
          <w:bCs/>
          <w:color w:val="auto"/>
          <w:kern w:val="0"/>
          <w:sz w:val="24"/>
          <w:szCs w:val="24"/>
          <w:lang w:val="en-US" w:eastAsia="zh-CN"/>
        </w:rPr>
        <w:t>41</w:t>
      </w:r>
      <w:r>
        <w:rPr>
          <w:rFonts w:hint="eastAsia" w:ascii="宋体" w:hAnsi="宋体" w:eastAsia="宋体" w:cs="宋体"/>
          <w:b/>
          <w:bCs/>
          <w:color w:val="auto"/>
          <w:kern w:val="0"/>
          <w:sz w:val="24"/>
          <w:szCs w:val="24"/>
        </w:rPr>
        <w:t>万元。</w:t>
      </w:r>
      <w:r>
        <w:rPr>
          <w:rFonts w:hint="eastAsia" w:ascii="宋体" w:hAnsi="宋体" w:eastAsia="宋体" w:cs="宋体"/>
          <w:color w:val="auto"/>
          <w:kern w:val="0"/>
          <w:sz w:val="24"/>
          <w:szCs w:val="24"/>
        </w:rPr>
        <w:t>报价方的报价不得高于本限价，否则视为不响应询价文件，而被采购方拒绝。</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本报价包含实施和完成项目所需的劳务、材料、机械、质检（自检）、安装、咨询</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调试</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后续服务、安全、</w:t>
      </w:r>
      <w:r>
        <w:rPr>
          <w:rFonts w:hint="eastAsia" w:ascii="宋体" w:hAnsi="宋体" w:eastAsia="宋体" w:cs="宋体"/>
          <w:color w:val="auto"/>
          <w:kern w:val="0"/>
          <w:sz w:val="24"/>
          <w:szCs w:val="24"/>
        </w:rPr>
        <w:t>交通、管理、保险、税费、利润等所有费用，采购方不再另行支付其他费用。</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en-US" w:eastAsia="zh-CN"/>
        </w:rPr>
        <w:tab/>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1"/>
        <w:rPr>
          <w:rFonts w:ascii="宋体" w:hAnsi="宋体" w:cs="宋体"/>
          <w:b/>
          <w:color w:val="auto"/>
          <w:sz w:val="24"/>
        </w:rPr>
      </w:pPr>
      <w:bookmarkStart w:id="1" w:name="_Toc5310"/>
      <w:r>
        <w:rPr>
          <w:rFonts w:hint="eastAsia" w:ascii="宋体" w:hAnsi="宋体" w:cs="宋体"/>
          <w:b/>
          <w:color w:val="auto"/>
          <w:sz w:val="24"/>
        </w:rPr>
        <w:t>四、</w:t>
      </w:r>
      <w:bookmarkEnd w:id="1"/>
      <w:r>
        <w:rPr>
          <w:rFonts w:hint="eastAsia" w:ascii="宋体" w:hAnsi="宋体" w:cs="宋体"/>
          <w:b/>
          <w:color w:val="auto"/>
          <w:sz w:val="24"/>
        </w:rPr>
        <w:t>询价保证金</w:t>
      </w:r>
    </w:p>
    <w:p>
      <w:pPr>
        <w:keepNext w:val="0"/>
        <w:keepLines w:val="0"/>
        <w:pageBreakBefore w:val="0"/>
        <w:kinsoku/>
        <w:wordWrap/>
        <w:overflowPunct/>
        <w:topLinePunct w:val="0"/>
        <w:autoSpaceDN/>
        <w:bidi w:val="0"/>
        <w:adjustRightInd/>
        <w:snapToGrid/>
        <w:spacing w:line="380" w:lineRule="exact"/>
        <w:ind w:firstLine="480" w:firstLineChars="200"/>
        <w:textAlignment w:val="auto"/>
        <w:rPr>
          <w:rFonts w:ascii="宋体" w:hAnsi="宋体"/>
          <w:sz w:val="24"/>
        </w:rPr>
      </w:pPr>
      <w:r>
        <w:rPr>
          <w:rFonts w:hint="eastAsia" w:ascii="宋体" w:hAnsi="宋体"/>
          <w:color w:val="auto"/>
          <w:sz w:val="24"/>
        </w:rPr>
        <w:t>该项目询价保证金为人民币</w:t>
      </w:r>
      <w:r>
        <w:rPr>
          <w:rFonts w:hint="eastAsia" w:ascii="宋体" w:hAnsi="宋体"/>
          <w:color w:val="auto"/>
          <w:sz w:val="24"/>
          <w:lang w:val="en-US" w:eastAsia="zh-CN"/>
        </w:rPr>
        <w:t>捌仟</w:t>
      </w:r>
      <w:r>
        <w:rPr>
          <w:rFonts w:hint="eastAsia" w:ascii="宋体" w:hAnsi="宋体"/>
          <w:color w:val="auto"/>
          <w:sz w:val="24"/>
        </w:rPr>
        <w:t>圆整(￥</w:t>
      </w:r>
      <w:r>
        <w:rPr>
          <w:rFonts w:hint="eastAsia" w:ascii="宋体" w:hAnsi="宋体"/>
          <w:color w:val="auto"/>
          <w:sz w:val="24"/>
          <w:lang w:val="en-US" w:eastAsia="zh-CN"/>
        </w:rPr>
        <w:t>8000</w:t>
      </w:r>
      <w:r>
        <w:rPr>
          <w:rFonts w:hint="eastAsia" w:ascii="宋体" w:hAnsi="宋体"/>
          <w:color w:val="auto"/>
          <w:sz w:val="24"/>
        </w:rPr>
        <w:t>元)。</w:t>
      </w:r>
      <w:r>
        <w:rPr>
          <w:rFonts w:hint="eastAsia" w:ascii="宋体" w:hAnsi="宋体"/>
          <w:sz w:val="24"/>
        </w:rPr>
        <w:t>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pPr>
        <w:keepNext w:val="0"/>
        <w:keepLines w:val="0"/>
        <w:pageBreakBefore w:val="0"/>
        <w:kinsoku/>
        <w:wordWrap/>
        <w:overflowPunct/>
        <w:topLinePunct w:val="0"/>
        <w:autoSpaceDN/>
        <w:bidi w:val="0"/>
        <w:adjustRightInd/>
        <w:snapToGrid/>
        <w:spacing w:line="380" w:lineRule="exact"/>
        <w:ind w:firstLine="480" w:firstLineChars="200"/>
        <w:textAlignment w:val="auto"/>
        <w:rPr>
          <w:rFonts w:ascii="宋体" w:hAnsi="宋体"/>
          <w:sz w:val="24"/>
        </w:rPr>
      </w:pPr>
      <w:r>
        <w:rPr>
          <w:rFonts w:hint="eastAsia" w:ascii="宋体" w:hAnsi="宋体"/>
          <w:sz w:val="24"/>
        </w:rPr>
        <w:t>询价保证金必须按上述的时限、密封要求递交，否则其询价保证金无效，询价单位有权拒绝其报价文件。</w:t>
      </w:r>
    </w:p>
    <w:p>
      <w:pPr>
        <w:keepNext w:val="0"/>
        <w:keepLines w:val="0"/>
        <w:pageBreakBefore w:val="0"/>
        <w:kinsoku/>
        <w:wordWrap/>
        <w:overflowPunct/>
        <w:topLinePunct w:val="0"/>
        <w:autoSpaceDN/>
        <w:bidi w:val="0"/>
        <w:adjustRightInd/>
        <w:snapToGrid/>
        <w:spacing w:line="380" w:lineRule="exact"/>
        <w:ind w:firstLine="480" w:firstLineChars="200"/>
        <w:textAlignment w:val="auto"/>
        <w:rPr>
          <w:rFonts w:hint="eastAsia" w:ascii="宋体" w:hAnsi="宋体"/>
          <w:color w:val="auto"/>
          <w:sz w:val="24"/>
        </w:rPr>
      </w:pPr>
      <w:r>
        <w:rPr>
          <w:rFonts w:hint="eastAsia" w:ascii="宋体" w:hAnsi="宋体"/>
          <w:sz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Pr>
          <w:rFonts w:hint="eastAsia" w:ascii="宋体" w:hAnsi="宋体"/>
          <w:sz w:val="24"/>
          <w:lang w:eastAsia="zh-CN"/>
        </w:rPr>
        <w:t>，</w:t>
      </w:r>
      <w:r>
        <w:rPr>
          <w:rFonts w:hint="eastAsia" w:ascii="宋体" w:hAnsi="宋体" w:cs="宋体"/>
          <w:b w:val="0"/>
          <w:bCs/>
          <w:sz w:val="24"/>
          <w:lang w:val="en-US" w:eastAsia="zh-CN"/>
        </w:rPr>
        <w:t>如中选人拒绝签订合同或存在其他损害询价人利益的情况，</w:t>
      </w:r>
      <w:r>
        <w:rPr>
          <w:rFonts w:hint="eastAsia" w:ascii="宋体" w:hAnsi="宋体"/>
          <w:sz w:val="24"/>
        </w:rPr>
        <w:t>询价单位</w:t>
      </w:r>
      <w:r>
        <w:rPr>
          <w:rFonts w:hint="eastAsia" w:ascii="宋体" w:hAnsi="宋体" w:cs="宋体"/>
          <w:b w:val="0"/>
          <w:bCs/>
          <w:sz w:val="24"/>
          <w:lang w:val="en-US" w:eastAsia="zh-CN"/>
        </w:rPr>
        <w:t>有权拒绝退还中选单位的询价保证金</w:t>
      </w:r>
      <w:r>
        <w:rPr>
          <w:rFonts w:hint="eastAsia" w:ascii="宋体" w:hAnsi="宋体" w:cs="宋体"/>
          <w:b w:val="0"/>
          <w:bCs/>
          <w:sz w:val="24"/>
        </w:rPr>
        <w:t>。</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cs="宋体"/>
          <w:b/>
          <w:bCs w:val="0"/>
          <w:sz w:val="24"/>
          <w:lang w:val="en-US" w:eastAsia="zh-CN"/>
        </w:rPr>
      </w:pPr>
      <w:r>
        <w:rPr>
          <w:rFonts w:hint="eastAsia" w:ascii="宋体" w:hAnsi="宋体" w:cs="宋体"/>
          <w:b/>
          <w:bCs w:val="0"/>
          <w:sz w:val="24"/>
          <w:lang w:val="en-US" w:eastAsia="zh-CN"/>
        </w:rPr>
        <w:t>五、履约担保</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1、在公示结束后14天内成交人应向合同签订人提交履约担保并签订合同，履约担保金额为10%签约合同价。</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2、履约担保的形式：保函或现金保证金。</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若采用银行保函，出具履约保证金的银行级别：成交人所在地的国有商业银行或股份制商业银行的支行及以上级别且具有相应担保能力；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若采用财务公司保函，财务公司应属于中国银行保险监管委员会批准的国有财务公司且经合同签订人认可；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若采用现金，成交人应从其基本账户以转账或电汇形式一次性转入合同签订人指定的银行账户内（退还时不计利息）。</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lang w:val="en-US" w:eastAsia="zh-CN"/>
        </w:rPr>
      </w:pPr>
      <w:r>
        <w:rPr>
          <w:rFonts w:hint="eastAsia" w:ascii="宋体" w:hAnsi="宋体"/>
          <w:sz w:val="24"/>
          <w:lang w:val="en-US" w:eastAsia="zh-CN"/>
        </w:rPr>
        <w:t>3、在项目实施完成合同工作内容并经业主验收合格后28天内将履约担保退还成交人。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ascii="宋体" w:hAnsi="宋体"/>
          <w:sz w:val="24"/>
          <w:lang w:val="en-US" w:eastAsia="zh-CN"/>
        </w:rPr>
        <w:t>4、履约担保采用公路工程标准施工招标文件（2018版本）履约担保的格式。</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、费用的支付</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kern w:val="0"/>
          <w:sz w:val="24"/>
          <w:szCs w:val="24"/>
        </w:rPr>
        <w:t>1、第1期支付： UPS电池</w:t>
      </w:r>
      <w:r>
        <w:rPr>
          <w:rFonts w:ascii="宋体" w:hAnsi="宋体" w:eastAsia="宋体" w:cs="宋体"/>
          <w:kern w:val="0"/>
          <w:sz w:val="24"/>
          <w:szCs w:val="24"/>
        </w:rPr>
        <w:t>更换</w:t>
      </w:r>
      <w:r>
        <w:rPr>
          <w:rFonts w:hint="eastAsia" w:ascii="宋体" w:hAnsi="宋体" w:eastAsia="宋体" w:cs="宋体"/>
          <w:kern w:val="0"/>
          <w:sz w:val="24"/>
          <w:szCs w:val="24"/>
        </w:rPr>
        <w:t>完成并经验收合格后</w:t>
      </w:r>
      <w:r>
        <w:rPr>
          <w:rFonts w:ascii="宋体" w:hAnsi="宋体" w:eastAsia="宋体" w:cs="宋体"/>
          <w:kern w:val="0"/>
          <w:sz w:val="24"/>
          <w:szCs w:val="24"/>
        </w:rPr>
        <w:t>30</w:t>
      </w:r>
      <w:r>
        <w:rPr>
          <w:rFonts w:hint="eastAsia" w:ascii="宋体" w:hAnsi="宋体" w:eastAsia="宋体" w:cs="宋体"/>
          <w:kern w:val="0"/>
          <w:sz w:val="24"/>
          <w:szCs w:val="24"/>
        </w:rPr>
        <w:t>天内支付已完工程</w:t>
      </w:r>
      <w:r>
        <w:rPr>
          <w:rFonts w:ascii="宋体" w:hAnsi="宋体" w:eastAsia="宋体" w:cs="宋体"/>
          <w:kern w:val="0"/>
          <w:sz w:val="24"/>
          <w:szCs w:val="24"/>
        </w:rPr>
        <w:t>97</w:t>
      </w:r>
      <w:r>
        <w:rPr>
          <w:rFonts w:hint="eastAsia" w:ascii="宋体" w:hAnsi="宋体" w:eastAsia="宋体" w:cs="宋体"/>
          <w:kern w:val="0"/>
          <w:sz w:val="24"/>
          <w:szCs w:val="24"/>
        </w:rPr>
        <w:t>%的工程款；</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kern w:val="0"/>
          <w:sz w:val="24"/>
          <w:szCs w:val="24"/>
        </w:rPr>
        <w:t>2、第2期支付：质保期贰年，期满并经询价方验收合格后</w:t>
      </w:r>
      <w:r>
        <w:rPr>
          <w:rFonts w:ascii="宋体" w:hAnsi="宋体" w:eastAsia="宋体" w:cs="宋体"/>
          <w:kern w:val="0"/>
          <w:sz w:val="24"/>
          <w:szCs w:val="24"/>
        </w:rPr>
        <w:t>30</w:t>
      </w:r>
      <w:r>
        <w:rPr>
          <w:rFonts w:hint="eastAsia" w:ascii="宋体" w:hAnsi="宋体" w:eastAsia="宋体" w:cs="宋体"/>
          <w:kern w:val="0"/>
          <w:sz w:val="24"/>
          <w:szCs w:val="24"/>
        </w:rPr>
        <w:t>天内支付剩余</w:t>
      </w:r>
      <w:r>
        <w:rPr>
          <w:rFonts w:ascii="宋体" w:hAnsi="宋体" w:eastAsia="宋体" w:cs="宋体"/>
          <w:kern w:val="0"/>
          <w:sz w:val="24"/>
          <w:szCs w:val="24"/>
        </w:rPr>
        <w:t>3</w:t>
      </w:r>
      <w:r>
        <w:rPr>
          <w:rFonts w:hint="eastAsia" w:ascii="宋体" w:hAnsi="宋体" w:eastAsia="宋体" w:cs="宋体"/>
          <w:kern w:val="0"/>
          <w:sz w:val="24"/>
          <w:szCs w:val="24"/>
        </w:rPr>
        <w:t>%的工程款。</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、报价方资格要求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sz w:val="24"/>
        </w:rPr>
      </w:pPr>
      <w:r>
        <w:rPr>
          <w:rFonts w:hint="eastAsia" w:ascii="宋体" w:hAnsi="宋体" w:eastAsia="宋体"/>
          <w:sz w:val="24"/>
        </w:rPr>
        <w:t>1、资格要求：具备独立法人资格，持有有效的营业执照</w:t>
      </w:r>
      <w:r>
        <w:rPr>
          <w:rFonts w:hint="eastAsia" w:ascii="宋体" w:hAnsi="宋体"/>
          <w:sz w:val="24"/>
        </w:rPr>
        <w:t>（</w:t>
      </w:r>
      <w:r>
        <w:rPr>
          <w:rFonts w:hint="eastAsia" w:ascii="宋体" w:hAnsi="宋体" w:eastAsia="宋体" w:cs="宋体"/>
          <w:kern w:val="0"/>
          <w:sz w:val="24"/>
          <w:szCs w:val="24"/>
        </w:rPr>
        <w:t>具有本次采购项目经营范围</w:t>
      </w:r>
      <w:r>
        <w:rPr>
          <w:rFonts w:hint="eastAsia" w:ascii="宋体" w:hAnsi="宋体"/>
          <w:sz w:val="24"/>
        </w:rPr>
        <w:t>）</w:t>
      </w:r>
      <w:r>
        <w:rPr>
          <w:rFonts w:hint="eastAsia" w:ascii="宋体" w:hAnsi="宋体" w:eastAsia="宋体"/>
          <w:sz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sz w:val="24"/>
        </w:rPr>
      </w:pPr>
      <w:r>
        <w:rPr>
          <w:rFonts w:hint="eastAsia" w:ascii="宋体" w:hAnsi="宋体" w:eastAsia="宋体"/>
          <w:sz w:val="24"/>
        </w:rPr>
        <w:t>2、业绩要求：近三年内（</w:t>
      </w:r>
      <w:r>
        <w:rPr>
          <w:rFonts w:hint="eastAsia" w:ascii="宋体" w:hAnsi="宋体" w:eastAsia="宋体" w:cs="宋体"/>
          <w:i w:val="0"/>
          <w:iCs w:val="0"/>
          <w:caps w:val="0"/>
          <w:color w:val="auto"/>
          <w:spacing w:val="0"/>
          <w:sz w:val="24"/>
          <w:szCs w:val="24"/>
          <w:highlight w:val="none"/>
        </w:rPr>
        <w:t>合同签订时间为2020年</w:t>
      </w:r>
      <w:r>
        <w:rPr>
          <w:rFonts w:hint="eastAsia" w:ascii="宋体" w:hAnsi="宋体" w:eastAsia="宋体" w:cs="宋体"/>
          <w:i w:val="0"/>
          <w:iCs w:val="0"/>
          <w:caps w:val="0"/>
          <w:color w:val="auto"/>
          <w:spacing w:val="0"/>
          <w:sz w:val="24"/>
          <w:szCs w:val="24"/>
          <w:highlight w:val="none"/>
          <w:lang w:val="en-US" w:eastAsia="zh-CN"/>
        </w:rPr>
        <w:t>5</w:t>
      </w:r>
      <w:r>
        <w:rPr>
          <w:rFonts w:hint="eastAsia" w:ascii="宋体" w:hAnsi="宋体" w:eastAsia="宋体" w:cs="宋体"/>
          <w:i w:val="0"/>
          <w:iCs w:val="0"/>
          <w:caps w:val="0"/>
          <w:color w:val="auto"/>
          <w:spacing w:val="0"/>
          <w:sz w:val="24"/>
          <w:szCs w:val="24"/>
          <w:highlight w:val="none"/>
        </w:rPr>
        <w:t>月1日至询价公告发布前1日</w:t>
      </w:r>
      <w:r>
        <w:rPr>
          <w:rFonts w:hint="eastAsia" w:ascii="宋体" w:hAnsi="宋体" w:eastAsia="宋体"/>
          <w:sz w:val="24"/>
        </w:rPr>
        <w:t>）</w:t>
      </w:r>
      <w:r>
        <w:rPr>
          <w:rFonts w:hint="eastAsia" w:ascii="宋体" w:hAnsi="宋体" w:eastAsia="宋体"/>
          <w:sz w:val="24"/>
          <w:lang w:val="en-US" w:eastAsia="zh-CN"/>
        </w:rPr>
        <w:t>承接过合同金额不少于30万的UPS电池更换项目的标段不少于1</w:t>
      </w:r>
      <w:r>
        <w:rPr>
          <w:rFonts w:hint="eastAsia" w:ascii="宋体" w:hAnsi="宋体" w:eastAsia="宋体"/>
          <w:sz w:val="24"/>
        </w:rPr>
        <w:t>个。</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pP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rPr>
        <w:t>、</w:t>
      </w:r>
      <w:r>
        <w:rPr>
          <w:rFonts w:hint="eastAsia" w:ascii="宋体" w:hAnsi="宋体" w:eastAsia="宋体" w:cs="Times New Roman"/>
          <w:sz w:val="24"/>
          <w:szCs w:val="24"/>
          <w:highlight w:val="none"/>
          <w:lang w:val="en-US" w:eastAsia="zh-CN"/>
        </w:rPr>
        <w:t>人员要求：</w:t>
      </w:r>
      <w:r>
        <w:rPr>
          <w:rFonts w:hint="eastAsia" w:ascii="宋体" w:hAnsi="宋体" w:eastAsia="宋体" w:cs="Times New Roman"/>
          <w:sz w:val="24"/>
          <w:szCs w:val="24"/>
          <w:highlight w:val="none"/>
        </w:rPr>
        <w:t>报价人应提供报价人所属社保机构出具的拟委任的项目负责人近</w:t>
      </w:r>
      <w:r>
        <w:rPr>
          <w:rFonts w:hint="eastAsia" w:ascii="宋体" w:hAnsi="宋体" w:eastAsia="宋体" w:cs="Times New Roman"/>
          <w:sz w:val="24"/>
          <w:szCs w:val="24"/>
          <w:highlight w:val="none"/>
          <w:lang w:val="en-US" w:eastAsia="zh-CN"/>
        </w:rPr>
        <w:t>一年内连续</w:t>
      </w:r>
      <w:r>
        <w:rPr>
          <w:rFonts w:hint="eastAsia" w:ascii="宋体" w:hAnsi="宋体" w:eastAsia="宋体" w:cs="Times New Roman"/>
          <w:sz w:val="24"/>
          <w:szCs w:val="24"/>
          <w:highlight w:val="none"/>
        </w:rPr>
        <w:t>三个月</w:t>
      </w:r>
      <w:r>
        <w:rPr>
          <w:rFonts w:hint="eastAsia" w:ascii="宋体" w:hAnsi="宋体" w:eastAsia="宋体" w:cs="Times New Roman"/>
          <w:sz w:val="24"/>
          <w:szCs w:val="24"/>
          <w:highlight w:val="none"/>
          <w:lang w:val="en-US" w:eastAsia="zh-CN"/>
        </w:rPr>
        <w:t>以上</w:t>
      </w:r>
      <w:r>
        <w:rPr>
          <w:rFonts w:hint="eastAsia" w:ascii="宋体" w:hAnsi="宋体" w:eastAsia="宋体" w:cs="Times New Roman"/>
          <w:sz w:val="24"/>
          <w:szCs w:val="24"/>
          <w:highlight w:val="none"/>
        </w:rPr>
        <w:t>的社保缴费证明或其他能够证明拟委任的项目负责人参加社保的有效证明材料复印件（社保证明材料的社保缴纳单位名称需与报价人单位名称一致）。</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ascii="微软雅黑" w:hAnsi="微软雅黑" w:eastAsia="微软雅黑" w:cs="宋体"/>
          <w:kern w:val="0"/>
          <w:sz w:val="24"/>
          <w:szCs w:val="24"/>
        </w:rPr>
      </w:pPr>
      <w:r>
        <w:rPr>
          <w:rFonts w:hint="eastAsia" w:ascii="宋体" w:hAnsi="宋体" w:eastAsia="宋体" w:cs="宋体"/>
          <w:b/>
          <w:bCs/>
          <w:kern w:val="0"/>
          <w:sz w:val="24"/>
          <w:szCs w:val="24"/>
          <w:lang w:val="en-US" w:eastAsia="zh-CN"/>
        </w:rPr>
        <w:t>八</w:t>
      </w:r>
      <w:r>
        <w:rPr>
          <w:rFonts w:hint="eastAsia" w:ascii="宋体" w:hAnsi="宋体" w:eastAsia="宋体" w:cs="宋体"/>
          <w:b/>
          <w:bCs/>
          <w:kern w:val="0"/>
          <w:sz w:val="24"/>
          <w:szCs w:val="24"/>
        </w:rPr>
        <w:t>、报价文件组成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highlight w:val="none"/>
        </w:rPr>
      </w:pPr>
      <w:r>
        <w:rPr>
          <w:rFonts w:hint="eastAsia" w:ascii="宋体" w:hAnsi="宋体" w:eastAsia="宋体" w:cs="Times New Roman"/>
          <w:sz w:val="24"/>
          <w:highlight w:val="none"/>
        </w:rPr>
        <w:t>请贵单位派专人携带身份</w:t>
      </w:r>
      <w:r>
        <w:rPr>
          <w:rFonts w:hint="eastAsia" w:ascii="宋体" w:hAnsi="宋体"/>
          <w:sz w:val="24"/>
          <w:highlight w:val="none"/>
        </w:rPr>
        <w:t>证原件及报价文件，参加本次询价活动，报价文件包括：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1、法人代表（持法人代表相关证明复印件）或其授权代理人（持授权书原件）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2、经办人身份证复印件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3、报价函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4、信誉承诺表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5、单位营业执照</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事业单位法人证书</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eastAsia="宋体"/>
          <w:highlight w:val="none"/>
          <w:lang w:val="en-US" w:eastAsia="zh-CN"/>
        </w:rPr>
      </w:pP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、业绩证明材料（</w:t>
      </w:r>
      <w:r>
        <w:rPr>
          <w:rFonts w:hint="eastAsia" w:ascii="宋体" w:hAnsi="宋体" w:eastAsia="宋体" w:cs="Times New Roman"/>
          <w:sz w:val="24"/>
          <w:highlight w:val="none"/>
          <w:lang w:val="en-US" w:eastAsia="zh-CN"/>
        </w:rPr>
        <w:t>须提供</w:t>
      </w:r>
      <w:r>
        <w:rPr>
          <w:rFonts w:hint="eastAsia" w:ascii="宋体" w:hAnsi="宋体" w:eastAsia="宋体" w:cs="Times New Roman"/>
          <w:sz w:val="24"/>
          <w:highlight w:val="none"/>
        </w:rPr>
        <w:t>已</w:t>
      </w:r>
      <w:r>
        <w:rPr>
          <w:rFonts w:hint="eastAsia" w:ascii="宋体" w:hAnsi="宋体" w:eastAsia="宋体" w:cs="Times New Roman"/>
          <w:sz w:val="24"/>
          <w:highlight w:val="none"/>
          <w:lang w:val="en-US" w:eastAsia="zh-CN"/>
        </w:rPr>
        <w:t>完项目的</w:t>
      </w:r>
      <w:r>
        <w:rPr>
          <w:rFonts w:hint="eastAsia" w:ascii="宋体" w:hAnsi="宋体" w:eastAsia="宋体" w:cs="Times New Roman"/>
          <w:sz w:val="24"/>
          <w:highlight w:val="none"/>
        </w:rPr>
        <w:t>合同</w:t>
      </w:r>
      <w:r>
        <w:rPr>
          <w:rFonts w:hint="eastAsia" w:ascii="宋体" w:hAnsi="宋体" w:eastAsia="宋体" w:cs="Times New Roman"/>
          <w:sz w:val="24"/>
          <w:highlight w:val="none"/>
          <w:lang w:val="en-US" w:eastAsia="zh-CN"/>
        </w:rPr>
        <w:t>文件</w:t>
      </w:r>
      <w:r>
        <w:rPr>
          <w:rFonts w:hint="eastAsia" w:ascii="宋体" w:hAnsi="宋体" w:eastAsia="宋体" w:cs="Times New Roman"/>
          <w:sz w:val="24"/>
          <w:highlight w:val="none"/>
        </w:rPr>
        <w:t>）复印件</w:t>
      </w:r>
      <w:r>
        <w:rPr>
          <w:rFonts w:hint="eastAsia" w:ascii="宋体" w:hAnsi="宋体" w:cs="Times New Roman"/>
          <w:sz w:val="24"/>
          <w:highlight w:val="none"/>
          <w:lang w:eastAsia="zh-CN"/>
        </w:rPr>
        <w:t>、</w:t>
      </w:r>
      <w:r>
        <w:rPr>
          <w:rFonts w:hint="eastAsia" w:ascii="宋体" w:hAnsi="宋体" w:cs="Times New Roman"/>
          <w:sz w:val="24"/>
          <w:highlight w:val="none"/>
          <w:lang w:val="en-US" w:eastAsia="zh-CN"/>
        </w:rPr>
        <w:t>人员相关资料。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7、询价文件要求的其它文件</w:t>
      </w:r>
      <w:r>
        <w:rPr>
          <w:rFonts w:hint="eastAsia" w:ascii="宋体" w:hAnsi="宋体" w:eastAsia="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Times New Roman"/>
          <w:b/>
          <w:bCs w:val="0"/>
          <w:sz w:val="24"/>
          <w:highlight w:val="none"/>
          <w:lang w:val="en-US" w:eastAsia="zh-CN"/>
        </w:rPr>
      </w:pPr>
      <w:r>
        <w:rPr>
          <w:rFonts w:hint="eastAsia" w:ascii="宋体" w:hAnsi="宋体" w:eastAsia="宋体" w:cs="Times New Roman"/>
          <w:b/>
          <w:bCs w:val="0"/>
          <w:sz w:val="24"/>
          <w:highlight w:val="none"/>
          <w:lang w:val="en-US" w:eastAsia="zh-CN"/>
        </w:rPr>
        <w:t>以上资料均应逐页加盖单位公章并装订成册（一式两份）、不得活页，并标明正副本（正本与副本内容不一致的，以正本为准）。</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sz w:val="24"/>
        </w:rPr>
      </w:pPr>
      <w:r>
        <w:rPr>
          <w:rFonts w:hint="eastAsia"/>
          <w:b/>
          <w:sz w:val="24"/>
          <w:lang w:val="en-US" w:eastAsia="zh-CN"/>
        </w:rPr>
        <w:t>九</w:t>
      </w:r>
      <w:r>
        <w:rPr>
          <w:b/>
          <w:sz w:val="24"/>
        </w:rPr>
        <w:t>、公告媒介、采购文件获取时间及方式：</w:t>
      </w:r>
      <w:r>
        <w:rPr>
          <w:sz w:val="24"/>
        </w:rPr>
        <w:t>有意向的报价人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rPr>
      </w:pPr>
      <w:r>
        <w:rPr>
          <w:rFonts w:hint="eastAsia"/>
          <w:b/>
          <w:sz w:val="24"/>
          <w:lang w:val="en-US" w:eastAsia="zh-CN"/>
        </w:rPr>
        <w:t>十</w:t>
      </w:r>
      <w:r>
        <w:rPr>
          <w:b/>
          <w:sz w:val="24"/>
        </w:rPr>
        <w:t>、报价文件的密封和标识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1"/>
        <w:rPr>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rPr>
      </w:pPr>
      <w:r>
        <w:rPr>
          <w:rFonts w:hint="eastAsia"/>
          <w:b/>
          <w:sz w:val="24"/>
          <w:lang w:val="en-US" w:eastAsia="zh-CN"/>
        </w:rPr>
        <w:t>十一</w:t>
      </w:r>
      <w:r>
        <w:rPr>
          <w:b/>
          <w:sz w:val="24"/>
        </w:rPr>
        <w:t>、报价文件的递交及相关事宜：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报价文件的递交截止时间：2023年</w:t>
      </w:r>
      <w:r>
        <w:rPr>
          <w:rFonts w:hint="eastAsia"/>
          <w:sz w:val="24"/>
          <w:lang w:val="en-US" w:eastAsia="zh-CN"/>
        </w:rPr>
        <w:t>6</w:t>
      </w:r>
      <w:r>
        <w:rPr>
          <w:sz w:val="24"/>
        </w:rPr>
        <w:t>月</w:t>
      </w:r>
      <w:r>
        <w:rPr>
          <w:rFonts w:hint="eastAsia"/>
          <w:sz w:val="24"/>
          <w:lang w:val="en-US" w:eastAsia="zh-CN"/>
        </w:rPr>
        <w:t>5</w:t>
      </w:r>
      <w:r>
        <w:rPr>
          <w:sz w:val="24"/>
        </w:rPr>
        <w:t>日</w:t>
      </w:r>
      <w:r>
        <w:rPr>
          <w:rFonts w:hint="eastAsia"/>
          <w:sz w:val="24"/>
          <w:lang w:val="en-US" w:eastAsia="zh-CN"/>
        </w:rPr>
        <w:t>9</w:t>
      </w:r>
      <w:r>
        <w:rPr>
          <w:sz w:val="24"/>
        </w:rPr>
        <w:t>：</w:t>
      </w:r>
      <w:r>
        <w:rPr>
          <w:rFonts w:hint="eastAsia"/>
          <w:sz w:val="24"/>
          <w:lang w:val="en-US" w:eastAsia="zh-CN"/>
        </w:rPr>
        <w:t>3</w:t>
      </w:r>
      <w:r>
        <w:rPr>
          <w:sz w:val="24"/>
        </w:rPr>
        <w:t>0，递交地址：赣州市章贡区沙河镇赣州东收费站出口旁赣州交通控股集团有限公司9楼会议室。采购人将拒绝接受在递交截止时间后送达的报价函。</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二</w:t>
      </w:r>
      <w:r>
        <w:rPr>
          <w:b/>
          <w:sz w:val="24"/>
        </w:rPr>
        <w:t>、报价文件的开启程序</w:t>
      </w:r>
      <w:bookmarkStart w:id="2" w:name="_GoBack"/>
      <w:bookmarkEnd w:id="2"/>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1、公布在截止时间前递交报价文件的报价人数量；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2、报价人代表现场检查报价文件密封情况；</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3、开启报价文件，公布报价人名称、报价等，结束后报价人及采购小组签字确认。</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三</w:t>
      </w:r>
      <w:r>
        <w:rPr>
          <w:b/>
          <w:sz w:val="24"/>
        </w:rPr>
        <w:t>、公示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四</w:t>
      </w:r>
      <w:r>
        <w:rPr>
          <w:b/>
          <w:sz w:val="24"/>
        </w:rPr>
        <w:t>、联系方式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采购人名称：赣州高速公路有限责任公司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采购人地址：江西省赣州市章贡区沙河镇赣州东收费站出口右侧（赣州交通控股集团有限公司）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联系人：</w:t>
      </w:r>
      <w:r>
        <w:rPr>
          <w:rFonts w:hint="eastAsia"/>
          <w:sz w:val="24"/>
        </w:rPr>
        <w:t>杨先生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电  话：</w:t>
      </w:r>
      <w:r>
        <w:rPr>
          <w:rFonts w:hint="eastAsia" w:ascii="宋体" w:hAnsi="宋体" w:cs="宋体"/>
          <w:bCs/>
          <w:sz w:val="24"/>
        </w:rPr>
        <w:t>0797-8289692</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五</w:t>
      </w:r>
      <w:r>
        <w:rPr>
          <w:b/>
          <w:sz w:val="24"/>
        </w:rPr>
        <w:t>、监督部门及联系方式</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监督部门：赣州交通控股集团有限公司风控审计部、纪检监察室</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sz w:val="24"/>
        </w:rPr>
      </w:pPr>
      <w:r>
        <w:rPr>
          <w:sz w:val="24"/>
        </w:rPr>
        <w:t>地    址：江西省赣州市章贡区沙河镇赣州东收费站出口右侧（赣州交通控股集团有限公司）</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sz w:val="24"/>
        </w:rPr>
        <w:t>电    话：</w:t>
      </w:r>
      <w:r>
        <w:rPr>
          <w:rFonts w:hint="eastAsia" w:ascii="宋体" w:hAnsi="宋体" w:eastAsia="宋体" w:cs="宋体"/>
          <w:sz w:val="24"/>
        </w:rPr>
        <w:t>0797-8289879、0797-8282685</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rPr>
      </w:pPr>
      <w:r>
        <w:rPr>
          <w:rFonts w:hint="eastAsia" w:ascii="宋体" w:hAnsi="宋体" w:eastAsia="宋体" w:cs="宋体"/>
          <w:sz w:val="24"/>
        </w:rPr>
        <w:t>邮政编码：341000</w:t>
      </w:r>
    </w:p>
    <w:p>
      <w:pPr>
        <w:keepNext w:val="0"/>
        <w:keepLines w:val="0"/>
        <w:pageBreakBefore w:val="0"/>
        <w:kinsoku/>
        <w:wordWrap/>
        <w:overflowPunct/>
        <w:topLinePunct w:val="0"/>
        <w:autoSpaceDE/>
        <w:autoSpaceDN/>
        <w:bidi w:val="0"/>
        <w:adjustRightInd/>
        <w:snapToGrid/>
        <w:spacing w:line="400" w:lineRule="exact"/>
        <w:textAlignment w:val="auto"/>
        <w:rPr>
          <w:sz w:val="24"/>
        </w:rPr>
      </w:pP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ind w:firstLine="4536" w:firstLineChars="1890"/>
        <w:jc w:val="center"/>
        <w:textAlignment w:val="auto"/>
        <w:rPr>
          <w:sz w:val="24"/>
        </w:rPr>
      </w:pPr>
      <w:r>
        <w:rPr>
          <w:sz w:val="24"/>
        </w:rPr>
        <w:t>赣州高速公路有限责任公司</w:t>
      </w:r>
    </w:p>
    <w:p>
      <w:pPr>
        <w:keepNext w:val="0"/>
        <w:keepLines w:val="0"/>
        <w:pageBreakBefore w:val="0"/>
        <w:kinsoku/>
        <w:wordWrap/>
        <w:overflowPunct/>
        <w:topLinePunct w:val="0"/>
        <w:autoSpaceDE/>
        <w:autoSpaceDN/>
        <w:bidi w:val="0"/>
        <w:adjustRightInd/>
        <w:snapToGrid/>
        <w:spacing w:line="400" w:lineRule="exact"/>
        <w:ind w:firstLine="4536" w:firstLineChars="1890"/>
        <w:jc w:val="center"/>
        <w:textAlignment w:val="auto"/>
        <w:rPr>
          <w:sz w:val="24"/>
        </w:rPr>
      </w:pPr>
      <w:r>
        <w:rPr>
          <w:sz w:val="24"/>
        </w:rPr>
        <w:t>2023年</w:t>
      </w:r>
      <w:r>
        <w:rPr>
          <w:rFonts w:hint="eastAsia"/>
          <w:sz w:val="24"/>
        </w:rPr>
        <w:t>5</w:t>
      </w:r>
      <w:r>
        <w:rPr>
          <w:sz w:val="24"/>
        </w:rPr>
        <w:t>月</w:t>
      </w:r>
      <w:r>
        <w:rPr>
          <w:rFonts w:hint="eastAsia"/>
          <w:sz w:val="24"/>
          <w:lang w:val="en-US" w:eastAsia="zh-CN"/>
        </w:rPr>
        <w:t>30</w:t>
      </w:r>
      <w:r>
        <w:rPr>
          <w:sz w:val="24"/>
        </w:rPr>
        <w:t>日</w:t>
      </w:r>
    </w:p>
    <w:p>
      <w:pPr>
        <w:spacing w:line="420" w:lineRule="exact"/>
        <w:jc w:val="both"/>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ascii="宋体" w:hAnsi="宋体" w:eastAsia="宋体" w:cs="宋体"/>
          <w:kern w:val="0"/>
          <w:sz w:val="24"/>
          <w:szCs w:val="24"/>
        </w:rPr>
      </w:pPr>
      <w:r>
        <w:rPr>
          <w:rFonts w:hint="eastAsia" w:ascii="宋体" w:hAnsi="宋体" w:eastAsia="宋体" w:cs="宋体"/>
          <w:kern w:val="0"/>
          <w:sz w:val="24"/>
          <w:szCs w:val="24"/>
        </w:rPr>
        <w:t>技术标准及要求：</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1.蓄电池工作环境温度为-</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5℃，应能 -</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5℃的条件下正常使用。</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2.蓄电池外观不应有变形、漏液、裂纹及污迹，标志清晰，蓄电池的正负端子有明显标志，其端子外形设计合理，便于连接。</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3.初装后的蓄电池经补充充电，通常在25℃下，10小时率容量第一次循环不低于9</w:t>
      </w:r>
      <w:r>
        <w:rPr>
          <w:rFonts w:ascii="宋体" w:hAnsi="宋体" w:eastAsia="宋体" w:cs="宋体"/>
          <w:kern w:val="0"/>
          <w:sz w:val="24"/>
          <w:szCs w:val="24"/>
        </w:rPr>
        <w:t>6</w:t>
      </w:r>
      <w:r>
        <w:rPr>
          <w:rFonts w:hint="eastAsia" w:ascii="宋体" w:hAnsi="宋体" w:eastAsia="宋体" w:cs="宋体"/>
          <w:kern w:val="0"/>
          <w:sz w:val="24"/>
          <w:szCs w:val="24"/>
        </w:rPr>
        <w:t>%C10，第三次循环应达到100%C10，3小时率容量应在第一次循环达到75%C10，1小时率容量应在第一次循环达到55%C10。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4.蓄电池配置连接线或铜排。</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5.蓄电池规格型号</w:t>
      </w:r>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重量偏差不超过标称值的</w:t>
      </w:r>
      <w:r>
        <w:rPr>
          <w:rFonts w:ascii="宋体" w:hAnsi="宋体" w:eastAsia="宋体" w:cs="宋体"/>
          <w:kern w:val="0"/>
          <w:sz w:val="24"/>
          <w:szCs w:val="24"/>
        </w:rPr>
        <w:t>2</w:t>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6.蓄电池应能承受50kpa的正压或负压而不破裂，不开胶，压力释放后壳体无残余变形。</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7.蓄电池以30I10放电3分钟，极柱，内部汇流排不应熔断，外观不出现异常。</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8.蓄电池在充电饱和稳定状态下的内阻应≤0.</w:t>
      </w:r>
      <w:r>
        <w:rPr>
          <w:rFonts w:ascii="宋体" w:hAnsi="宋体" w:eastAsia="宋体" w:cs="宋体"/>
          <w:kern w:val="0"/>
          <w:sz w:val="24"/>
          <w:szCs w:val="24"/>
        </w:rPr>
        <w:t>5</w:t>
      </w:r>
      <w:r>
        <w:rPr>
          <w:rFonts w:hint="eastAsia" w:ascii="宋体" w:hAnsi="宋体" w:eastAsia="宋体" w:cs="宋体"/>
          <w:kern w:val="0"/>
          <w:sz w:val="24"/>
          <w:szCs w:val="24"/>
        </w:rPr>
        <w:t>0MΩ，自放电应≤3%/月。</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9.蓄电池密封反应效率不低于9</w:t>
      </w:r>
      <w:r>
        <w:rPr>
          <w:rFonts w:ascii="宋体" w:hAnsi="宋体" w:eastAsia="宋体" w:cs="宋体"/>
          <w:kern w:val="0"/>
          <w:sz w:val="24"/>
          <w:szCs w:val="24"/>
        </w:rPr>
        <w:t>9</w:t>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10.蓄电池在正常工作过程中应无酸雾逸出。</w:t>
      </w:r>
    </w:p>
    <w:p>
      <w:pPr>
        <w:spacing w:line="360" w:lineRule="auto"/>
        <w:ind w:left="240" w:hanging="240" w:hangingChars="100"/>
        <w:rPr>
          <w:rFonts w:ascii="宋体" w:hAnsi="宋体" w:eastAsia="宋体" w:cs="宋体"/>
          <w:kern w:val="0"/>
          <w:sz w:val="24"/>
          <w:szCs w:val="24"/>
        </w:rPr>
      </w:pPr>
      <w:r>
        <w:rPr>
          <w:rFonts w:hint="eastAsia" w:ascii="宋体" w:hAnsi="宋体" w:eastAsia="宋体" w:cs="宋体"/>
          <w:kern w:val="0"/>
          <w:sz w:val="24"/>
          <w:szCs w:val="24"/>
        </w:rPr>
        <w:t>11.安全阀应具有自动开启和自动关闭的功能。其开阀应在</w:t>
      </w:r>
      <w:r>
        <w:rPr>
          <w:rFonts w:ascii="宋体" w:hAnsi="宋体" w:eastAsia="宋体" w:cs="宋体"/>
          <w:kern w:val="0"/>
          <w:sz w:val="24"/>
          <w:szCs w:val="24"/>
        </w:rPr>
        <w:t>20</w:t>
      </w:r>
      <w:r>
        <w:rPr>
          <w:rFonts w:hint="eastAsia" w:ascii="宋体" w:hAnsi="宋体" w:eastAsia="宋体" w:cs="宋体"/>
          <w:kern w:val="0"/>
          <w:sz w:val="24"/>
          <w:szCs w:val="24"/>
        </w:rPr>
        <w:t>kpa～</w:t>
      </w:r>
      <w:r>
        <w:rPr>
          <w:rFonts w:ascii="宋体" w:hAnsi="宋体" w:eastAsia="宋体" w:cs="宋体"/>
          <w:kern w:val="0"/>
          <w:sz w:val="24"/>
          <w:szCs w:val="24"/>
        </w:rPr>
        <w:t>2</w:t>
      </w:r>
      <w:r>
        <w:rPr>
          <w:rFonts w:hint="eastAsia" w:ascii="宋体" w:hAnsi="宋体" w:eastAsia="宋体" w:cs="宋体"/>
          <w:kern w:val="0"/>
          <w:sz w:val="24"/>
          <w:szCs w:val="24"/>
        </w:rPr>
        <w:t>5kpa之间，闭阀应在1</w:t>
      </w:r>
      <w:r>
        <w:rPr>
          <w:rFonts w:ascii="宋体" w:hAnsi="宋体" w:eastAsia="宋体" w:cs="宋体"/>
          <w:kern w:val="0"/>
          <w:sz w:val="24"/>
          <w:szCs w:val="24"/>
        </w:rPr>
        <w:t>5</w:t>
      </w:r>
      <w:r>
        <w:rPr>
          <w:rFonts w:hint="eastAsia" w:ascii="宋体" w:hAnsi="宋体" w:eastAsia="宋体" w:cs="宋体"/>
          <w:kern w:val="0"/>
          <w:sz w:val="24"/>
          <w:szCs w:val="24"/>
        </w:rPr>
        <w:t>kpa～</w:t>
      </w:r>
      <w:r>
        <w:rPr>
          <w:rFonts w:ascii="宋体" w:hAnsi="宋体" w:eastAsia="宋体" w:cs="宋体"/>
          <w:kern w:val="0"/>
          <w:sz w:val="24"/>
          <w:szCs w:val="24"/>
        </w:rPr>
        <w:t>20</w:t>
      </w:r>
      <w:r>
        <w:rPr>
          <w:rFonts w:hint="eastAsia" w:ascii="宋体" w:hAnsi="宋体" w:eastAsia="宋体" w:cs="宋体"/>
          <w:kern w:val="0"/>
          <w:sz w:val="24"/>
          <w:szCs w:val="24"/>
        </w:rPr>
        <w:t>kpa之间。</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12.蓄电池完全充电后，再以0.3I10充电160小时，外观应无明显变形及渗液。</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13.蓄电池在1小时率放电情况下。蓄电池间的连接电压降应≤5mV。</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14.在环境温度不超过30℃条件下浮充运行，12V系列蓄电池浮充设计寿命不低于</w:t>
      </w:r>
      <w:r>
        <w:rPr>
          <w:rFonts w:ascii="宋体" w:hAnsi="宋体" w:eastAsia="宋体" w:cs="宋体"/>
          <w:kern w:val="0"/>
          <w:sz w:val="24"/>
          <w:szCs w:val="24"/>
        </w:rPr>
        <w:t>5</w:t>
      </w:r>
      <w:r>
        <w:rPr>
          <w:rFonts w:hint="eastAsia" w:ascii="宋体" w:hAnsi="宋体" w:eastAsia="宋体" w:cs="宋体"/>
          <w:kern w:val="0"/>
          <w:sz w:val="24"/>
          <w:szCs w:val="24"/>
        </w:rPr>
        <w:t>年。</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15.单体电压为12V的蓄电池开路电压，最高与最低差值应不大于50mV。</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16.蓄电池进入浮充状态24小时后，各蓄电池之间的端电压应不大于</w:t>
      </w:r>
      <w:r>
        <w:rPr>
          <w:rFonts w:ascii="宋体" w:hAnsi="宋体" w:eastAsia="宋体" w:cs="宋体"/>
          <w:kern w:val="0"/>
          <w:sz w:val="24"/>
          <w:szCs w:val="24"/>
        </w:rPr>
        <w:t>5</w:t>
      </w:r>
      <w:r>
        <w:rPr>
          <w:rFonts w:hint="eastAsia" w:ascii="宋体" w:hAnsi="宋体" w:eastAsia="宋体" w:cs="宋体"/>
          <w:kern w:val="0"/>
          <w:sz w:val="24"/>
          <w:szCs w:val="24"/>
        </w:rPr>
        <w:t>0mV(12V系列）。</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17.蓄电池在充电过程中，遇有明火，内部应不引燃，不引爆。</w:t>
      </w:r>
    </w:p>
    <w:p>
      <w:pPr>
        <w:widowControl/>
        <w:spacing w:line="420" w:lineRule="atLeast"/>
        <w:jc w:val="left"/>
      </w:pPr>
      <w:r>
        <w:rPr>
          <w:rFonts w:hint="eastAsia" w:ascii="宋体" w:hAnsi="宋体" w:eastAsia="宋体" w:cs="宋体"/>
          <w:kern w:val="0"/>
          <w:sz w:val="24"/>
          <w:szCs w:val="24"/>
        </w:rPr>
        <w:t>18.容量：</w:t>
      </w:r>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 类型：阀控式密封铅酸蓄电池；</w:t>
      </w:r>
    </w:p>
    <w:p>
      <w:pPr>
        <w:spacing w:line="420" w:lineRule="exact"/>
        <w:jc w:val="center"/>
        <w:rPr>
          <w:b/>
          <w:sz w:val="36"/>
          <w:szCs w:val="36"/>
        </w:rPr>
      </w:pPr>
    </w:p>
    <w:p>
      <w:pPr>
        <w:spacing w:line="420" w:lineRule="exact"/>
        <w:jc w:val="center"/>
        <w:rPr>
          <w:b/>
          <w:sz w:val="36"/>
          <w:szCs w:val="36"/>
        </w:rPr>
      </w:pPr>
    </w:p>
    <w:p>
      <w:pPr>
        <w:spacing w:line="420" w:lineRule="exact"/>
        <w:jc w:val="center"/>
        <w:rPr>
          <w:b/>
          <w:sz w:val="36"/>
          <w:szCs w:val="36"/>
        </w:rPr>
      </w:pPr>
      <w:r>
        <w:rPr>
          <w:rFonts w:hint="eastAsia"/>
          <w:b/>
          <w:sz w:val="36"/>
          <w:szCs w:val="36"/>
        </w:rPr>
        <w:t>第二章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b/>
          <w:sz w:val="36"/>
          <w:szCs w:val="36"/>
        </w:rPr>
      </w:pPr>
      <w:r>
        <w:rPr>
          <w:rFonts w:hint="eastAsia"/>
          <w:b/>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本次询价采用经评审的二次报价最低价</w:t>
      </w:r>
      <w:r>
        <w:rPr>
          <w:rFonts w:hint="eastAsia" w:ascii="宋体" w:hAnsi="宋体"/>
          <w:color w:val="auto"/>
          <w:sz w:val="24"/>
          <w:highlight w:val="none"/>
          <w:lang w:val="en-US" w:eastAsia="zh-CN"/>
        </w:rPr>
        <w:t>法</w:t>
      </w:r>
      <w:r>
        <w:rPr>
          <w:rFonts w:hint="eastAsia" w:ascii="宋体" w:hAnsi="宋体"/>
          <w:color w:val="auto"/>
          <w:sz w:val="24"/>
          <w:highlight w:val="none"/>
        </w:rPr>
        <w:t>。</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二、形式、响应及资格评审标准</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1、报价文件按询价文件规定的格式、内容填写，字迹清晰可辨；</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2、报价文件上法定代表人、单位负责人或其委托代理人的签字、单位章盖章齐全，符合询价文件规定；</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3、报价文件对询价文件的实质性要求和条件作出响应；</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4、权利义务符合询价文件规定；</w:t>
      </w:r>
    </w:p>
    <w:p>
      <w:pPr>
        <w:spacing w:line="420" w:lineRule="exact"/>
        <w:ind w:firstLine="480" w:firstLineChars="200"/>
        <w:rPr>
          <w:sz w:val="24"/>
          <w:highlight w:val="none"/>
        </w:rPr>
      </w:pPr>
      <w:r>
        <w:rPr>
          <w:rFonts w:hint="eastAsia" w:ascii="宋体" w:hAnsi="宋体"/>
          <w:color w:val="auto"/>
          <w:sz w:val="24"/>
          <w:highlight w:val="none"/>
        </w:rPr>
        <w:t>5、</w:t>
      </w:r>
      <w:r>
        <w:rPr>
          <w:sz w:val="24"/>
          <w:highlight w:val="none"/>
        </w:rPr>
        <w:t>营业执照、</w:t>
      </w:r>
      <w:r>
        <w:rPr>
          <w:rFonts w:hint="eastAsia"/>
          <w:sz w:val="24"/>
          <w:highlight w:val="none"/>
          <w:lang w:val="en-US" w:eastAsia="zh-CN"/>
        </w:rPr>
        <w:t>业绩、拟委任项目负责人</w:t>
      </w:r>
      <w:r>
        <w:rPr>
          <w:sz w:val="24"/>
          <w:highlight w:val="none"/>
        </w:rPr>
        <w:t>等资格条件符合报价文件规定；</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、信誉符合报价文件规定。</w:t>
      </w:r>
    </w:p>
    <w:p>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三、评审程序</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本次询价采取二轮报价。</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（一）第一轮报价：</w:t>
      </w:r>
      <w:r>
        <w:rPr>
          <w:rFonts w:hint="eastAsia" w:ascii="宋体" w:hAnsi="宋体"/>
          <w:color w:val="auto"/>
          <w:sz w:val="24"/>
          <w:highlight w:val="none"/>
          <w:lang w:eastAsia="zh-CN"/>
        </w:rPr>
        <w:t>询价</w:t>
      </w:r>
      <w:r>
        <w:rPr>
          <w:rFonts w:hint="eastAsia" w:ascii="宋体" w:hAnsi="宋体"/>
          <w:color w:val="auto"/>
          <w:sz w:val="24"/>
          <w:highlight w:val="none"/>
        </w:rPr>
        <w:t>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（二）第二轮报价：在第一轮报价的基础上进行二次报价。报价单位现场填写《</w:t>
      </w:r>
      <w:r>
        <w:rPr>
          <w:rFonts w:hint="eastAsia" w:ascii="宋体" w:hAnsi="宋体"/>
          <w:sz w:val="24"/>
        </w:rPr>
        <w:t>最终报价函</w:t>
      </w:r>
      <w:r>
        <w:rPr>
          <w:rFonts w:hint="eastAsia" w:ascii="宋体" w:hAnsi="宋体"/>
          <w:color w:val="auto"/>
          <w:sz w:val="24"/>
          <w:highlight w:val="none"/>
        </w:rPr>
        <w:t>》当众报价，第二轮报价不得高于第一轮报价，经法人代表或授权代理人签字生效，</w:t>
      </w:r>
      <w:r>
        <w:rPr>
          <w:rFonts w:hint="eastAsia" w:ascii="宋体" w:hAnsi="宋体"/>
          <w:sz w:val="24"/>
        </w:rPr>
        <w:t>第二轮报价为最终报价，</w:t>
      </w:r>
      <w:r>
        <w:rPr>
          <w:rFonts w:hint="eastAsia" w:ascii="宋体" w:hAnsi="宋体"/>
          <w:color w:val="auto"/>
          <w:sz w:val="24"/>
          <w:highlight w:val="none"/>
        </w:rPr>
        <w:t>按照最终报价由低到高的顺序推荐候选人。</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如有2个及以上单位的报价一致且均为最低价时，业主单位将采用逐个谈判的方式</w:t>
      </w:r>
      <w:r>
        <w:rPr>
          <w:rFonts w:ascii="宋体" w:hAnsi="宋体"/>
          <w:sz w:val="24"/>
        </w:rPr>
        <w:t>确定</w:t>
      </w:r>
      <w:r>
        <w:rPr>
          <w:rFonts w:hint="eastAsia" w:ascii="宋体" w:hAnsi="宋体"/>
          <w:sz w:val="24"/>
        </w:rPr>
        <w:t>第一候选人</w:t>
      </w:r>
      <w:r>
        <w:rPr>
          <w:rFonts w:hint="eastAsia" w:ascii="宋体" w:hAnsi="宋体"/>
          <w:color w:val="auto"/>
          <w:sz w:val="24"/>
          <w:highlight w:val="none"/>
        </w:rPr>
        <w:t>。逐个谈判后仍有2个及以上单位的报价一致且均为最低价时，将采用现场抽签的方式</w:t>
      </w:r>
      <w:r>
        <w:rPr>
          <w:rFonts w:ascii="宋体" w:hAnsi="宋体"/>
          <w:sz w:val="24"/>
        </w:rPr>
        <w:t>确定</w:t>
      </w:r>
      <w:r>
        <w:rPr>
          <w:rFonts w:hint="eastAsia" w:ascii="宋体" w:hAnsi="宋体"/>
          <w:sz w:val="24"/>
        </w:rPr>
        <w:t>第一候选人</w:t>
      </w:r>
      <w:r>
        <w:rPr>
          <w:rFonts w:hint="eastAsia" w:ascii="宋体" w:hAnsi="宋体"/>
          <w:color w:val="auto"/>
          <w:sz w:val="24"/>
          <w:highlight w:val="none"/>
        </w:rPr>
        <w:t>。</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（三）评审结果</w:t>
      </w:r>
    </w:p>
    <w:p>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按照最终报价由低到高的顺序推荐候选人 3 名。</w:t>
      </w:r>
    </w:p>
    <w:p>
      <w:pPr>
        <w:autoSpaceDE w:val="0"/>
        <w:autoSpaceDN w:val="0"/>
        <w:adjustRightInd w:val="0"/>
        <w:spacing w:line="420" w:lineRule="exact"/>
        <w:jc w:val="center"/>
        <w:rPr>
          <w:rFonts w:ascii="宋体" w:hAnsi="宋体"/>
          <w:bCs/>
          <w:sz w:val="24"/>
        </w:rPr>
      </w:pPr>
    </w:p>
    <w:p>
      <w:pPr>
        <w:spacing w:line="420" w:lineRule="exact"/>
        <w:jc w:val="center"/>
        <w:rPr>
          <w:rFonts w:ascii="Times New Roman" w:hAnsi="Times New Roman"/>
          <w:b/>
          <w:sz w:val="36"/>
          <w:szCs w:val="36"/>
        </w:rPr>
      </w:pPr>
      <w:r>
        <w:rPr>
          <w:rFonts w:hint="eastAsia" w:ascii="宋体" w:hAnsi="宋体"/>
          <w:bCs/>
          <w:sz w:val="24"/>
        </w:rPr>
        <w:br w:type="page"/>
      </w:r>
      <w:r>
        <w:rPr>
          <w:rFonts w:hint="eastAsia"/>
          <w:b/>
          <w:sz w:val="36"/>
          <w:szCs w:val="36"/>
        </w:rPr>
        <w:t xml:space="preserve">第三章  </w:t>
      </w:r>
      <w:r>
        <w:rPr>
          <w:b/>
          <w:sz w:val="36"/>
          <w:szCs w:val="36"/>
        </w:rPr>
        <w:t>报价文件格式</w:t>
      </w:r>
    </w:p>
    <w:p>
      <w:pPr>
        <w:ind w:firstLine="480"/>
        <w:jc w:val="center"/>
        <w:rPr>
          <w:rFonts w:eastAsia="黑体"/>
          <w:sz w:val="30"/>
          <w:szCs w:val="30"/>
        </w:rPr>
      </w:pPr>
      <w:r>
        <w:rPr>
          <w:rFonts w:hint="eastAsia" w:eastAsia="黑体"/>
          <w:sz w:val="30"/>
          <w:szCs w:val="30"/>
        </w:rPr>
        <w:t>授权委托书、报价函、</w:t>
      </w:r>
      <w:r>
        <w:rPr>
          <w:rFonts w:hint="eastAsia" w:eastAsia="黑体"/>
          <w:bCs/>
          <w:sz w:val="30"/>
          <w:szCs w:val="30"/>
        </w:rPr>
        <w:t>信誉承诺表、其它资料</w:t>
      </w:r>
      <w:r>
        <w:rPr>
          <w:rFonts w:hint="eastAsia" w:eastAsia="黑体"/>
          <w:sz w:val="30"/>
          <w:szCs w:val="30"/>
        </w:rPr>
        <w:t>格式</w:t>
      </w:r>
    </w:p>
    <w:p>
      <w:pPr>
        <w:jc w:val="center"/>
        <w:rPr>
          <w:rFonts w:eastAsia="黑体"/>
          <w:sz w:val="30"/>
          <w:szCs w:val="30"/>
        </w:rPr>
      </w:pPr>
    </w:p>
    <w:p>
      <w:pPr>
        <w:jc w:val="center"/>
        <w:rPr>
          <w:rFonts w:eastAsia="黑体"/>
          <w:sz w:val="30"/>
          <w:szCs w:val="30"/>
        </w:rPr>
      </w:pPr>
      <w:r>
        <w:rPr>
          <w:rFonts w:hint="eastAsia" w:eastAsia="黑体"/>
          <w:sz w:val="30"/>
          <w:szCs w:val="30"/>
        </w:rPr>
        <w:t>授权委托书</w:t>
      </w:r>
    </w:p>
    <w:p>
      <w:pPr>
        <w:pStyle w:val="4"/>
        <w:ind w:firstLine="0" w:firstLineChars="0"/>
        <w:rPr>
          <w:rFonts w:ascii="宋体" w:hAnsi="宋体"/>
          <w:szCs w:val="24"/>
        </w:rPr>
      </w:pPr>
    </w:p>
    <w:p>
      <w:pPr>
        <w:spacing w:line="360" w:lineRule="auto"/>
        <w:ind w:firstLine="480"/>
        <w:rPr>
          <w:rFonts w:ascii="宋体" w:hAnsi="宋体"/>
          <w:sz w:val="24"/>
          <w:szCs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u w:val="single"/>
        </w:rPr>
        <w:t xml:space="preserve"> </w:t>
      </w:r>
      <w:r>
        <w:rPr>
          <w:rFonts w:hint="eastAsia" w:ascii="宋体" w:hAnsi="宋体"/>
          <w:sz w:val="24"/>
        </w:rPr>
        <w:t>的法定代表人/单位负责人，现委托</w:t>
      </w:r>
      <w:r>
        <w:rPr>
          <w:rFonts w:hint="eastAsia" w:ascii="宋体" w:hAnsi="宋体" w:cs="华文楷体"/>
          <w:sz w:val="24"/>
          <w:u w:val="single"/>
        </w:rPr>
        <w:t>（姓名）</w:t>
      </w:r>
      <w:r>
        <w:rPr>
          <w:rFonts w:hint="eastAsia" w:ascii="宋体" w:hAnsi="宋体"/>
          <w:sz w:val="24"/>
        </w:rPr>
        <w:t>为我方授权代理人。代理人根据授权，以我方名义签署、澄清、确认、递交、撤回、修改</w:t>
      </w:r>
      <w:r>
        <w:rPr>
          <w:rFonts w:hint="eastAsia" w:ascii="宋体" w:hAnsi="宋体"/>
          <w:sz w:val="24"/>
          <w:u w:val="single"/>
        </w:rPr>
        <w:t>（项目名称）</w:t>
      </w:r>
      <w:r>
        <w:rPr>
          <w:rFonts w:hint="eastAsia" w:ascii="宋体" w:hAnsi="宋体"/>
          <w:sz w:val="24"/>
        </w:rPr>
        <w:t>报价文件、签订合同和处理有关事宜，其法律后果由我方承担。</w:t>
      </w:r>
    </w:p>
    <w:p>
      <w:pPr>
        <w:spacing w:line="360" w:lineRule="auto"/>
        <w:ind w:firstLine="480"/>
        <w:rPr>
          <w:rFonts w:ascii="宋体" w:hAnsi="宋体"/>
          <w:sz w:val="24"/>
        </w:rPr>
      </w:pPr>
      <w:r>
        <w:rPr>
          <w:rFonts w:hint="eastAsia" w:ascii="宋体" w:hAnsi="宋体"/>
          <w:sz w:val="24"/>
        </w:rPr>
        <w:t xml:space="preserve">委托期限：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rPr>
          <w:rFonts w:ascii="宋体" w:hAnsi="宋体"/>
          <w:sz w:val="24"/>
        </w:rPr>
      </w:pPr>
      <w:r>
        <w:rPr>
          <w:rFonts w:hint="eastAsia" w:ascii="宋体" w:hAnsi="宋体"/>
          <w:sz w:val="24"/>
        </w:rPr>
        <w:t>委托代理人无转委托权。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pPr>
        <w:spacing w:line="360" w:lineRule="auto"/>
        <w:ind w:firstLine="3074" w:firstLineChars="1281"/>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ind w:firstLine="3076" w:firstLineChars="1282"/>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pPr>
        <w:spacing w:line="360" w:lineRule="auto"/>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注：如报价人法定代表人/单位负责人参加采购行为，只需附其身份证复印件、法人代表证书等复印件。</w:t>
      </w:r>
    </w:p>
    <w:p>
      <w:pPr>
        <w:autoSpaceDE w:val="0"/>
        <w:autoSpaceDN w:val="0"/>
        <w:adjustRightInd w:val="0"/>
        <w:spacing w:line="360" w:lineRule="auto"/>
        <w:jc w:val="center"/>
        <w:rPr>
          <w:rFonts w:ascii="宋体" w:hAnsi="宋体"/>
          <w:bCs/>
          <w:sz w:val="24"/>
        </w:rPr>
      </w:pPr>
    </w:p>
    <w:p>
      <w:pPr>
        <w:jc w:val="center"/>
        <w:rPr>
          <w:rFonts w:ascii="Times New Roman" w:hAnsi="Times New Roman"/>
          <w:b/>
          <w:sz w:val="36"/>
          <w:szCs w:val="36"/>
        </w:rPr>
      </w:pPr>
      <w:r>
        <w:rPr>
          <w:b/>
          <w:sz w:val="36"/>
          <w:szCs w:val="36"/>
        </w:rPr>
        <w:br w:type="page"/>
      </w: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pPr>
        <w:tabs>
          <w:tab w:val="left" w:pos="2500"/>
        </w:tabs>
        <w:autoSpaceDE w:val="0"/>
        <w:autoSpaceDN w:val="0"/>
        <w:adjustRightInd w:val="0"/>
        <w:rPr>
          <w:b/>
          <w:position w:val="-4"/>
          <w:sz w:val="28"/>
          <w:szCs w:val="28"/>
        </w:rPr>
      </w:pPr>
    </w:p>
    <w:p>
      <w:pPr>
        <w:tabs>
          <w:tab w:val="left" w:pos="2500"/>
        </w:tabs>
        <w:autoSpaceDE w:val="0"/>
        <w:autoSpaceDN w:val="0"/>
        <w:adjustRightInd w:val="0"/>
        <w:rPr>
          <w:szCs w:val="21"/>
        </w:rPr>
      </w:pPr>
      <w:r>
        <w:rPr>
          <w:rFonts w:hint="eastAsia"/>
          <w:b/>
          <w:position w:val="-4"/>
          <w:sz w:val="24"/>
          <w:szCs w:val="24"/>
        </w:rPr>
        <w:t>致：赣州</w:t>
      </w:r>
      <w:r>
        <w:rPr>
          <w:b/>
          <w:position w:val="-4"/>
          <w:sz w:val="24"/>
          <w:szCs w:val="24"/>
        </w:rPr>
        <w:t>高速公路有限责任公司</w:t>
      </w:r>
      <w:r>
        <w:rPr>
          <w:b/>
          <w:spacing w:val="-11"/>
          <w:position w:val="-4"/>
          <w:sz w:val="24"/>
          <w:szCs w:val="24"/>
        </w:rPr>
        <w:t xml:space="preserve"> </w:t>
      </w:r>
    </w:p>
    <w:p>
      <w:pPr>
        <w:tabs>
          <w:tab w:val="left" w:pos="4180"/>
          <w:tab w:val="left" w:pos="9180"/>
        </w:tabs>
        <w:autoSpaceDE w:val="0"/>
        <w:autoSpaceDN w:val="0"/>
        <w:adjustRightInd w:val="0"/>
        <w:spacing w:line="360" w:lineRule="auto"/>
        <w:ind w:firstLine="480" w:firstLineChars="200"/>
        <w:rPr>
          <w:sz w:val="24"/>
          <w:szCs w:val="24"/>
        </w:rPr>
      </w:pPr>
      <w:r>
        <w:rPr>
          <w:rFonts w:hint="eastAsia"/>
          <w:sz w:val="24"/>
        </w:rPr>
        <w:t>经研究，我方同意《赣州高速</w:t>
      </w:r>
      <w:r>
        <w:rPr>
          <w:sz w:val="24"/>
        </w:rPr>
        <w:t>公路</w:t>
      </w:r>
      <w:r>
        <w:rPr>
          <w:rFonts w:hint="eastAsia" w:ascii="宋体" w:hAnsi="宋体"/>
          <w:sz w:val="24"/>
        </w:rPr>
        <w:t>有限责任公司隧道UPS电池更换项目询价公告</w:t>
      </w:r>
      <w:r>
        <w:rPr>
          <w:rFonts w:hint="eastAsia"/>
          <w:sz w:val="24"/>
        </w:rPr>
        <w:t>》</w:t>
      </w:r>
      <w:r>
        <w:rPr>
          <w:rFonts w:hint="eastAsia" w:ascii="宋体" w:hAnsi="宋体"/>
          <w:sz w:val="24"/>
        </w:rPr>
        <w:t>的所有内容及条款并就上述内容进行报价，完成贵公司规定的</w:t>
      </w:r>
      <w:r>
        <w:rPr>
          <w:rFonts w:hint="eastAsia"/>
          <w:sz w:val="24"/>
        </w:rPr>
        <w:t>所有工作内容。</w:t>
      </w:r>
    </w:p>
    <w:p>
      <w:pPr>
        <w:autoSpaceDE w:val="0"/>
        <w:autoSpaceDN w:val="0"/>
        <w:adjustRightInd w:val="0"/>
        <w:spacing w:line="360" w:lineRule="auto"/>
        <w:ind w:firstLine="480" w:firstLineChars="200"/>
        <w:rPr>
          <w:rFonts w:hint="eastAsia"/>
          <w:sz w:val="24"/>
        </w:rPr>
      </w:pPr>
      <w:r>
        <w:rPr>
          <w:rFonts w:hint="eastAsia"/>
          <w:sz w:val="24"/>
        </w:rPr>
        <w:t>根据分析计算，我方愿以总价人民币（大写）</w:t>
      </w:r>
      <w:r>
        <w:rPr>
          <w:sz w:val="24"/>
          <w:u w:val="single"/>
        </w:rPr>
        <w:t xml:space="preserve">     </w:t>
      </w:r>
      <w:r>
        <w:rPr>
          <w:rFonts w:hint="eastAsia"/>
          <w:sz w:val="24"/>
        </w:rPr>
        <w:t>元（￥</w:t>
      </w:r>
      <w:r>
        <w:rPr>
          <w:sz w:val="24"/>
          <w:u w:val="single"/>
        </w:rPr>
        <w:t xml:space="preserve">     </w:t>
      </w:r>
      <w:r>
        <w:rPr>
          <w:rFonts w:hint="eastAsia"/>
          <w:sz w:val="24"/>
        </w:rPr>
        <w:t>），完成贵公司规定的所有工作内容。</w:t>
      </w:r>
    </w:p>
    <w:p>
      <w:pPr>
        <w:pStyle w:val="2"/>
        <w:jc w:val="center"/>
        <w:rPr>
          <w:rFonts w:hint="default" w:cs="宋体" w:asciiTheme="minorEastAsia" w:hAnsiTheme="minorEastAsia" w:eastAsiaTheme="minorEastAsia"/>
          <w:color w:val="auto"/>
          <w:kern w:val="0"/>
          <w:sz w:val="24"/>
          <w:szCs w:val="24"/>
          <w:lang w:val="en-US" w:eastAsia="zh-CN" w:bidi="ar-SA"/>
        </w:rPr>
      </w:pPr>
      <w:r>
        <w:rPr>
          <w:rFonts w:hint="eastAsia" w:cs="宋体" w:asciiTheme="minorEastAsia" w:hAnsiTheme="minorEastAsia" w:eastAsiaTheme="minorEastAsia"/>
          <w:color w:val="auto"/>
          <w:kern w:val="0"/>
          <w:sz w:val="24"/>
          <w:szCs w:val="24"/>
          <w:lang w:val="en-US" w:eastAsia="zh-CN" w:bidi="ar-SA"/>
        </w:rPr>
        <w:t>工程量清单</w:t>
      </w:r>
    </w:p>
    <w:tbl>
      <w:tblPr>
        <w:tblStyle w:val="10"/>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316"/>
        <w:gridCol w:w="1232"/>
        <w:gridCol w:w="431"/>
        <w:gridCol w:w="720"/>
        <w:gridCol w:w="1007"/>
        <w:gridCol w:w="1584"/>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1" w:type="dxa"/>
            <w:vAlign w:val="center"/>
          </w:tcPr>
          <w:p>
            <w:pPr>
              <w:widowControl/>
              <w:jc w:val="center"/>
              <w:rPr>
                <w:rFonts w:asciiTheme="minorEastAsia" w:hAnsiTheme="minorEastAsia"/>
                <w:kern w:val="0"/>
                <w:sz w:val="24"/>
                <w:szCs w:val="24"/>
              </w:rPr>
            </w:pPr>
            <w:r>
              <w:rPr>
                <w:rFonts w:hint="eastAsia" w:asciiTheme="minorEastAsia" w:hAnsiTheme="minorEastAsia"/>
                <w:sz w:val="24"/>
                <w:szCs w:val="24"/>
              </w:rPr>
              <w:t>项目</w:t>
            </w:r>
          </w:p>
        </w:tc>
        <w:tc>
          <w:tcPr>
            <w:tcW w:w="1316" w:type="dxa"/>
            <w:vAlign w:val="center"/>
          </w:tcPr>
          <w:p>
            <w:pPr>
              <w:jc w:val="center"/>
              <w:rPr>
                <w:rFonts w:asciiTheme="minorEastAsia" w:hAnsiTheme="minorEastAsia"/>
                <w:sz w:val="24"/>
                <w:szCs w:val="24"/>
              </w:rPr>
            </w:pPr>
            <w:r>
              <w:rPr>
                <w:rFonts w:hint="eastAsia" w:asciiTheme="minorEastAsia" w:hAnsiTheme="minorEastAsia"/>
                <w:sz w:val="24"/>
                <w:szCs w:val="24"/>
              </w:rPr>
              <w:t>名称</w:t>
            </w:r>
          </w:p>
        </w:tc>
        <w:tc>
          <w:tcPr>
            <w:tcW w:w="1232" w:type="dxa"/>
            <w:vAlign w:val="center"/>
          </w:tcPr>
          <w:p>
            <w:pPr>
              <w:jc w:val="center"/>
              <w:rPr>
                <w:rFonts w:asciiTheme="minorEastAsia" w:hAnsiTheme="minorEastAsia"/>
                <w:sz w:val="24"/>
                <w:szCs w:val="24"/>
              </w:rPr>
            </w:pPr>
            <w:r>
              <w:rPr>
                <w:rFonts w:hint="eastAsia" w:asciiTheme="minorEastAsia" w:hAnsiTheme="minorEastAsia"/>
                <w:sz w:val="24"/>
                <w:szCs w:val="24"/>
              </w:rPr>
              <w:t>型号</w:t>
            </w:r>
          </w:p>
        </w:tc>
        <w:tc>
          <w:tcPr>
            <w:tcW w:w="431" w:type="dxa"/>
            <w:vAlign w:val="center"/>
          </w:tcPr>
          <w:p>
            <w:pPr>
              <w:jc w:val="center"/>
              <w:rPr>
                <w:rFonts w:asciiTheme="minorEastAsia" w:hAnsiTheme="minorEastAsia"/>
                <w:sz w:val="24"/>
                <w:szCs w:val="24"/>
              </w:rPr>
            </w:pPr>
            <w:r>
              <w:rPr>
                <w:rFonts w:hint="eastAsia" w:asciiTheme="minorEastAsia" w:hAnsiTheme="minorEastAsia"/>
                <w:sz w:val="24"/>
                <w:szCs w:val="24"/>
              </w:rPr>
              <w:t>单位</w:t>
            </w:r>
          </w:p>
        </w:tc>
        <w:tc>
          <w:tcPr>
            <w:tcW w:w="720" w:type="dxa"/>
            <w:vAlign w:val="center"/>
          </w:tcPr>
          <w:p>
            <w:pPr>
              <w:jc w:val="center"/>
              <w:rPr>
                <w:rFonts w:asciiTheme="minorEastAsia" w:hAnsiTheme="minorEastAsia"/>
                <w:sz w:val="24"/>
                <w:szCs w:val="24"/>
              </w:rPr>
            </w:pPr>
            <w:r>
              <w:rPr>
                <w:rFonts w:hint="eastAsia" w:asciiTheme="minorEastAsia" w:hAnsiTheme="minorEastAsia"/>
                <w:sz w:val="24"/>
                <w:szCs w:val="24"/>
              </w:rPr>
              <w:t>数量</w:t>
            </w:r>
          </w:p>
        </w:tc>
        <w:tc>
          <w:tcPr>
            <w:tcW w:w="1007" w:type="dxa"/>
            <w:vAlign w:val="center"/>
          </w:tcPr>
          <w:p>
            <w:pPr>
              <w:jc w:val="center"/>
              <w:rPr>
                <w:rFonts w:asciiTheme="minorEastAsia" w:hAnsiTheme="minorEastAsia"/>
                <w:sz w:val="24"/>
                <w:szCs w:val="24"/>
              </w:rPr>
            </w:pPr>
            <w:r>
              <w:rPr>
                <w:rFonts w:hint="eastAsia" w:asciiTheme="minorEastAsia" w:hAnsiTheme="minorEastAsia"/>
                <w:sz w:val="24"/>
                <w:szCs w:val="24"/>
              </w:rPr>
              <w:t>单价</w:t>
            </w:r>
          </w:p>
        </w:tc>
        <w:tc>
          <w:tcPr>
            <w:tcW w:w="1584" w:type="dxa"/>
            <w:vAlign w:val="center"/>
          </w:tcPr>
          <w:p>
            <w:pPr>
              <w:jc w:val="center"/>
              <w:rPr>
                <w:rFonts w:asciiTheme="minorEastAsia" w:hAnsiTheme="minorEastAsia"/>
                <w:sz w:val="24"/>
                <w:szCs w:val="24"/>
              </w:rPr>
            </w:pPr>
            <w:r>
              <w:rPr>
                <w:rFonts w:hint="eastAsia" w:asciiTheme="minorEastAsia" w:hAnsiTheme="minorEastAsia"/>
                <w:sz w:val="24"/>
                <w:szCs w:val="24"/>
              </w:rPr>
              <w:t>总价</w:t>
            </w:r>
          </w:p>
        </w:tc>
        <w:tc>
          <w:tcPr>
            <w:tcW w:w="2295" w:type="dxa"/>
            <w:vAlign w:val="center"/>
          </w:tcPr>
          <w:p>
            <w:pPr>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收费系统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65</w:t>
            </w:r>
            <w:r>
              <w:rPr>
                <w:rFonts w:hint="eastAsia" w:cs="宋体" w:asciiTheme="minorEastAsia" w:hAnsiTheme="minorEastAsia"/>
                <w:kern w:val="0"/>
                <w:sz w:val="24"/>
                <w:szCs w:val="24"/>
              </w:rPr>
              <w:t>AH</w:t>
            </w:r>
          </w:p>
        </w:tc>
        <w:tc>
          <w:tcPr>
            <w:tcW w:w="431"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cs="宋体" w:asciiTheme="minorEastAsia" w:hAnsiTheme="minorEastAsia"/>
                <w:kern w:val="0"/>
                <w:sz w:val="24"/>
                <w:szCs w:val="24"/>
              </w:rPr>
              <w:t>200</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耐高温型</w:t>
            </w:r>
            <w:r>
              <w:rPr>
                <w:rFonts w:asciiTheme="minorEastAsia" w:hAnsiTheme="minorEastAsia"/>
                <w:sz w:val="24"/>
                <w:szCs w:val="24"/>
              </w:rPr>
              <w:t xml:space="preserve"> </w:t>
            </w:r>
            <w:r>
              <w:rPr>
                <w:rFonts w:hint="eastAsia" w:asciiTheme="minorEastAsia" w:hAnsiTheme="minorEastAsia"/>
                <w:sz w:val="24"/>
                <w:szCs w:val="24"/>
              </w:rPr>
              <w:t>赣定路段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通信系统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100</w:t>
            </w:r>
            <w:r>
              <w:rPr>
                <w:rFonts w:hint="eastAsia" w:cs="宋体" w:asciiTheme="minorEastAsia" w:hAnsiTheme="minorEastAsia"/>
                <w:kern w:val="0"/>
                <w:sz w:val="24"/>
                <w:szCs w:val="24"/>
              </w:rPr>
              <w:t>AH</w:t>
            </w:r>
          </w:p>
        </w:tc>
        <w:tc>
          <w:tcPr>
            <w:tcW w:w="431"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cs="宋体" w:asciiTheme="minorEastAsia" w:hAnsiTheme="minorEastAsia"/>
                <w:kern w:val="0"/>
                <w:sz w:val="24"/>
                <w:szCs w:val="24"/>
              </w:rPr>
              <w:t>60</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耐高温型</w:t>
            </w:r>
            <w:r>
              <w:rPr>
                <w:rFonts w:asciiTheme="minorEastAsia" w:hAnsiTheme="minorEastAsia"/>
                <w:sz w:val="24"/>
                <w:szCs w:val="24"/>
              </w:rPr>
              <w:t xml:space="preserve"> </w:t>
            </w:r>
            <w:r>
              <w:rPr>
                <w:rFonts w:hint="eastAsia" w:asciiTheme="minorEastAsia" w:hAnsiTheme="minorEastAsia"/>
                <w:sz w:val="24"/>
                <w:szCs w:val="24"/>
              </w:rPr>
              <w:t>赣定路段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收费系统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80</w:t>
            </w:r>
            <w:r>
              <w:rPr>
                <w:rFonts w:hint="eastAsia" w:cs="宋体" w:asciiTheme="minorEastAsia" w:hAnsiTheme="minorEastAsia"/>
                <w:kern w:val="0"/>
                <w:sz w:val="24"/>
                <w:szCs w:val="24"/>
              </w:rPr>
              <w:t>AH</w:t>
            </w:r>
          </w:p>
        </w:tc>
        <w:tc>
          <w:tcPr>
            <w:tcW w:w="43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cs="宋体" w:asciiTheme="minorEastAsia" w:hAnsiTheme="minorEastAsia"/>
                <w:kern w:val="0"/>
                <w:sz w:val="24"/>
                <w:szCs w:val="24"/>
              </w:rPr>
              <w:t>320</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 xml:space="preserve">耐高温型 </w:t>
            </w:r>
            <w:r>
              <w:rPr>
                <w:rFonts w:hint="eastAsia" w:cs="宋体" w:asciiTheme="minorEastAsia" w:hAnsiTheme="minorEastAsia"/>
                <w:kern w:val="0"/>
                <w:sz w:val="24"/>
                <w:szCs w:val="24"/>
              </w:rPr>
              <w:t>龙杨</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通信系统</w:t>
            </w:r>
          </w:p>
        </w:tc>
        <w:tc>
          <w:tcPr>
            <w:tcW w:w="1316" w:type="dxa"/>
            <w:vAlign w:val="center"/>
          </w:tcPr>
          <w:p>
            <w:pPr>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jc w:val="center"/>
              <w:rPr>
                <w:rFonts w:cs="宋体" w:asciiTheme="minorEastAsia" w:hAnsiTheme="minorEastAsia"/>
                <w:kern w:val="0"/>
                <w:sz w:val="24"/>
                <w:szCs w:val="24"/>
              </w:rPr>
            </w:pPr>
            <w:r>
              <w:rPr>
                <w:rFonts w:cs="宋体" w:asciiTheme="minorEastAsia" w:hAnsiTheme="minorEastAsia"/>
                <w:kern w:val="0"/>
                <w:sz w:val="24"/>
                <w:szCs w:val="24"/>
              </w:rPr>
              <w:t>12V100AH</w:t>
            </w:r>
          </w:p>
        </w:tc>
        <w:tc>
          <w:tcPr>
            <w:tcW w:w="431" w:type="dxa"/>
            <w:vAlign w:val="center"/>
          </w:tcPr>
          <w:p>
            <w:pPr>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jc w:val="center"/>
              <w:rPr>
                <w:rFonts w:cs="宋体" w:asciiTheme="minorEastAsia" w:hAnsiTheme="minorEastAsia"/>
                <w:kern w:val="0"/>
                <w:sz w:val="24"/>
                <w:szCs w:val="24"/>
              </w:rPr>
            </w:pPr>
            <w:r>
              <w:rPr>
                <w:rFonts w:cs="宋体" w:asciiTheme="minorEastAsia" w:hAnsiTheme="minorEastAsia"/>
                <w:kern w:val="0"/>
                <w:sz w:val="24"/>
                <w:szCs w:val="24"/>
              </w:rPr>
              <w:t>32</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 xml:space="preserve">耐高温型 </w:t>
            </w:r>
            <w:r>
              <w:rPr>
                <w:rFonts w:hint="eastAsia" w:cs="宋体" w:asciiTheme="minorEastAsia" w:hAnsiTheme="minorEastAsia"/>
                <w:kern w:val="0"/>
                <w:sz w:val="24"/>
                <w:szCs w:val="24"/>
              </w:rPr>
              <w:t>龙杨</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监控系统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12V17AH</w:t>
            </w:r>
          </w:p>
        </w:tc>
        <w:tc>
          <w:tcPr>
            <w:tcW w:w="431"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64</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 xml:space="preserve">耐高温型 </w:t>
            </w:r>
            <w:r>
              <w:rPr>
                <w:rFonts w:hint="eastAsia" w:cs="宋体" w:asciiTheme="minorEastAsia" w:hAnsiTheme="minorEastAsia"/>
                <w:kern w:val="0"/>
                <w:sz w:val="24"/>
                <w:szCs w:val="24"/>
              </w:rPr>
              <w:t>龙杨</w:t>
            </w:r>
            <w:r>
              <w:rPr>
                <w:rFonts w:cs="宋体" w:asciiTheme="minorEastAsia" w:hAnsiTheme="minorEastAsia"/>
                <w:kern w:val="0"/>
                <w:sz w:val="24"/>
                <w:szCs w:val="24"/>
              </w:rPr>
              <w:t>路段</w:t>
            </w:r>
          </w:p>
        </w:tc>
      </w:tr>
    </w:tbl>
    <w:p>
      <w:pPr>
        <w:autoSpaceDE w:val="0"/>
        <w:autoSpaceDN w:val="0"/>
        <w:adjustRightInd w:val="0"/>
        <w:spacing w:before="10" w:line="360" w:lineRule="auto"/>
        <w:rPr>
          <w:sz w:val="24"/>
          <w:szCs w:val="24"/>
        </w:rPr>
      </w:pPr>
    </w:p>
    <w:p>
      <w:pPr>
        <w:tabs>
          <w:tab w:val="left" w:pos="7460"/>
          <w:tab w:val="left" w:pos="8080"/>
          <w:tab w:val="left" w:pos="8800"/>
        </w:tabs>
        <w:autoSpaceDE w:val="0"/>
        <w:autoSpaceDN w:val="0"/>
        <w:adjustRightInd w:val="0"/>
        <w:spacing w:line="360" w:lineRule="auto"/>
        <w:ind w:right="61"/>
        <w:jc w:val="right"/>
        <w:rPr>
          <w:rFonts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600" w:firstLineChars="1500"/>
        <w:rPr>
          <w:rFonts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rPr>
          <w:rFonts w:ascii="宋体" w:hAnsi="宋体"/>
          <w:sz w:val="21"/>
          <w:szCs w:val="21"/>
        </w:rPr>
      </w:pPr>
      <w:r>
        <w:rPr>
          <w:rFonts w:hint="eastAsia" w:ascii="宋体" w:hAnsi="宋体"/>
          <w:sz w:val="21"/>
          <w:szCs w:val="21"/>
        </w:rPr>
        <w:t>注：1、报价包含实施和完成项目所需的劳务、材料、机械、质检（自检）、安装、咨询</w:t>
      </w:r>
      <w:r>
        <w:rPr>
          <w:rFonts w:hint="eastAsia" w:ascii="宋体" w:hAnsi="宋体"/>
          <w:sz w:val="21"/>
          <w:szCs w:val="21"/>
          <w:lang w:eastAsia="zh-CN"/>
        </w:rPr>
        <w:t>、</w:t>
      </w:r>
      <w:r>
        <w:rPr>
          <w:rFonts w:hint="eastAsia" w:ascii="宋体" w:hAnsi="宋体"/>
          <w:sz w:val="21"/>
          <w:szCs w:val="21"/>
          <w:lang w:val="en-US" w:eastAsia="zh-CN"/>
        </w:rPr>
        <w:t>调试</w:t>
      </w:r>
      <w:r>
        <w:rPr>
          <w:rFonts w:hint="eastAsia" w:ascii="宋体" w:hAnsi="宋体"/>
          <w:sz w:val="21"/>
          <w:szCs w:val="21"/>
        </w:rPr>
        <w:t>、</w:t>
      </w:r>
      <w:r>
        <w:rPr>
          <w:rFonts w:hint="eastAsia" w:ascii="宋体" w:hAnsi="宋体"/>
          <w:sz w:val="21"/>
          <w:szCs w:val="21"/>
          <w:lang w:val="en-US" w:eastAsia="zh-CN"/>
        </w:rPr>
        <w:t>后续服务、安全、</w:t>
      </w:r>
      <w:r>
        <w:rPr>
          <w:rFonts w:hint="eastAsia" w:ascii="宋体" w:hAnsi="宋体"/>
          <w:sz w:val="21"/>
          <w:szCs w:val="21"/>
        </w:rPr>
        <w:t>交通、管理、保险、税费、利润等所有费用，采购方不再另行支付其他费用。2、总价人民币大写金额与小写金额应当一致，不一致时以大写金额为准；总价应与清单中的合计金额一致，不一致时采购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pPr>
        <w:spacing w:before="312" w:beforeLines="100" w:after="312" w:afterLines="100" w:line="360" w:lineRule="auto"/>
        <w:ind w:firstLine="600"/>
        <w:jc w:val="center"/>
        <w:outlineLvl w:val="2"/>
        <w:rPr>
          <w:rFonts w:ascii="Times New Roman" w:hAnsi="Times New Roman" w:eastAsia="黑体"/>
          <w:bCs/>
          <w:sz w:val="30"/>
          <w:szCs w:val="30"/>
        </w:rPr>
      </w:pPr>
      <w:r>
        <w:rPr>
          <w:rFonts w:hint="eastAsia" w:ascii="宋体" w:hAnsi="宋体"/>
          <w:sz w:val="22"/>
        </w:rPr>
        <w:br w:type="page"/>
      </w:r>
      <w:r>
        <w:rPr>
          <w:rFonts w:hint="eastAsia" w:eastAsia="黑体"/>
          <w:bCs/>
          <w:sz w:val="30"/>
          <w:szCs w:val="30"/>
        </w:rPr>
        <w:t>信誉承诺表</w:t>
      </w:r>
    </w:p>
    <w:p>
      <w:pPr>
        <w:ind w:firstLine="480"/>
        <w:rPr>
          <w:rFonts w:eastAsia="宋体"/>
          <w:szCs w:val="24"/>
        </w:rPr>
      </w:pPr>
    </w:p>
    <w:tbl>
      <w:tblPr>
        <w:tblStyle w:val="9"/>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fldChar w:fldCharType="begin"/>
            </w:r>
            <w:r>
              <w:instrText xml:space="preserve"> HYPERLINK "http://www.gsxt.gov.cn/" </w:instrText>
            </w:r>
            <w:r>
              <w:fldChar w:fldCharType="separate"/>
            </w:r>
            <w:r>
              <w:rPr>
                <w:rStyle w:val="12"/>
                <w:rFonts w:hint="eastAsia" w:ascii="华文细黑" w:hAnsi="华文细黑"/>
                <w:color w:val="auto"/>
                <w:sz w:val="24"/>
                <w:szCs w:val="26"/>
              </w:rPr>
              <w:t>（http://www.gsxt.gov.cn</w:t>
            </w:r>
            <w:r>
              <w:rPr>
                <w:rStyle w:val="12"/>
                <w:rFonts w:hint="eastAsia" w:ascii="华文细黑" w:hAnsi="华文细黑"/>
                <w:color w:val="auto"/>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fldChar w:fldCharType="begin"/>
            </w:r>
            <w:r>
              <w:instrText xml:space="preserve"> HYPERLINK "http://www.creditchina.gov.cn/" </w:instrText>
            </w:r>
            <w:r>
              <w:fldChar w:fldCharType="separate"/>
            </w:r>
            <w:r>
              <w:rPr>
                <w:rStyle w:val="12"/>
                <w:rFonts w:hint="eastAsia" w:ascii="华文细黑" w:hAnsi="华文细黑"/>
                <w:color w:val="auto"/>
                <w:sz w:val="24"/>
                <w:szCs w:val="26"/>
              </w:rPr>
              <w:t>http://www.creditchina.gov.cn</w:t>
            </w:r>
            <w:r>
              <w:rPr>
                <w:rStyle w:val="12"/>
                <w:rFonts w:hint="eastAsia" w:ascii="华文细黑" w:hAnsi="华文细黑"/>
                <w:color w:val="auto"/>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hint="eastAsia" w:eastAsiaTheme="minorEastAsia"/>
                <w:szCs w:val="21"/>
                <w:lang w:val="en-US" w:eastAsia="zh-CN"/>
              </w:rPr>
            </w:pPr>
            <w:r>
              <w:rPr>
                <w:rFonts w:hint="eastAsia"/>
                <w:szCs w:val="21"/>
                <w:lang w:val="en-US" w:eastAsia="zh-CN"/>
              </w:rPr>
              <w:t>5</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hint="default" w:ascii="华文细黑" w:hAnsi="华文细黑" w:eastAsiaTheme="minorEastAsia"/>
                <w:szCs w:val="26"/>
                <w:lang w:val="en-US" w:eastAsia="zh-CN"/>
              </w:rPr>
            </w:pPr>
            <w:r>
              <w:rPr>
                <w:rFonts w:hint="eastAsia" w:ascii="华文细黑" w:hAnsi="华文细黑"/>
                <w:sz w:val="24"/>
                <w:szCs w:val="26"/>
                <w:lang w:val="en-US" w:eastAsia="zh-CN"/>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szCs w:val="21"/>
              </w:rPr>
            </w:pPr>
          </w:p>
        </w:tc>
      </w:tr>
    </w:tbl>
    <w:p>
      <w:pPr>
        <w:spacing w:line="240" w:lineRule="auto"/>
        <w:jc w:val="left"/>
        <w:rPr>
          <w:color w:val="auto"/>
          <w:sz w:val="24"/>
        </w:rPr>
      </w:pPr>
      <w:r>
        <w:rPr>
          <w:color w:val="auto"/>
          <w:sz w:val="24"/>
        </w:rPr>
        <w:t>注：1.</w:t>
      </w:r>
      <w:r>
        <w:rPr>
          <w:rFonts w:hint="eastAsia"/>
          <w:color w:val="auto"/>
          <w:sz w:val="24"/>
        </w:rPr>
        <w:t>报价人情况说明请填写“是”或“否”。</w:t>
      </w:r>
    </w:p>
    <w:p>
      <w:pPr>
        <w:spacing w:afterAutospacing="0" w:line="240" w:lineRule="auto"/>
        <w:ind w:left="479" w:leftChars="228" w:firstLine="0" w:firstLineChars="0"/>
        <w:rPr>
          <w:rFonts w:hint="default"/>
          <w:color w:val="auto"/>
          <w:sz w:val="24"/>
          <w:lang w:val="en-US"/>
        </w:rPr>
      </w:pPr>
      <w:r>
        <w:rPr>
          <w:color w:val="auto"/>
          <w:sz w:val="24"/>
        </w:rPr>
        <w:t>2.</w:t>
      </w:r>
      <w:r>
        <w:rPr>
          <w:rFonts w:hint="eastAsia"/>
          <w:color w:val="auto"/>
          <w:sz w:val="24"/>
        </w:rPr>
        <w:t>报价</w:t>
      </w:r>
      <w:r>
        <w:rPr>
          <w:color w:val="auto"/>
          <w:sz w:val="24"/>
        </w:rPr>
        <w:t>人应如实填写本表，如隐瞒真实情况，一旦发现</w:t>
      </w:r>
      <w:r>
        <w:rPr>
          <w:rFonts w:hint="eastAsia"/>
          <w:color w:val="auto"/>
          <w:sz w:val="24"/>
          <w:lang w:val="en-US" w:eastAsia="zh-CN"/>
        </w:rPr>
        <w:t>询价人有权</w:t>
      </w:r>
      <w:r>
        <w:rPr>
          <w:color w:val="auto"/>
          <w:sz w:val="24"/>
        </w:rPr>
        <w:t>取消其</w:t>
      </w:r>
      <w:r>
        <w:rPr>
          <w:rFonts w:hint="eastAsia"/>
          <w:color w:val="auto"/>
          <w:sz w:val="24"/>
          <w:lang w:val="en-US" w:eastAsia="zh-CN"/>
        </w:rPr>
        <w:t>中选</w:t>
      </w:r>
      <w:r>
        <w:rPr>
          <w:color w:val="auto"/>
          <w:sz w:val="24"/>
        </w:rPr>
        <w:t>资格</w:t>
      </w:r>
      <w:r>
        <w:rPr>
          <w:rFonts w:hint="eastAsia"/>
          <w:color w:val="auto"/>
          <w:sz w:val="24"/>
          <w:lang w:eastAsia="zh-CN"/>
        </w:rPr>
        <w:t>，</w:t>
      </w:r>
      <w:r>
        <w:rPr>
          <w:rFonts w:hint="eastAsia"/>
          <w:color w:val="auto"/>
          <w:sz w:val="24"/>
          <w:lang w:val="en-US" w:eastAsia="zh-CN"/>
        </w:rPr>
        <w:t>并没收其询价保证金。</w:t>
      </w:r>
    </w:p>
    <w:p>
      <w:pPr>
        <w:pStyle w:val="3"/>
        <w:spacing w:before="0" w:beforeAutospacing="0" w:after="0" w:afterAutospacing="0" w:line="240" w:lineRule="auto"/>
        <w:ind w:left="479" w:leftChars="228" w:firstLine="0" w:firstLineChars="0"/>
        <w:rPr>
          <w:rFonts w:hint="eastAsia" w:ascii="Times New Roman" w:hAnsi="Times New Roman" w:eastAsia="宋体" w:cs="Times New Roman"/>
          <w:b w:val="0"/>
          <w:color w:val="auto"/>
          <w:kern w:val="2"/>
          <w:sz w:val="24"/>
          <w:szCs w:val="24"/>
          <w:lang w:val="en-US" w:eastAsia="zh-CN" w:bidi="ar-SA"/>
        </w:rPr>
      </w:pPr>
      <w:r>
        <w:rPr>
          <w:rFonts w:hint="eastAsia" w:ascii="Times New Roman" w:hAnsi="Times New Roman" w:eastAsia="宋体" w:cs="Times New Roman"/>
          <w:b w:val="0"/>
          <w:color w:val="auto"/>
          <w:kern w:val="2"/>
          <w:sz w:val="24"/>
          <w:szCs w:val="24"/>
          <w:lang w:val="en-US" w:eastAsia="zh-CN" w:bidi="ar-SA"/>
        </w:rPr>
        <w:t>3.</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人有权核查</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人在</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文件中提供的资料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若在</w:t>
      </w:r>
      <w:r>
        <w:rPr>
          <w:rFonts w:hint="eastAsia" w:cs="Times New Roman"/>
          <w:b w:val="0"/>
          <w:color w:val="auto"/>
          <w:kern w:val="2"/>
          <w:sz w:val="24"/>
          <w:szCs w:val="24"/>
          <w:lang w:val="en-US" w:eastAsia="zh-CN" w:bidi="ar-SA"/>
        </w:rPr>
        <w:t>评审</w:t>
      </w:r>
      <w:r>
        <w:rPr>
          <w:rFonts w:hint="eastAsia" w:ascii="Times New Roman" w:hAnsi="Times New Roman" w:eastAsia="宋体" w:cs="Times New Roman"/>
          <w:b w:val="0"/>
          <w:color w:val="auto"/>
          <w:kern w:val="2"/>
          <w:sz w:val="24"/>
          <w:szCs w:val="24"/>
          <w:lang w:val="en-US" w:eastAsia="zh-CN" w:bidi="ar-SA"/>
        </w:rPr>
        <w:t>期间发现</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w:t>
      </w:r>
      <w:r>
        <w:rPr>
          <w:rFonts w:hint="eastAsia" w:ascii="Times New Roman" w:hAnsi="Times New Roman" w:eastAsia="宋体" w:cs="Times New Roman"/>
          <w:b w:val="0"/>
          <w:color w:val="auto"/>
          <w:kern w:val="2"/>
          <w:sz w:val="24"/>
          <w:szCs w:val="24"/>
          <w:lang w:val="en-US" w:eastAsia="zh-CN" w:bidi="ar-SA"/>
        </w:rPr>
        <w:t>其</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将被否决</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若在签订合同前发现</w:t>
      </w:r>
      <w:r>
        <w:rPr>
          <w:rFonts w:hint="eastAsia" w:cs="Times New Roman"/>
          <w:b w:val="0"/>
          <w:color w:val="auto"/>
          <w:kern w:val="2"/>
          <w:sz w:val="24"/>
          <w:szCs w:val="24"/>
          <w:lang w:val="en-US" w:eastAsia="zh-CN" w:bidi="ar-SA"/>
        </w:rPr>
        <w:t>第一成交候选人</w:t>
      </w:r>
      <w:r>
        <w:rPr>
          <w:rFonts w:hint="eastAsia" w:ascii="Times New Roman" w:hAnsi="Times New Roman" w:eastAsia="宋体" w:cs="Times New Roman"/>
          <w:b w:val="0"/>
          <w:color w:val="auto"/>
          <w:kern w:val="2"/>
          <w:sz w:val="24"/>
          <w:szCs w:val="24"/>
          <w:lang w:val="en-US" w:eastAsia="zh-CN" w:bidi="ar-SA"/>
        </w:rPr>
        <w:t>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人有权取消其中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资格</w:t>
      </w:r>
      <w:r>
        <w:rPr>
          <w:rFonts w:hint="eastAsia" w:cs="Times New Roman"/>
          <w:b w:val="0"/>
          <w:color w:val="auto"/>
          <w:kern w:val="2"/>
          <w:sz w:val="24"/>
          <w:szCs w:val="24"/>
          <w:lang w:val="en-US" w:eastAsia="zh-CN" w:bidi="ar-SA"/>
        </w:rPr>
        <w:t>并没收其询价保证金；</w:t>
      </w:r>
      <w:r>
        <w:rPr>
          <w:rFonts w:hint="eastAsia" w:ascii="Times New Roman" w:hAnsi="Times New Roman" w:eastAsia="宋体" w:cs="Times New Roman"/>
          <w:b w:val="0"/>
          <w:color w:val="auto"/>
          <w:kern w:val="2"/>
          <w:sz w:val="24"/>
          <w:szCs w:val="24"/>
          <w:lang w:val="en-US" w:eastAsia="zh-CN" w:bidi="ar-SA"/>
        </w:rPr>
        <w:t>若在合同实施期间发现中</w:t>
      </w:r>
      <w:r>
        <w:rPr>
          <w:rFonts w:hint="eastAsia" w:cs="Times New Roman"/>
          <w:b w:val="0"/>
          <w:color w:val="auto"/>
          <w:kern w:val="2"/>
          <w:sz w:val="24"/>
          <w:szCs w:val="24"/>
          <w:lang w:val="en-US" w:eastAsia="zh-CN" w:bidi="ar-SA"/>
        </w:rPr>
        <w:t>选</w:t>
      </w:r>
      <w:r>
        <w:rPr>
          <w:rFonts w:hint="eastAsia" w:ascii="Times New Roman" w:hAnsi="Times New Roman" w:eastAsia="宋体" w:cs="Times New Roman"/>
          <w:b w:val="0"/>
          <w:color w:val="auto"/>
          <w:kern w:val="2"/>
          <w:sz w:val="24"/>
          <w:szCs w:val="24"/>
          <w:lang w:val="en-US" w:eastAsia="zh-CN" w:bidi="ar-SA"/>
        </w:rPr>
        <w:t>人提供了虚假资料</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人有权从工程支付款或履约保证金中扣除10%签约合同价的金额作为违约金。同时</w:t>
      </w:r>
      <w:r>
        <w:rPr>
          <w:rFonts w:hint="eastAsia" w:cs="Times New Roman"/>
          <w:b w:val="0"/>
          <w:color w:val="auto"/>
          <w:kern w:val="2"/>
          <w:sz w:val="24"/>
          <w:szCs w:val="24"/>
          <w:lang w:val="en-US" w:eastAsia="zh-CN" w:bidi="ar-SA"/>
        </w:rPr>
        <w:t>询价</w:t>
      </w:r>
      <w:r>
        <w:rPr>
          <w:rFonts w:hint="eastAsia" w:ascii="Times New Roman" w:hAnsi="Times New Roman" w:eastAsia="宋体" w:cs="Times New Roman"/>
          <w:b w:val="0"/>
          <w:color w:val="auto"/>
          <w:kern w:val="2"/>
          <w:sz w:val="24"/>
          <w:szCs w:val="24"/>
          <w:lang w:val="en-US" w:eastAsia="zh-CN" w:bidi="ar-SA"/>
        </w:rPr>
        <w:t>人</w:t>
      </w:r>
      <w:r>
        <w:rPr>
          <w:rFonts w:hint="eastAsia" w:cs="Times New Roman"/>
          <w:b w:val="0"/>
          <w:color w:val="auto"/>
          <w:kern w:val="2"/>
          <w:sz w:val="24"/>
          <w:szCs w:val="24"/>
          <w:lang w:val="en-US" w:eastAsia="zh-CN" w:bidi="ar-SA"/>
        </w:rPr>
        <w:t>有权</w:t>
      </w:r>
      <w:r>
        <w:rPr>
          <w:rFonts w:hint="eastAsia" w:ascii="Times New Roman" w:hAnsi="Times New Roman" w:eastAsia="宋体" w:cs="Times New Roman"/>
          <w:b w:val="0"/>
          <w:color w:val="auto"/>
          <w:kern w:val="2"/>
          <w:sz w:val="24"/>
          <w:szCs w:val="24"/>
          <w:lang w:val="en-US" w:eastAsia="zh-CN" w:bidi="ar-SA"/>
        </w:rPr>
        <w:t>将</w:t>
      </w:r>
      <w:r>
        <w:rPr>
          <w:rFonts w:hint="eastAsia" w:cs="Times New Roman"/>
          <w:b w:val="0"/>
          <w:color w:val="auto"/>
          <w:kern w:val="2"/>
          <w:sz w:val="24"/>
          <w:szCs w:val="24"/>
          <w:lang w:val="en-US" w:eastAsia="zh-CN" w:bidi="ar-SA"/>
        </w:rPr>
        <w:t>报价</w:t>
      </w:r>
      <w:r>
        <w:rPr>
          <w:rFonts w:hint="eastAsia" w:ascii="Times New Roman" w:hAnsi="Times New Roman" w:eastAsia="宋体" w:cs="Times New Roman"/>
          <w:b w:val="0"/>
          <w:color w:val="auto"/>
          <w:kern w:val="2"/>
          <w:sz w:val="24"/>
          <w:szCs w:val="24"/>
          <w:lang w:val="en-US" w:eastAsia="zh-CN" w:bidi="ar-SA"/>
        </w:rPr>
        <w:t>人上述弄虚作假行为上报</w:t>
      </w:r>
      <w:r>
        <w:rPr>
          <w:rFonts w:hint="eastAsia" w:cs="Times New Roman"/>
          <w:b w:val="0"/>
          <w:color w:val="auto"/>
          <w:kern w:val="2"/>
          <w:sz w:val="24"/>
          <w:szCs w:val="24"/>
          <w:lang w:val="en-US" w:eastAsia="zh-CN" w:bidi="ar-SA"/>
        </w:rPr>
        <w:t>相关</w:t>
      </w:r>
      <w:r>
        <w:rPr>
          <w:rFonts w:hint="eastAsia" w:ascii="Times New Roman" w:hAnsi="Times New Roman" w:eastAsia="宋体" w:cs="Times New Roman"/>
          <w:b w:val="0"/>
          <w:color w:val="auto"/>
          <w:kern w:val="2"/>
          <w:sz w:val="24"/>
          <w:szCs w:val="24"/>
          <w:lang w:val="en-US" w:eastAsia="zh-CN" w:bidi="ar-SA"/>
        </w:rPr>
        <w:t>主管部门,作为不良记录纳入</w:t>
      </w:r>
      <w:r>
        <w:rPr>
          <w:rFonts w:hint="eastAsia" w:cs="Times New Roman"/>
          <w:b w:val="0"/>
          <w:color w:val="auto"/>
          <w:kern w:val="2"/>
          <w:sz w:val="24"/>
          <w:szCs w:val="24"/>
          <w:lang w:val="en-US" w:eastAsia="zh-CN" w:bidi="ar-SA"/>
        </w:rPr>
        <w:t>相应</w:t>
      </w:r>
      <w:r>
        <w:rPr>
          <w:rFonts w:hint="eastAsia" w:ascii="Times New Roman" w:hAnsi="Times New Roman" w:eastAsia="宋体" w:cs="Times New Roman"/>
          <w:b w:val="0"/>
          <w:color w:val="auto"/>
          <w:kern w:val="2"/>
          <w:sz w:val="24"/>
          <w:szCs w:val="24"/>
          <w:lang w:val="en-US" w:eastAsia="zh-CN" w:bidi="ar-SA"/>
        </w:rPr>
        <w:t>市场信用信息管理系统。</w:t>
      </w:r>
    </w:p>
    <w:p>
      <w:pPr>
        <w:rPr>
          <w:szCs w:val="21"/>
        </w:rPr>
      </w:pPr>
    </w:p>
    <w:p>
      <w:pPr>
        <w:tabs>
          <w:tab w:val="left" w:pos="7460"/>
          <w:tab w:val="left" w:pos="8080"/>
          <w:tab w:val="left" w:pos="8800"/>
        </w:tabs>
        <w:autoSpaceDE w:val="0"/>
        <w:autoSpaceDN w:val="0"/>
        <w:adjustRightInd w:val="0"/>
        <w:spacing w:line="360" w:lineRule="auto"/>
        <w:ind w:left="3641" w:right="61"/>
        <w:rPr>
          <w:rFonts w:ascii="宋体" w:hAnsi="宋体"/>
          <w:color w:val="auto"/>
          <w:sz w:val="24"/>
          <w:szCs w:val="24"/>
        </w:rPr>
      </w:pPr>
      <w:r>
        <w:rPr>
          <w:rFonts w:hint="eastAsia" w:ascii="宋体" w:hAnsi="宋体"/>
          <w:color w:val="auto"/>
          <w:sz w:val="24"/>
        </w:rPr>
        <w:t>承诺人：</w:t>
      </w:r>
      <w:r>
        <w:rPr>
          <w:rFonts w:hint="eastAsia" w:ascii="宋体" w:hAnsi="宋体"/>
          <w:color w:val="auto"/>
          <w:sz w:val="24"/>
          <w:u w:val="single"/>
        </w:rPr>
        <w:t xml:space="preserve">                         </w:t>
      </w:r>
      <w:r>
        <w:rPr>
          <w:rFonts w:hint="eastAsia" w:ascii="宋体" w:hAnsi="宋体"/>
          <w:color w:val="auto"/>
          <w:sz w:val="24"/>
        </w:rPr>
        <w:t>(盖</w:t>
      </w:r>
      <w:r>
        <w:rPr>
          <w:rFonts w:hint="eastAsia" w:ascii="宋体" w:hAnsi="宋体"/>
          <w:color w:val="auto"/>
          <w:spacing w:val="-1"/>
          <w:sz w:val="24"/>
        </w:rPr>
        <w:t>单</w:t>
      </w:r>
      <w:r>
        <w:rPr>
          <w:rFonts w:hint="eastAsia" w:ascii="宋体" w:hAnsi="宋体"/>
          <w:color w:val="auto"/>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color w:val="auto"/>
          <w:sz w:val="24"/>
        </w:rPr>
      </w:pPr>
      <w:r>
        <w:rPr>
          <w:rFonts w:hint="eastAsia" w:ascii="宋体" w:hAnsi="宋体"/>
          <w:color w:val="auto"/>
          <w:sz w:val="24"/>
        </w:rPr>
        <w:t>法定代表人或其委托代理人：</w:t>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rPr>
        <w:t>(</w:t>
      </w:r>
      <w:r>
        <w:rPr>
          <w:rFonts w:hint="eastAsia" w:ascii="宋体" w:hAnsi="宋体"/>
          <w:color w:val="auto"/>
          <w:spacing w:val="-1"/>
          <w:sz w:val="24"/>
        </w:rPr>
        <w:t>签</w:t>
      </w:r>
      <w:r>
        <w:rPr>
          <w:rFonts w:hint="eastAsia" w:ascii="宋体" w:hAnsi="宋体"/>
          <w:color w:val="auto"/>
          <w:sz w:val="24"/>
        </w:rPr>
        <w:t xml:space="preserve">字) </w:t>
      </w:r>
    </w:p>
    <w:p>
      <w:pPr>
        <w:ind w:firstLine="3720" w:firstLineChars="1550"/>
        <w:rPr>
          <w:rFonts w:ascii="宋体" w:hAnsi="宋体"/>
          <w:color w:val="auto"/>
          <w:sz w:val="24"/>
        </w:rPr>
      </w:pPr>
      <w:r>
        <w:rPr>
          <w:rFonts w:hint="eastAsia" w:ascii="宋体" w:hAnsi="宋体"/>
          <w:color w:val="auto"/>
          <w:sz w:val="24"/>
        </w:rPr>
        <w:t>承诺时间：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rFonts w:hint="eastAsia" w:ascii="宋体" w:hAnsi="宋体"/>
          <w:b/>
          <w:bCs/>
          <w:sz w:val="24"/>
        </w:rPr>
      </w:pPr>
    </w:p>
    <w:p>
      <w:pPr>
        <w:jc w:val="center"/>
        <w:rPr>
          <w:b/>
          <w:bCs/>
          <w:sz w:val="24"/>
        </w:rPr>
      </w:pPr>
      <w:r>
        <w:rPr>
          <w:rFonts w:hint="eastAsia" w:ascii="宋体" w:hAnsi="宋体"/>
          <w:b/>
          <w:bCs/>
          <w:sz w:val="24"/>
        </w:rPr>
        <w:t>拟委任的项目负责人资历表</w:t>
      </w:r>
    </w:p>
    <w:p>
      <w:pPr>
        <w:spacing w:line="200" w:lineRule="exact"/>
        <w:jc w:val="left"/>
        <w:rPr>
          <w:sz w:val="24"/>
        </w:rPr>
      </w:pPr>
    </w:p>
    <w:p>
      <w:pPr>
        <w:spacing w:line="218" w:lineRule="exact"/>
        <w:jc w:val="left"/>
        <w:rPr>
          <w:sz w:val="24"/>
        </w:rPr>
      </w:pPr>
    </w:p>
    <w:tbl>
      <w:tblPr>
        <w:tblStyle w:val="9"/>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pPr>
              <w:spacing w:line="239" w:lineRule="exact"/>
              <w:ind w:left="200"/>
              <w:jc w:val="left"/>
              <w:rPr>
                <w:sz w:val="24"/>
              </w:rPr>
            </w:pPr>
            <w:r>
              <w:rPr>
                <w:rFonts w:hint="eastAsia" w:ascii="宋体" w:hAnsi="宋体"/>
              </w:rPr>
              <w:t>姓</w:t>
            </w:r>
          </w:p>
        </w:tc>
        <w:tc>
          <w:tcPr>
            <w:tcW w:w="640" w:type="dxa"/>
            <w:tcBorders>
              <w:top w:val="single" w:color="auto" w:sz="8" w:space="0"/>
              <w:left w:val="nil"/>
              <w:bottom w:val="nil"/>
              <w:right w:val="single" w:color="auto" w:sz="8" w:space="0"/>
            </w:tcBorders>
            <w:vAlign w:val="bottom"/>
          </w:tcPr>
          <w:p>
            <w:pPr>
              <w:spacing w:line="239" w:lineRule="exact"/>
              <w:ind w:right="94"/>
              <w:jc w:val="right"/>
              <w:rPr>
                <w:sz w:val="24"/>
              </w:rPr>
            </w:pPr>
            <w:r>
              <w:rPr>
                <w:rFonts w:hint="eastAsia" w:ascii="宋体" w:hAnsi="宋体"/>
              </w:rPr>
              <w:t>名</w:t>
            </w:r>
          </w:p>
        </w:tc>
        <w:tc>
          <w:tcPr>
            <w:tcW w:w="60" w:type="dxa"/>
            <w:tcBorders>
              <w:top w:val="single" w:color="auto" w:sz="8" w:space="0"/>
              <w:left w:val="nil"/>
              <w:bottom w:val="nil"/>
              <w:right w:val="nil"/>
            </w:tcBorders>
            <w:vAlign w:val="bottom"/>
          </w:tcPr>
          <w:p>
            <w:pPr>
              <w:jc w:val="left"/>
              <w:rPr>
                <w:sz w:val="24"/>
              </w:rPr>
            </w:pPr>
          </w:p>
        </w:tc>
        <w:tc>
          <w:tcPr>
            <w:tcW w:w="740" w:type="dxa"/>
            <w:tcBorders>
              <w:top w:val="single" w:color="auto" w:sz="8" w:space="0"/>
              <w:left w:val="nil"/>
              <w:bottom w:val="nil"/>
              <w:right w:val="nil"/>
            </w:tcBorders>
            <w:vAlign w:val="bottom"/>
          </w:tcPr>
          <w:p>
            <w:pPr>
              <w:jc w:val="left"/>
              <w:rPr>
                <w:sz w:val="24"/>
              </w:rPr>
            </w:pPr>
          </w:p>
        </w:tc>
        <w:tc>
          <w:tcPr>
            <w:tcW w:w="600" w:type="dxa"/>
            <w:tcBorders>
              <w:top w:val="single" w:color="auto" w:sz="8" w:space="0"/>
              <w:left w:val="nil"/>
              <w:bottom w:val="nil"/>
              <w:right w:val="nil"/>
            </w:tcBorders>
            <w:vAlign w:val="bottom"/>
          </w:tcPr>
          <w:p>
            <w:pPr>
              <w:jc w:val="left"/>
              <w:rPr>
                <w:sz w:val="24"/>
              </w:rPr>
            </w:pPr>
          </w:p>
        </w:tc>
        <w:tc>
          <w:tcPr>
            <w:tcW w:w="120" w:type="dxa"/>
            <w:tcBorders>
              <w:top w:val="single" w:color="auto" w:sz="8" w:space="0"/>
              <w:left w:val="nil"/>
              <w:bottom w:val="nil"/>
              <w:right w:val="single" w:color="auto" w:sz="8" w:space="0"/>
            </w:tcBorders>
            <w:vAlign w:val="bottom"/>
          </w:tcPr>
          <w:p>
            <w:pPr>
              <w:jc w:val="left"/>
              <w:rPr>
                <w:sz w:val="24"/>
              </w:rPr>
            </w:pPr>
          </w:p>
        </w:tc>
        <w:tc>
          <w:tcPr>
            <w:tcW w:w="500" w:type="dxa"/>
            <w:tcBorders>
              <w:top w:val="single" w:color="auto" w:sz="8" w:space="0"/>
              <w:left w:val="nil"/>
              <w:bottom w:val="nil"/>
              <w:right w:val="nil"/>
            </w:tcBorders>
            <w:vAlign w:val="bottom"/>
          </w:tcPr>
          <w:p>
            <w:pPr>
              <w:spacing w:line="239" w:lineRule="exact"/>
              <w:ind w:left="80"/>
              <w:jc w:val="left"/>
              <w:rPr>
                <w:sz w:val="24"/>
              </w:rPr>
            </w:pPr>
            <w:r>
              <w:rPr>
                <w:rFonts w:hint="eastAsia" w:ascii="宋体" w:hAnsi="宋体"/>
              </w:rPr>
              <w:t>年</w:t>
            </w:r>
          </w:p>
        </w:tc>
        <w:tc>
          <w:tcPr>
            <w:tcW w:w="560" w:type="dxa"/>
            <w:tcBorders>
              <w:top w:val="single" w:color="auto" w:sz="8" w:space="0"/>
              <w:left w:val="nil"/>
              <w:bottom w:val="nil"/>
              <w:right w:val="single" w:color="auto" w:sz="8" w:space="0"/>
            </w:tcBorders>
            <w:vAlign w:val="bottom"/>
          </w:tcPr>
          <w:p>
            <w:pPr>
              <w:spacing w:line="239" w:lineRule="exact"/>
              <w:ind w:left="220"/>
              <w:jc w:val="left"/>
              <w:rPr>
                <w:sz w:val="24"/>
              </w:rPr>
            </w:pPr>
            <w:r>
              <w:rPr>
                <w:rFonts w:hint="eastAsia" w:ascii="宋体" w:hAnsi="宋体"/>
              </w:rPr>
              <w:t>龄</w:t>
            </w:r>
          </w:p>
        </w:tc>
        <w:tc>
          <w:tcPr>
            <w:tcW w:w="660" w:type="dxa"/>
            <w:tcBorders>
              <w:top w:val="single" w:color="auto" w:sz="8" w:space="0"/>
              <w:left w:val="nil"/>
              <w:bottom w:val="nil"/>
              <w:right w:val="nil"/>
            </w:tcBorders>
            <w:vAlign w:val="bottom"/>
          </w:tcPr>
          <w:p>
            <w:pPr>
              <w:jc w:val="left"/>
              <w:rPr>
                <w:sz w:val="24"/>
              </w:rPr>
            </w:pPr>
          </w:p>
        </w:tc>
        <w:tc>
          <w:tcPr>
            <w:tcW w:w="260" w:type="dxa"/>
            <w:tcBorders>
              <w:top w:val="single" w:color="auto" w:sz="8" w:space="0"/>
              <w:left w:val="nil"/>
              <w:bottom w:val="nil"/>
              <w:right w:val="nil"/>
            </w:tcBorders>
            <w:vAlign w:val="bottom"/>
          </w:tcPr>
          <w:p>
            <w:pPr>
              <w:jc w:val="left"/>
              <w:rPr>
                <w:sz w:val="24"/>
              </w:rPr>
            </w:pPr>
          </w:p>
        </w:tc>
        <w:tc>
          <w:tcPr>
            <w:tcW w:w="460" w:type="dxa"/>
            <w:tcBorders>
              <w:top w:val="single" w:color="auto" w:sz="8" w:space="0"/>
              <w:left w:val="nil"/>
              <w:bottom w:val="nil"/>
              <w:right w:val="single" w:color="auto" w:sz="8" w:space="0"/>
            </w:tcBorders>
            <w:vAlign w:val="bottom"/>
          </w:tcPr>
          <w:p>
            <w:pPr>
              <w:jc w:val="left"/>
              <w:rPr>
                <w:sz w:val="24"/>
              </w:rPr>
            </w:pPr>
          </w:p>
        </w:tc>
        <w:tc>
          <w:tcPr>
            <w:tcW w:w="340" w:type="dxa"/>
            <w:tcBorders>
              <w:top w:val="single" w:color="auto" w:sz="8" w:space="0"/>
              <w:left w:val="nil"/>
              <w:bottom w:val="nil"/>
              <w:right w:val="nil"/>
            </w:tcBorders>
            <w:vAlign w:val="bottom"/>
          </w:tcPr>
          <w:p>
            <w:pPr>
              <w:jc w:val="left"/>
              <w:rPr>
                <w:sz w:val="24"/>
              </w:rPr>
            </w:pPr>
          </w:p>
        </w:tc>
        <w:tc>
          <w:tcPr>
            <w:tcW w:w="440" w:type="dxa"/>
            <w:tcBorders>
              <w:top w:val="single" w:color="auto" w:sz="8" w:space="0"/>
              <w:left w:val="nil"/>
              <w:bottom w:val="nil"/>
              <w:right w:val="nil"/>
            </w:tcBorders>
            <w:vAlign w:val="bottom"/>
          </w:tcPr>
          <w:p>
            <w:pPr>
              <w:spacing w:line="239" w:lineRule="exact"/>
              <w:ind w:left="160"/>
              <w:jc w:val="left"/>
              <w:rPr>
                <w:sz w:val="24"/>
              </w:rPr>
            </w:pPr>
            <w:r>
              <w:rPr>
                <w:rFonts w:hint="eastAsia" w:ascii="宋体" w:hAnsi="宋体"/>
              </w:rPr>
              <w:t>专</w:t>
            </w:r>
          </w:p>
        </w:tc>
        <w:tc>
          <w:tcPr>
            <w:tcW w:w="280" w:type="dxa"/>
            <w:tcBorders>
              <w:top w:val="single" w:color="auto" w:sz="8" w:space="0"/>
              <w:left w:val="nil"/>
              <w:bottom w:val="nil"/>
              <w:right w:val="nil"/>
            </w:tcBorders>
            <w:vAlign w:val="bottom"/>
          </w:tcPr>
          <w:p>
            <w:pPr>
              <w:jc w:val="left"/>
              <w:rPr>
                <w:sz w:val="24"/>
              </w:rPr>
            </w:pPr>
          </w:p>
        </w:tc>
        <w:tc>
          <w:tcPr>
            <w:tcW w:w="820" w:type="dxa"/>
            <w:gridSpan w:val="2"/>
            <w:tcBorders>
              <w:top w:val="single" w:color="auto" w:sz="8" w:space="0"/>
              <w:left w:val="nil"/>
              <w:bottom w:val="nil"/>
              <w:right w:val="single" w:color="auto" w:sz="8" w:space="0"/>
            </w:tcBorders>
            <w:vAlign w:val="bottom"/>
          </w:tcPr>
          <w:p>
            <w:pPr>
              <w:spacing w:line="239" w:lineRule="exact"/>
              <w:ind w:right="460"/>
              <w:jc w:val="center"/>
              <w:rPr>
                <w:sz w:val="24"/>
              </w:rPr>
            </w:pPr>
            <w:r>
              <w:rPr>
                <w:rFonts w:hint="eastAsia" w:ascii="宋体" w:hAnsi="宋体"/>
                <w:w w:val="95"/>
              </w:rPr>
              <w:t>业</w:t>
            </w:r>
          </w:p>
        </w:tc>
        <w:tc>
          <w:tcPr>
            <w:tcW w:w="280" w:type="dxa"/>
            <w:tcBorders>
              <w:top w:val="single" w:color="auto" w:sz="8" w:space="0"/>
              <w:left w:val="nil"/>
              <w:bottom w:val="nil"/>
              <w:right w:val="nil"/>
            </w:tcBorders>
            <w:vAlign w:val="bottom"/>
          </w:tcPr>
          <w:p>
            <w:pPr>
              <w:jc w:val="left"/>
              <w:rPr>
                <w:sz w:val="24"/>
              </w:rPr>
            </w:pPr>
          </w:p>
        </w:tc>
        <w:tc>
          <w:tcPr>
            <w:tcW w:w="100" w:type="dxa"/>
            <w:tcBorders>
              <w:top w:val="single" w:color="auto" w:sz="8" w:space="0"/>
              <w:left w:val="nil"/>
              <w:bottom w:val="nil"/>
              <w:right w:val="nil"/>
            </w:tcBorders>
            <w:vAlign w:val="bottom"/>
          </w:tcPr>
          <w:p>
            <w:pPr>
              <w:jc w:val="left"/>
              <w:rPr>
                <w:sz w:val="24"/>
              </w:rPr>
            </w:pPr>
          </w:p>
        </w:tc>
        <w:tc>
          <w:tcPr>
            <w:tcW w:w="960" w:type="dxa"/>
            <w:tcBorders>
              <w:top w:val="single" w:color="auto" w:sz="8" w:space="0"/>
              <w:left w:val="nil"/>
              <w:bottom w:val="nil"/>
              <w:right w:val="nil"/>
            </w:tcBorders>
            <w:vAlign w:val="bottom"/>
          </w:tcPr>
          <w:p>
            <w:pPr>
              <w:jc w:val="left"/>
              <w:rPr>
                <w:sz w:val="24"/>
              </w:rPr>
            </w:pPr>
          </w:p>
        </w:tc>
        <w:tc>
          <w:tcPr>
            <w:tcW w:w="100" w:type="dxa"/>
            <w:tcBorders>
              <w:top w:val="single" w:color="auto" w:sz="8" w:space="0"/>
              <w:left w:val="nil"/>
              <w:bottom w:val="nil"/>
              <w:right w:val="nil"/>
            </w:tcBorders>
            <w:vAlign w:val="bottom"/>
          </w:tcPr>
          <w:p>
            <w:pPr>
              <w:jc w:val="left"/>
              <w:rPr>
                <w:sz w:val="24"/>
              </w:rPr>
            </w:pPr>
          </w:p>
        </w:tc>
        <w:tc>
          <w:tcPr>
            <w:tcW w:w="240" w:type="dxa"/>
            <w:tcBorders>
              <w:top w:val="single" w:color="auto" w:sz="8" w:space="0"/>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640" w:type="dxa"/>
            <w:tcBorders>
              <w:top w:val="nil"/>
              <w:left w:val="nil"/>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single" w:color="auto" w:sz="8" w:space="0"/>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single" w:color="auto" w:sz="8" w:space="0"/>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single" w:color="auto" w:sz="8" w:space="0"/>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3900" w:type="dxa"/>
            <w:gridSpan w:val="8"/>
            <w:vMerge w:val="restart"/>
            <w:tcBorders>
              <w:top w:val="nil"/>
              <w:left w:val="nil"/>
              <w:right w:val="single" w:color="auto" w:sz="8" w:space="0"/>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1540" w:type="dxa"/>
            <w:gridSpan w:val="4"/>
            <w:tcBorders>
              <w:top w:val="nil"/>
              <w:left w:val="nil"/>
              <w:bottom w:val="nil"/>
              <w:right w:val="single" w:color="auto" w:sz="8" w:space="0"/>
            </w:tcBorders>
            <w:vAlign w:val="bottom"/>
          </w:tcPr>
          <w:p>
            <w:pPr>
              <w:spacing w:line="239" w:lineRule="exact"/>
              <w:ind w:right="380"/>
              <w:jc w:val="center"/>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pPr>
              <w:spacing w:line="228" w:lineRule="exact"/>
              <w:ind w:right="94"/>
              <w:jc w:val="right"/>
              <w:rPr>
                <w:sz w:val="24"/>
              </w:rPr>
            </w:pPr>
            <w:r>
              <w:rPr>
                <w:rFonts w:hint="eastAsia" w:ascii="宋体" w:hAnsi="宋体"/>
              </w:rPr>
              <w:t>技术职称</w:t>
            </w:r>
          </w:p>
        </w:tc>
        <w:tc>
          <w:tcPr>
            <w:tcW w:w="60" w:type="dxa"/>
            <w:tcBorders>
              <w:top w:val="nil"/>
              <w:left w:val="nil"/>
              <w:bottom w:val="nil"/>
              <w:right w:val="nil"/>
            </w:tcBorders>
            <w:vAlign w:val="bottom"/>
          </w:tcPr>
          <w:p>
            <w:pPr>
              <w:jc w:val="left"/>
              <w:rPr>
                <w:sz w:val="19"/>
              </w:rPr>
            </w:pPr>
          </w:p>
        </w:tc>
        <w:tc>
          <w:tcPr>
            <w:tcW w:w="3900" w:type="dxa"/>
            <w:gridSpan w:val="8"/>
            <w:vMerge w:val="continue"/>
            <w:tcBorders>
              <w:left w:val="nil"/>
              <w:right w:val="single" w:color="auto" w:sz="8" w:space="0"/>
            </w:tcBorders>
            <w:vAlign w:val="bottom"/>
          </w:tcPr>
          <w:p>
            <w:pPr>
              <w:jc w:val="left"/>
              <w:rPr>
                <w:sz w:val="19"/>
              </w:rPr>
            </w:pPr>
          </w:p>
        </w:tc>
        <w:tc>
          <w:tcPr>
            <w:tcW w:w="340" w:type="dxa"/>
            <w:tcBorders>
              <w:top w:val="nil"/>
              <w:left w:val="nil"/>
              <w:bottom w:val="nil"/>
              <w:right w:val="nil"/>
            </w:tcBorders>
            <w:vAlign w:val="bottom"/>
          </w:tcPr>
          <w:p>
            <w:pPr>
              <w:jc w:val="left"/>
              <w:rPr>
                <w:sz w:val="19"/>
              </w:rPr>
            </w:pPr>
          </w:p>
        </w:tc>
        <w:tc>
          <w:tcPr>
            <w:tcW w:w="440" w:type="dxa"/>
            <w:tcBorders>
              <w:top w:val="nil"/>
              <w:left w:val="nil"/>
              <w:bottom w:val="nil"/>
              <w:right w:val="nil"/>
            </w:tcBorders>
            <w:vAlign w:val="bottom"/>
          </w:tcPr>
          <w:p>
            <w:pPr>
              <w:ind w:firstLine="190" w:firstLineChars="100"/>
              <w:jc w:val="left"/>
              <w:rPr>
                <w:sz w:val="19"/>
              </w:rPr>
            </w:pPr>
            <w:r>
              <w:rPr>
                <w:rFonts w:hint="eastAsia"/>
                <w:sz w:val="19"/>
              </w:rPr>
              <w:t>学</w:t>
            </w:r>
          </w:p>
        </w:tc>
        <w:tc>
          <w:tcPr>
            <w:tcW w:w="280" w:type="dxa"/>
            <w:tcBorders>
              <w:top w:val="nil"/>
              <w:left w:val="nil"/>
              <w:bottom w:val="nil"/>
              <w:right w:val="nil"/>
            </w:tcBorders>
            <w:vAlign w:val="bottom"/>
          </w:tcPr>
          <w:p>
            <w:pPr>
              <w:jc w:val="left"/>
              <w:rPr>
                <w:sz w:val="19"/>
              </w:rPr>
            </w:pPr>
          </w:p>
        </w:tc>
        <w:tc>
          <w:tcPr>
            <w:tcW w:w="680" w:type="dxa"/>
            <w:tcBorders>
              <w:top w:val="nil"/>
              <w:left w:val="nil"/>
              <w:bottom w:val="nil"/>
              <w:right w:val="nil"/>
            </w:tcBorders>
            <w:vAlign w:val="bottom"/>
          </w:tcPr>
          <w:p>
            <w:pPr>
              <w:ind w:firstLine="190" w:firstLineChars="100"/>
              <w:jc w:val="left"/>
              <w:rPr>
                <w:sz w:val="19"/>
              </w:rPr>
            </w:pPr>
            <w:r>
              <w:rPr>
                <w:rFonts w:hint="eastAsia"/>
                <w:sz w:val="19"/>
              </w:rPr>
              <w:t>历</w:t>
            </w:r>
          </w:p>
        </w:tc>
        <w:tc>
          <w:tcPr>
            <w:tcW w:w="140" w:type="dxa"/>
            <w:tcBorders>
              <w:top w:val="nil"/>
              <w:left w:val="nil"/>
              <w:bottom w:val="nil"/>
              <w:right w:val="single" w:color="auto" w:sz="8" w:space="0"/>
            </w:tcBorders>
            <w:vAlign w:val="bottom"/>
          </w:tcPr>
          <w:p>
            <w:pPr>
              <w:jc w:val="left"/>
              <w:rPr>
                <w:sz w:val="19"/>
              </w:rPr>
            </w:pPr>
          </w:p>
        </w:tc>
        <w:tc>
          <w:tcPr>
            <w:tcW w:w="280" w:type="dxa"/>
            <w:tcBorders>
              <w:top w:val="nil"/>
              <w:left w:val="nil"/>
              <w:bottom w:val="nil"/>
              <w:right w:val="nil"/>
            </w:tcBorders>
            <w:vAlign w:val="bottom"/>
          </w:tcPr>
          <w:p>
            <w:pPr>
              <w:jc w:val="left"/>
              <w:rPr>
                <w:sz w:val="19"/>
              </w:rPr>
            </w:pPr>
          </w:p>
        </w:tc>
        <w:tc>
          <w:tcPr>
            <w:tcW w:w="100" w:type="dxa"/>
            <w:tcBorders>
              <w:top w:val="nil"/>
              <w:left w:val="nil"/>
              <w:bottom w:val="nil"/>
              <w:right w:val="nil"/>
            </w:tcBorders>
            <w:vAlign w:val="bottom"/>
          </w:tcPr>
          <w:p>
            <w:pPr>
              <w:jc w:val="left"/>
              <w:rPr>
                <w:sz w:val="19"/>
              </w:rPr>
            </w:pPr>
          </w:p>
        </w:tc>
        <w:tc>
          <w:tcPr>
            <w:tcW w:w="960" w:type="dxa"/>
            <w:tcBorders>
              <w:top w:val="nil"/>
              <w:left w:val="nil"/>
              <w:bottom w:val="nil"/>
              <w:right w:val="nil"/>
            </w:tcBorders>
            <w:vAlign w:val="bottom"/>
          </w:tcPr>
          <w:p>
            <w:pPr>
              <w:jc w:val="left"/>
              <w:rPr>
                <w:sz w:val="19"/>
              </w:rPr>
            </w:pPr>
          </w:p>
        </w:tc>
        <w:tc>
          <w:tcPr>
            <w:tcW w:w="100" w:type="dxa"/>
            <w:tcBorders>
              <w:top w:val="nil"/>
              <w:left w:val="nil"/>
              <w:bottom w:val="nil"/>
              <w:right w:val="nil"/>
            </w:tcBorders>
            <w:vAlign w:val="bottom"/>
          </w:tcPr>
          <w:p>
            <w:pPr>
              <w:jc w:val="left"/>
              <w:rPr>
                <w:sz w:val="19"/>
              </w:rPr>
            </w:pPr>
          </w:p>
        </w:tc>
        <w:tc>
          <w:tcPr>
            <w:tcW w:w="240" w:type="dxa"/>
            <w:tcBorders>
              <w:top w:val="nil"/>
              <w:left w:val="nil"/>
              <w:bottom w:val="nil"/>
              <w:right w:val="single" w:color="auto" w:sz="8" w:space="0"/>
            </w:tcBorders>
            <w:vAlign w:val="bottom"/>
          </w:tcPr>
          <w:p>
            <w:pPr>
              <w:jc w:val="left"/>
              <w:rPr>
                <w:sz w:val="19"/>
              </w:rPr>
            </w:pPr>
          </w:p>
        </w:tc>
      </w:tr>
      <w:tr>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pPr>
              <w:jc w:val="left"/>
              <w:rPr>
                <w:sz w:val="20"/>
              </w:rPr>
            </w:pPr>
          </w:p>
        </w:tc>
        <w:tc>
          <w:tcPr>
            <w:tcW w:w="640" w:type="dxa"/>
            <w:tcBorders>
              <w:top w:val="nil"/>
              <w:left w:val="nil"/>
              <w:bottom w:val="nil"/>
              <w:right w:val="single" w:color="auto" w:sz="8" w:space="0"/>
            </w:tcBorders>
            <w:vAlign w:val="bottom"/>
          </w:tcPr>
          <w:p>
            <w:pPr>
              <w:jc w:val="left"/>
              <w:rPr>
                <w:sz w:val="20"/>
              </w:rPr>
            </w:pPr>
          </w:p>
        </w:tc>
        <w:tc>
          <w:tcPr>
            <w:tcW w:w="60" w:type="dxa"/>
            <w:tcBorders>
              <w:top w:val="nil"/>
              <w:left w:val="nil"/>
              <w:bottom w:val="nil"/>
              <w:right w:val="nil"/>
            </w:tcBorders>
            <w:vAlign w:val="bottom"/>
          </w:tcPr>
          <w:p>
            <w:pPr>
              <w:jc w:val="left"/>
              <w:rPr>
                <w:sz w:val="20"/>
              </w:rPr>
            </w:pPr>
          </w:p>
        </w:tc>
        <w:tc>
          <w:tcPr>
            <w:tcW w:w="3900" w:type="dxa"/>
            <w:gridSpan w:val="8"/>
            <w:vMerge w:val="continue"/>
            <w:tcBorders>
              <w:left w:val="nil"/>
              <w:right w:val="single" w:color="auto" w:sz="8" w:space="0"/>
            </w:tcBorders>
            <w:vAlign w:val="bottom"/>
          </w:tcPr>
          <w:p>
            <w:pPr>
              <w:jc w:val="left"/>
              <w:rPr>
                <w:sz w:val="20"/>
              </w:rPr>
            </w:pPr>
          </w:p>
        </w:tc>
        <w:tc>
          <w:tcPr>
            <w:tcW w:w="340" w:type="dxa"/>
            <w:tcBorders>
              <w:top w:val="nil"/>
              <w:left w:val="nil"/>
              <w:bottom w:val="nil"/>
              <w:right w:val="nil"/>
            </w:tcBorders>
            <w:vAlign w:val="bottom"/>
          </w:tcPr>
          <w:p>
            <w:pPr>
              <w:jc w:val="left"/>
              <w:rPr>
                <w:sz w:val="20"/>
              </w:rPr>
            </w:pPr>
          </w:p>
        </w:tc>
        <w:tc>
          <w:tcPr>
            <w:tcW w:w="1540" w:type="dxa"/>
            <w:gridSpan w:val="4"/>
            <w:tcBorders>
              <w:top w:val="nil"/>
              <w:left w:val="nil"/>
              <w:bottom w:val="nil"/>
              <w:right w:val="single" w:color="auto" w:sz="8" w:space="0"/>
            </w:tcBorders>
            <w:vAlign w:val="bottom"/>
          </w:tcPr>
          <w:p>
            <w:pPr>
              <w:spacing w:line="230" w:lineRule="exact"/>
              <w:ind w:right="380"/>
              <w:jc w:val="center"/>
              <w:rPr>
                <w:sz w:val="24"/>
              </w:rPr>
            </w:pPr>
          </w:p>
        </w:tc>
        <w:tc>
          <w:tcPr>
            <w:tcW w:w="280" w:type="dxa"/>
            <w:tcBorders>
              <w:top w:val="nil"/>
              <w:left w:val="nil"/>
              <w:bottom w:val="nil"/>
              <w:right w:val="nil"/>
            </w:tcBorders>
            <w:vAlign w:val="bottom"/>
          </w:tcPr>
          <w:p>
            <w:pPr>
              <w:jc w:val="left"/>
              <w:rPr>
                <w:sz w:val="20"/>
              </w:rPr>
            </w:pPr>
          </w:p>
        </w:tc>
        <w:tc>
          <w:tcPr>
            <w:tcW w:w="100" w:type="dxa"/>
            <w:tcBorders>
              <w:top w:val="nil"/>
              <w:left w:val="nil"/>
              <w:bottom w:val="nil"/>
              <w:right w:val="nil"/>
            </w:tcBorders>
            <w:vAlign w:val="bottom"/>
          </w:tcPr>
          <w:p>
            <w:pPr>
              <w:jc w:val="left"/>
              <w:rPr>
                <w:sz w:val="20"/>
              </w:rPr>
            </w:pPr>
          </w:p>
        </w:tc>
        <w:tc>
          <w:tcPr>
            <w:tcW w:w="960" w:type="dxa"/>
            <w:tcBorders>
              <w:top w:val="nil"/>
              <w:left w:val="nil"/>
              <w:bottom w:val="nil"/>
              <w:right w:val="nil"/>
            </w:tcBorders>
            <w:vAlign w:val="bottom"/>
          </w:tcPr>
          <w:p>
            <w:pPr>
              <w:jc w:val="left"/>
              <w:rPr>
                <w:sz w:val="20"/>
              </w:rPr>
            </w:pPr>
          </w:p>
        </w:tc>
        <w:tc>
          <w:tcPr>
            <w:tcW w:w="100" w:type="dxa"/>
            <w:tcBorders>
              <w:top w:val="nil"/>
              <w:left w:val="nil"/>
              <w:bottom w:val="nil"/>
              <w:right w:val="nil"/>
            </w:tcBorders>
            <w:vAlign w:val="bottom"/>
          </w:tcPr>
          <w:p>
            <w:pPr>
              <w:jc w:val="left"/>
              <w:rPr>
                <w:sz w:val="20"/>
              </w:rPr>
            </w:pPr>
          </w:p>
        </w:tc>
        <w:tc>
          <w:tcPr>
            <w:tcW w:w="240" w:type="dxa"/>
            <w:tcBorders>
              <w:top w:val="nil"/>
              <w:left w:val="nil"/>
              <w:bottom w:val="nil"/>
              <w:right w:val="single" w:color="auto" w:sz="8" w:space="0"/>
            </w:tcBorders>
            <w:vAlign w:val="bottom"/>
          </w:tcPr>
          <w:p>
            <w:pPr>
              <w:jc w:val="left"/>
              <w:rPr>
                <w:sz w:val="20"/>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3900" w:type="dxa"/>
            <w:gridSpan w:val="8"/>
            <w:vMerge w:val="continue"/>
            <w:tcBorders>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rPr>
            </w:pPr>
            <w:r>
              <w:rPr>
                <w:rFonts w:hint="eastAsia" w:ascii="宋体" w:hAnsi="宋体"/>
              </w:rPr>
              <w:t>工作年限</w:t>
            </w: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nil"/>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560" w:type="dxa"/>
            <w:tcBorders>
              <w:top w:val="nil"/>
              <w:left w:val="nil"/>
              <w:bottom w:val="nil"/>
              <w:right w:val="nil"/>
            </w:tcBorders>
            <w:vAlign w:val="bottom"/>
          </w:tcPr>
          <w:p>
            <w:pPr>
              <w:jc w:val="left"/>
              <w:rPr>
                <w:sz w:val="24"/>
              </w:rPr>
            </w:pPr>
          </w:p>
        </w:tc>
        <w:tc>
          <w:tcPr>
            <w:tcW w:w="660" w:type="dxa"/>
            <w:tcBorders>
              <w:top w:val="nil"/>
              <w:left w:val="nil"/>
              <w:bottom w:val="nil"/>
              <w:right w:val="nil"/>
            </w:tcBorders>
            <w:vAlign w:val="bottom"/>
          </w:tcPr>
          <w:p>
            <w:pPr>
              <w:jc w:val="left"/>
              <w:rPr>
                <w:sz w:val="24"/>
              </w:rPr>
            </w:pPr>
          </w:p>
        </w:tc>
        <w:tc>
          <w:tcPr>
            <w:tcW w:w="260" w:type="dxa"/>
            <w:tcBorders>
              <w:top w:val="nil"/>
              <w:left w:val="nil"/>
              <w:bottom w:val="nil"/>
              <w:right w:val="nil"/>
            </w:tcBorders>
            <w:vAlign w:val="bottom"/>
          </w:tcPr>
          <w:p>
            <w:pPr>
              <w:jc w:val="left"/>
              <w:rPr>
                <w:sz w:val="24"/>
              </w:rPr>
            </w:pPr>
          </w:p>
        </w:tc>
        <w:tc>
          <w:tcPr>
            <w:tcW w:w="460" w:type="dxa"/>
            <w:tcBorders>
              <w:top w:val="nil"/>
              <w:left w:val="nil"/>
              <w:bottom w:val="nil"/>
              <w:right w:val="single" w:color="auto" w:sz="8" w:space="0"/>
            </w:tcBorders>
            <w:vAlign w:val="bottom"/>
          </w:tcPr>
          <w:p>
            <w:pPr>
              <w:jc w:val="left"/>
              <w:rPr>
                <w:sz w:val="24"/>
              </w:rPr>
            </w:pPr>
          </w:p>
        </w:tc>
        <w:tc>
          <w:tcPr>
            <w:tcW w:w="1880" w:type="dxa"/>
            <w:gridSpan w:val="5"/>
            <w:tcBorders>
              <w:top w:val="nil"/>
              <w:left w:val="nil"/>
              <w:bottom w:val="nil"/>
              <w:right w:val="single" w:color="auto" w:sz="8" w:space="0"/>
            </w:tcBorders>
            <w:vAlign w:val="bottom"/>
          </w:tcPr>
          <w:p>
            <w:pPr>
              <w:spacing w:line="239" w:lineRule="exact"/>
              <w:ind w:right="40"/>
              <w:jc w:val="center"/>
              <w:rPr>
                <w:sz w:val="24"/>
              </w:rPr>
            </w:pPr>
            <w:r>
              <w:rPr>
                <w:rFonts w:hint="eastAsia" w:ascii="宋体" w:hAnsi="宋体"/>
                <w:w w:val="99"/>
              </w:rPr>
              <w:t>类似</w:t>
            </w:r>
            <w:r>
              <w:rPr>
                <w:rFonts w:hint="eastAsia" w:ascii="宋体" w:hAnsi="宋体"/>
                <w:w w:val="99"/>
                <w:lang w:val="en-US" w:eastAsia="zh-CN"/>
              </w:rPr>
              <w:t>工作</w:t>
            </w:r>
            <w:r>
              <w:rPr>
                <w:rFonts w:hint="eastAsia" w:ascii="宋体" w:hAnsi="宋体"/>
                <w:w w:val="99"/>
              </w:rPr>
              <w:t>经验年限</w:t>
            </w: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1340" w:type="dxa"/>
            <w:gridSpan w:val="2"/>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1060" w:type="dxa"/>
            <w:gridSpan w:val="2"/>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single" w:color="auto" w:sz="8" w:space="0"/>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720" w:type="dxa"/>
            <w:gridSpan w:val="2"/>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single" w:color="auto" w:sz="8" w:space="0"/>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rPr>
            </w:pPr>
            <w:r>
              <w:rPr>
                <w:rFonts w:hint="eastAsia" w:ascii="宋体" w:hAnsi="宋体"/>
              </w:rPr>
              <w:t>毕业学校</w:t>
            </w:r>
          </w:p>
        </w:tc>
        <w:tc>
          <w:tcPr>
            <w:tcW w:w="7520" w:type="dxa"/>
            <w:gridSpan w:val="19"/>
            <w:tcBorders>
              <w:top w:val="nil"/>
              <w:left w:val="nil"/>
              <w:bottom w:val="nil"/>
              <w:right w:val="single" w:color="auto" w:sz="8" w:space="0"/>
            </w:tcBorders>
            <w:vAlign w:val="bottom"/>
          </w:tcPr>
          <w:p>
            <w:pPr>
              <w:spacing w:line="254" w:lineRule="exact"/>
              <w:ind w:right="14"/>
              <w:jc w:val="right"/>
              <w:rPr>
                <w:sz w:val="24"/>
              </w:rPr>
            </w:pPr>
            <w:r>
              <w:rPr>
                <w:rFonts w:eastAsia="Times New Roman"/>
              </w:rPr>
              <w:t>_____</w:t>
            </w:r>
            <w:r>
              <w:rPr>
                <w:rFonts w:hint="eastAsia" w:ascii="宋体" w:hAnsi="宋体"/>
              </w:rPr>
              <w:t>年</w:t>
            </w:r>
            <w:r>
              <w:rPr>
                <w:rFonts w:eastAsia="Times New Roman"/>
              </w:rPr>
              <w:t>___</w:t>
            </w:r>
            <w:r>
              <w:rPr>
                <w:rFonts w:hint="eastAsia" w:ascii="宋体" w:hAnsi="宋体"/>
              </w:rPr>
              <w:t>月毕业于</w:t>
            </w:r>
            <w:r>
              <w:rPr>
                <w:rFonts w:eastAsia="Times New Roman"/>
              </w:rPr>
              <w:t>___________________</w:t>
            </w:r>
            <w:r>
              <w:rPr>
                <w:rFonts w:hint="eastAsia" w:ascii="宋体" w:hAnsi="宋体"/>
              </w:rPr>
              <w:t>学校</w:t>
            </w:r>
            <w:r>
              <w:rPr>
                <w:rFonts w:eastAsia="Times New Roman"/>
              </w:rPr>
              <w:t>___________</w:t>
            </w:r>
            <w:r>
              <w:rPr>
                <w:rFonts w:hint="eastAsia" w:ascii="宋体" w:hAnsi="宋体"/>
              </w:rPr>
              <w:t>专业，学制</w:t>
            </w:r>
            <w:r>
              <w:rPr>
                <w:rFonts w:eastAsia="Times New Roman"/>
              </w:rPr>
              <w:t>______</w:t>
            </w:r>
            <w:r>
              <w:rPr>
                <w:rFonts w:hint="eastAsia" w:ascii="宋体" w:hAnsi="宋体"/>
              </w:rPr>
              <w:t>年</w:t>
            </w:r>
          </w:p>
        </w:tc>
      </w:tr>
      <w:tr>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pPr>
              <w:jc w:val="left"/>
              <w:rPr>
                <w:sz w:val="7"/>
              </w:rPr>
            </w:pPr>
          </w:p>
        </w:tc>
        <w:tc>
          <w:tcPr>
            <w:tcW w:w="640" w:type="dxa"/>
            <w:tcBorders>
              <w:top w:val="nil"/>
              <w:left w:val="nil"/>
              <w:bottom w:val="single" w:color="auto" w:sz="8" w:space="0"/>
              <w:right w:val="single" w:color="auto" w:sz="8" w:space="0"/>
            </w:tcBorders>
            <w:vAlign w:val="bottom"/>
          </w:tcPr>
          <w:p>
            <w:pPr>
              <w:jc w:val="left"/>
              <w:rPr>
                <w:sz w:val="7"/>
              </w:rPr>
            </w:pPr>
          </w:p>
        </w:tc>
        <w:tc>
          <w:tcPr>
            <w:tcW w:w="60" w:type="dxa"/>
            <w:tcBorders>
              <w:top w:val="nil"/>
              <w:left w:val="nil"/>
              <w:bottom w:val="single" w:color="auto" w:sz="8" w:space="0"/>
              <w:right w:val="nil"/>
            </w:tcBorders>
            <w:vAlign w:val="bottom"/>
          </w:tcPr>
          <w:p>
            <w:pPr>
              <w:jc w:val="left"/>
              <w:rPr>
                <w:sz w:val="7"/>
              </w:rPr>
            </w:pPr>
          </w:p>
        </w:tc>
        <w:tc>
          <w:tcPr>
            <w:tcW w:w="740" w:type="dxa"/>
            <w:tcBorders>
              <w:top w:val="nil"/>
              <w:left w:val="nil"/>
              <w:bottom w:val="single" w:color="auto" w:sz="8" w:space="0"/>
              <w:right w:val="nil"/>
            </w:tcBorders>
            <w:vAlign w:val="bottom"/>
          </w:tcPr>
          <w:p>
            <w:pPr>
              <w:jc w:val="left"/>
              <w:rPr>
                <w:sz w:val="7"/>
              </w:rPr>
            </w:pPr>
          </w:p>
        </w:tc>
        <w:tc>
          <w:tcPr>
            <w:tcW w:w="600" w:type="dxa"/>
            <w:tcBorders>
              <w:top w:val="nil"/>
              <w:left w:val="nil"/>
              <w:bottom w:val="single" w:color="auto" w:sz="8" w:space="0"/>
              <w:right w:val="nil"/>
            </w:tcBorders>
            <w:vAlign w:val="bottom"/>
          </w:tcPr>
          <w:p>
            <w:pPr>
              <w:jc w:val="left"/>
              <w:rPr>
                <w:sz w:val="7"/>
              </w:rPr>
            </w:pPr>
          </w:p>
        </w:tc>
        <w:tc>
          <w:tcPr>
            <w:tcW w:w="120" w:type="dxa"/>
            <w:tcBorders>
              <w:top w:val="nil"/>
              <w:left w:val="nil"/>
              <w:bottom w:val="single" w:color="auto" w:sz="8" w:space="0"/>
              <w:right w:val="nil"/>
            </w:tcBorders>
            <w:vAlign w:val="bottom"/>
          </w:tcPr>
          <w:p>
            <w:pPr>
              <w:jc w:val="left"/>
              <w:rPr>
                <w:sz w:val="7"/>
              </w:rPr>
            </w:pPr>
          </w:p>
        </w:tc>
        <w:tc>
          <w:tcPr>
            <w:tcW w:w="500" w:type="dxa"/>
            <w:tcBorders>
              <w:top w:val="nil"/>
              <w:left w:val="nil"/>
              <w:bottom w:val="single" w:color="auto" w:sz="8" w:space="0"/>
              <w:right w:val="nil"/>
            </w:tcBorders>
            <w:vAlign w:val="bottom"/>
          </w:tcPr>
          <w:p>
            <w:pPr>
              <w:jc w:val="left"/>
              <w:rPr>
                <w:sz w:val="7"/>
              </w:rPr>
            </w:pPr>
          </w:p>
        </w:tc>
        <w:tc>
          <w:tcPr>
            <w:tcW w:w="1220" w:type="dxa"/>
            <w:gridSpan w:val="2"/>
            <w:tcBorders>
              <w:top w:val="nil"/>
              <w:left w:val="nil"/>
              <w:bottom w:val="single" w:color="auto" w:sz="8" w:space="0"/>
              <w:right w:val="nil"/>
            </w:tcBorders>
            <w:vAlign w:val="bottom"/>
          </w:tcPr>
          <w:p>
            <w:pPr>
              <w:jc w:val="left"/>
              <w:rPr>
                <w:sz w:val="7"/>
              </w:rPr>
            </w:pPr>
          </w:p>
        </w:tc>
        <w:tc>
          <w:tcPr>
            <w:tcW w:w="260" w:type="dxa"/>
            <w:tcBorders>
              <w:top w:val="nil"/>
              <w:left w:val="nil"/>
              <w:bottom w:val="single" w:color="auto" w:sz="8" w:space="0"/>
              <w:right w:val="nil"/>
            </w:tcBorders>
            <w:vAlign w:val="bottom"/>
          </w:tcPr>
          <w:p>
            <w:pPr>
              <w:jc w:val="left"/>
              <w:rPr>
                <w:sz w:val="7"/>
              </w:rPr>
            </w:pPr>
          </w:p>
        </w:tc>
        <w:tc>
          <w:tcPr>
            <w:tcW w:w="800" w:type="dxa"/>
            <w:gridSpan w:val="2"/>
            <w:tcBorders>
              <w:top w:val="nil"/>
              <w:left w:val="nil"/>
              <w:bottom w:val="single" w:color="auto" w:sz="8" w:space="0"/>
              <w:right w:val="nil"/>
            </w:tcBorders>
            <w:vAlign w:val="bottom"/>
          </w:tcPr>
          <w:p>
            <w:pPr>
              <w:jc w:val="left"/>
              <w:rPr>
                <w:sz w:val="7"/>
              </w:rPr>
            </w:pPr>
          </w:p>
        </w:tc>
        <w:tc>
          <w:tcPr>
            <w:tcW w:w="440" w:type="dxa"/>
            <w:tcBorders>
              <w:top w:val="nil"/>
              <w:left w:val="nil"/>
              <w:bottom w:val="single" w:color="auto" w:sz="8" w:space="0"/>
              <w:right w:val="nil"/>
            </w:tcBorders>
            <w:vAlign w:val="bottom"/>
          </w:tcPr>
          <w:p>
            <w:pPr>
              <w:jc w:val="left"/>
              <w:rPr>
                <w:sz w:val="7"/>
              </w:rPr>
            </w:pPr>
          </w:p>
        </w:tc>
        <w:tc>
          <w:tcPr>
            <w:tcW w:w="280" w:type="dxa"/>
            <w:tcBorders>
              <w:top w:val="nil"/>
              <w:left w:val="nil"/>
              <w:bottom w:val="single" w:color="auto" w:sz="8" w:space="0"/>
              <w:right w:val="nil"/>
            </w:tcBorders>
            <w:vAlign w:val="bottom"/>
          </w:tcPr>
          <w:p>
            <w:pPr>
              <w:jc w:val="left"/>
              <w:rPr>
                <w:sz w:val="7"/>
              </w:rPr>
            </w:pPr>
          </w:p>
        </w:tc>
        <w:tc>
          <w:tcPr>
            <w:tcW w:w="680" w:type="dxa"/>
            <w:tcBorders>
              <w:top w:val="nil"/>
              <w:left w:val="nil"/>
              <w:bottom w:val="single" w:color="auto" w:sz="8" w:space="0"/>
              <w:right w:val="nil"/>
            </w:tcBorders>
            <w:vAlign w:val="bottom"/>
          </w:tcPr>
          <w:p>
            <w:pPr>
              <w:jc w:val="left"/>
              <w:rPr>
                <w:sz w:val="7"/>
              </w:rPr>
            </w:pPr>
          </w:p>
        </w:tc>
        <w:tc>
          <w:tcPr>
            <w:tcW w:w="140" w:type="dxa"/>
            <w:tcBorders>
              <w:top w:val="nil"/>
              <w:left w:val="nil"/>
              <w:bottom w:val="single" w:color="auto" w:sz="8" w:space="0"/>
              <w:right w:val="nil"/>
            </w:tcBorders>
            <w:vAlign w:val="bottom"/>
          </w:tcPr>
          <w:p>
            <w:pPr>
              <w:jc w:val="left"/>
              <w:rPr>
                <w:sz w:val="7"/>
              </w:rPr>
            </w:pPr>
          </w:p>
        </w:tc>
        <w:tc>
          <w:tcPr>
            <w:tcW w:w="280" w:type="dxa"/>
            <w:tcBorders>
              <w:top w:val="nil"/>
              <w:left w:val="nil"/>
              <w:bottom w:val="single" w:color="auto" w:sz="8" w:space="0"/>
              <w:right w:val="nil"/>
            </w:tcBorders>
            <w:vAlign w:val="bottom"/>
          </w:tcPr>
          <w:p>
            <w:pPr>
              <w:jc w:val="left"/>
              <w:rPr>
                <w:sz w:val="7"/>
              </w:rPr>
            </w:pPr>
          </w:p>
        </w:tc>
        <w:tc>
          <w:tcPr>
            <w:tcW w:w="100" w:type="dxa"/>
            <w:tcBorders>
              <w:top w:val="nil"/>
              <w:left w:val="nil"/>
              <w:bottom w:val="single" w:color="auto" w:sz="8" w:space="0"/>
              <w:right w:val="nil"/>
            </w:tcBorders>
            <w:vAlign w:val="bottom"/>
          </w:tcPr>
          <w:p>
            <w:pPr>
              <w:jc w:val="left"/>
              <w:rPr>
                <w:sz w:val="7"/>
              </w:rPr>
            </w:pPr>
          </w:p>
        </w:tc>
        <w:tc>
          <w:tcPr>
            <w:tcW w:w="960" w:type="dxa"/>
            <w:tcBorders>
              <w:top w:val="nil"/>
              <w:left w:val="nil"/>
              <w:bottom w:val="single" w:color="auto" w:sz="8" w:space="0"/>
              <w:right w:val="nil"/>
            </w:tcBorders>
            <w:vAlign w:val="bottom"/>
          </w:tcPr>
          <w:p>
            <w:pPr>
              <w:jc w:val="left"/>
              <w:rPr>
                <w:sz w:val="7"/>
              </w:rPr>
            </w:pPr>
          </w:p>
        </w:tc>
        <w:tc>
          <w:tcPr>
            <w:tcW w:w="100" w:type="dxa"/>
            <w:tcBorders>
              <w:top w:val="nil"/>
              <w:left w:val="nil"/>
              <w:bottom w:val="single" w:color="auto" w:sz="8" w:space="0"/>
              <w:right w:val="nil"/>
            </w:tcBorders>
            <w:vAlign w:val="bottom"/>
          </w:tcPr>
          <w:p>
            <w:pPr>
              <w:jc w:val="left"/>
              <w:rPr>
                <w:sz w:val="7"/>
              </w:rPr>
            </w:pPr>
          </w:p>
        </w:tc>
        <w:tc>
          <w:tcPr>
            <w:tcW w:w="240" w:type="dxa"/>
            <w:tcBorders>
              <w:top w:val="nil"/>
              <w:left w:val="nil"/>
              <w:bottom w:val="single" w:color="auto" w:sz="8" w:space="0"/>
              <w:right w:val="single" w:color="auto" w:sz="8" w:space="0"/>
            </w:tcBorders>
            <w:vAlign w:val="bottom"/>
          </w:tcPr>
          <w:p>
            <w:pPr>
              <w:jc w:val="left"/>
              <w:rPr>
                <w:sz w:val="7"/>
              </w:rPr>
            </w:pPr>
          </w:p>
        </w:tc>
      </w:tr>
      <w:tr>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nil"/>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1480" w:type="dxa"/>
            <w:gridSpan w:val="3"/>
            <w:tcBorders>
              <w:top w:val="nil"/>
              <w:left w:val="nil"/>
              <w:bottom w:val="nil"/>
              <w:right w:val="nil"/>
            </w:tcBorders>
            <w:vAlign w:val="bottom"/>
          </w:tcPr>
          <w:p>
            <w:pPr>
              <w:spacing w:line="239" w:lineRule="exact"/>
              <w:ind w:left="420"/>
              <w:jc w:val="left"/>
              <w:rPr>
                <w:sz w:val="24"/>
              </w:rPr>
            </w:pPr>
            <w:r>
              <w:rPr>
                <w:rFonts w:hint="eastAsia" w:ascii="宋体" w:hAnsi="宋体"/>
              </w:rPr>
              <w:t>经</w:t>
            </w:r>
          </w:p>
        </w:tc>
        <w:tc>
          <w:tcPr>
            <w:tcW w:w="1240" w:type="dxa"/>
            <w:gridSpan w:val="3"/>
            <w:tcBorders>
              <w:top w:val="nil"/>
              <w:left w:val="nil"/>
              <w:bottom w:val="nil"/>
              <w:right w:val="nil"/>
            </w:tcBorders>
            <w:vAlign w:val="bottom"/>
          </w:tcPr>
          <w:p>
            <w:pPr>
              <w:spacing w:line="239" w:lineRule="exact"/>
              <w:ind w:left="100"/>
              <w:jc w:val="left"/>
              <w:rPr>
                <w:sz w:val="24"/>
              </w:rPr>
            </w:pPr>
            <w:r>
              <w:rPr>
                <w:rFonts w:hint="eastAsia" w:ascii="宋体" w:hAnsi="宋体"/>
              </w:rPr>
              <w:t>历</w:t>
            </w:r>
          </w:p>
        </w:tc>
        <w:tc>
          <w:tcPr>
            <w:tcW w:w="280" w:type="dxa"/>
            <w:tcBorders>
              <w:top w:val="nil"/>
              <w:left w:val="nil"/>
              <w:bottom w:val="nil"/>
              <w:right w:val="nil"/>
            </w:tcBorders>
            <w:vAlign w:val="bottom"/>
          </w:tcPr>
          <w:p>
            <w:pPr>
              <w:jc w:val="left"/>
              <w:rPr>
                <w:sz w:val="24"/>
              </w:rPr>
            </w:pPr>
          </w:p>
        </w:tc>
        <w:tc>
          <w:tcPr>
            <w:tcW w:w="680" w:type="dxa"/>
            <w:tcBorders>
              <w:top w:val="nil"/>
              <w:left w:val="nil"/>
              <w:bottom w:val="nil"/>
              <w:right w:val="nil"/>
            </w:tcBorders>
            <w:vAlign w:val="bottom"/>
          </w:tcPr>
          <w:p>
            <w:pPr>
              <w:jc w:val="left"/>
              <w:rPr>
                <w:sz w:val="24"/>
              </w:rPr>
            </w:pPr>
          </w:p>
        </w:tc>
        <w:tc>
          <w:tcPr>
            <w:tcW w:w="1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640" w:type="dxa"/>
            <w:tcBorders>
              <w:top w:val="nil"/>
              <w:left w:val="nil"/>
              <w:bottom w:val="single" w:color="auto" w:sz="8" w:space="0"/>
              <w:right w:val="nil"/>
            </w:tcBorders>
            <w:vAlign w:val="bottom"/>
          </w:tcPr>
          <w:p>
            <w:pPr>
              <w:jc w:val="left"/>
              <w:rPr>
                <w:sz w:val="8"/>
              </w:rPr>
            </w:pPr>
          </w:p>
        </w:tc>
        <w:tc>
          <w:tcPr>
            <w:tcW w:w="60" w:type="dxa"/>
            <w:tcBorders>
              <w:top w:val="nil"/>
              <w:left w:val="nil"/>
              <w:bottom w:val="single" w:color="auto" w:sz="8" w:space="0"/>
              <w:right w:val="nil"/>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nil"/>
            </w:tcBorders>
            <w:vAlign w:val="bottom"/>
          </w:tcPr>
          <w:p>
            <w:pPr>
              <w:jc w:val="left"/>
              <w:rPr>
                <w:sz w:val="8"/>
              </w:rPr>
            </w:pPr>
          </w:p>
        </w:tc>
        <w:tc>
          <w:tcPr>
            <w:tcW w:w="340" w:type="dxa"/>
            <w:tcBorders>
              <w:top w:val="nil"/>
              <w:left w:val="nil"/>
              <w:bottom w:val="single" w:color="auto" w:sz="8" w:space="0"/>
              <w:right w:val="nil"/>
            </w:tcBorders>
            <w:vAlign w:val="bottom"/>
          </w:tcPr>
          <w:p>
            <w:pPr>
              <w:jc w:val="left"/>
              <w:rPr>
                <w:sz w:val="8"/>
              </w:rPr>
            </w:pPr>
          </w:p>
        </w:tc>
        <w:tc>
          <w:tcPr>
            <w:tcW w:w="4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nil"/>
              <w:right w:val="nil"/>
            </w:tcBorders>
            <w:vAlign w:val="bottom"/>
          </w:tcPr>
          <w:p>
            <w:pPr>
              <w:spacing w:line="239" w:lineRule="exact"/>
              <w:ind w:left="320"/>
              <w:jc w:val="left"/>
              <w:rPr>
                <w:sz w:val="24"/>
              </w:rPr>
            </w:pPr>
            <w:r>
              <w:rPr>
                <w:rFonts w:hint="eastAsia" w:ascii="宋体" w:hAnsi="宋体"/>
              </w:rPr>
              <w:t>时</w:t>
            </w:r>
          </w:p>
        </w:tc>
        <w:tc>
          <w:tcPr>
            <w:tcW w:w="640" w:type="dxa"/>
            <w:vMerge w:val="restart"/>
            <w:tcBorders>
              <w:top w:val="nil"/>
              <w:left w:val="nil"/>
              <w:bottom w:val="nil"/>
              <w:right w:val="nil"/>
            </w:tcBorders>
            <w:vAlign w:val="bottom"/>
          </w:tcPr>
          <w:p>
            <w:pPr>
              <w:spacing w:line="239" w:lineRule="exact"/>
              <w:ind w:right="174"/>
              <w:jc w:val="right"/>
              <w:rPr>
                <w:sz w:val="24"/>
              </w:rPr>
            </w:pPr>
            <w:r>
              <w:rPr>
                <w:rFonts w:hint="eastAsia" w:ascii="宋体" w:hAnsi="宋体"/>
              </w:rPr>
              <w:t>间</w:t>
            </w:r>
          </w:p>
        </w:tc>
        <w:tc>
          <w:tcPr>
            <w:tcW w:w="60" w:type="dxa"/>
            <w:tcBorders>
              <w:top w:val="nil"/>
              <w:left w:val="nil"/>
              <w:bottom w:val="nil"/>
              <w:right w:val="single" w:color="auto" w:sz="8" w:space="0"/>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2700" w:type="dxa"/>
            <w:gridSpan w:val="6"/>
            <w:vMerge w:val="restart"/>
            <w:tcBorders>
              <w:top w:val="nil"/>
              <w:left w:val="nil"/>
              <w:bottom w:val="nil"/>
              <w:right w:val="nil"/>
            </w:tcBorders>
            <w:vAlign w:val="bottom"/>
          </w:tcPr>
          <w:p>
            <w:pPr>
              <w:spacing w:line="239" w:lineRule="exact"/>
              <w:ind w:left="100"/>
              <w:jc w:val="left"/>
              <w:rPr>
                <w:sz w:val="24"/>
              </w:rPr>
            </w:pPr>
            <w:r>
              <w:rPr>
                <w:rFonts w:hint="eastAsia" w:ascii="宋体" w:hAnsi="宋体"/>
              </w:rPr>
              <w:t>参加过的类似项目名称</w:t>
            </w: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single" w:color="auto" w:sz="8" w:space="0"/>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1480" w:type="dxa"/>
            <w:gridSpan w:val="5"/>
            <w:vMerge w:val="restart"/>
            <w:tcBorders>
              <w:top w:val="nil"/>
              <w:left w:val="nil"/>
              <w:bottom w:val="nil"/>
              <w:right w:val="single" w:color="auto" w:sz="8" w:space="0"/>
            </w:tcBorders>
            <w:vAlign w:val="bottom"/>
          </w:tcPr>
          <w:p>
            <w:pPr>
              <w:spacing w:line="239" w:lineRule="exact"/>
              <w:ind w:right="480"/>
              <w:jc w:val="center"/>
              <w:rPr>
                <w:sz w:val="24"/>
              </w:rPr>
            </w:pPr>
            <w:r>
              <w:rPr>
                <w:rFonts w:hint="eastAsia" w:ascii="宋体" w:hAnsi="宋体"/>
                <w:w w:val="99"/>
              </w:rPr>
              <w:t>担任职务</w:t>
            </w:r>
          </w:p>
        </w:tc>
        <w:tc>
          <w:tcPr>
            <w:tcW w:w="1300" w:type="dxa"/>
            <w:gridSpan w:val="3"/>
            <w:tcBorders>
              <w:top w:val="nil"/>
              <w:left w:val="nil"/>
              <w:bottom w:val="nil"/>
              <w:right w:val="single" w:color="auto" w:sz="8" w:space="0"/>
            </w:tcBorders>
            <w:vAlign w:val="bottom"/>
          </w:tcPr>
          <w:p>
            <w:pPr>
              <w:spacing w:line="239" w:lineRule="exact"/>
              <w:ind w:right="14"/>
              <w:jc w:val="right"/>
              <w:rPr>
                <w:sz w:val="24"/>
              </w:rPr>
            </w:pPr>
            <w:r>
              <w:rPr>
                <w:rFonts w:hint="eastAsia" w:ascii="宋体" w:hAnsi="宋体"/>
              </w:rPr>
              <w:t>发包人及联</w:t>
            </w:r>
          </w:p>
        </w:tc>
      </w:tr>
      <w:tr>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pPr>
              <w:jc w:val="left"/>
              <w:rPr>
                <w:sz w:val="17"/>
              </w:rPr>
            </w:pPr>
          </w:p>
        </w:tc>
        <w:tc>
          <w:tcPr>
            <w:tcW w:w="640" w:type="dxa"/>
            <w:vMerge w:val="continue"/>
            <w:tcBorders>
              <w:top w:val="nil"/>
              <w:left w:val="nil"/>
              <w:bottom w:val="nil"/>
              <w:right w:val="nil"/>
            </w:tcBorders>
            <w:vAlign w:val="bottom"/>
          </w:tcPr>
          <w:p>
            <w:pPr>
              <w:jc w:val="left"/>
              <w:rPr>
                <w:sz w:val="17"/>
              </w:rPr>
            </w:pPr>
          </w:p>
        </w:tc>
        <w:tc>
          <w:tcPr>
            <w:tcW w:w="60" w:type="dxa"/>
            <w:tcBorders>
              <w:top w:val="nil"/>
              <w:left w:val="nil"/>
              <w:bottom w:val="nil"/>
              <w:right w:val="single" w:color="auto" w:sz="8" w:space="0"/>
            </w:tcBorders>
            <w:vAlign w:val="bottom"/>
          </w:tcPr>
          <w:p>
            <w:pPr>
              <w:jc w:val="left"/>
              <w:rPr>
                <w:sz w:val="17"/>
              </w:rPr>
            </w:pPr>
          </w:p>
        </w:tc>
        <w:tc>
          <w:tcPr>
            <w:tcW w:w="740" w:type="dxa"/>
            <w:tcBorders>
              <w:top w:val="nil"/>
              <w:left w:val="nil"/>
              <w:bottom w:val="nil"/>
              <w:right w:val="nil"/>
            </w:tcBorders>
            <w:vAlign w:val="bottom"/>
          </w:tcPr>
          <w:p>
            <w:pPr>
              <w:jc w:val="left"/>
              <w:rPr>
                <w:sz w:val="17"/>
              </w:rPr>
            </w:pPr>
          </w:p>
        </w:tc>
        <w:tc>
          <w:tcPr>
            <w:tcW w:w="2700" w:type="dxa"/>
            <w:gridSpan w:val="6"/>
            <w:vMerge w:val="continue"/>
            <w:tcBorders>
              <w:top w:val="nil"/>
              <w:left w:val="nil"/>
              <w:bottom w:val="nil"/>
              <w:right w:val="nil"/>
            </w:tcBorders>
            <w:vAlign w:val="bottom"/>
          </w:tcPr>
          <w:p>
            <w:pPr>
              <w:jc w:val="left"/>
              <w:rPr>
                <w:sz w:val="17"/>
              </w:rPr>
            </w:pPr>
          </w:p>
        </w:tc>
        <w:tc>
          <w:tcPr>
            <w:tcW w:w="460" w:type="dxa"/>
            <w:tcBorders>
              <w:top w:val="nil"/>
              <w:left w:val="nil"/>
              <w:bottom w:val="nil"/>
              <w:right w:val="nil"/>
            </w:tcBorders>
            <w:vAlign w:val="bottom"/>
          </w:tcPr>
          <w:p>
            <w:pPr>
              <w:jc w:val="left"/>
              <w:rPr>
                <w:sz w:val="17"/>
              </w:rPr>
            </w:pPr>
          </w:p>
        </w:tc>
        <w:tc>
          <w:tcPr>
            <w:tcW w:w="340" w:type="dxa"/>
            <w:tcBorders>
              <w:top w:val="nil"/>
              <w:left w:val="nil"/>
              <w:bottom w:val="nil"/>
              <w:right w:val="single" w:color="auto" w:sz="8" w:space="0"/>
            </w:tcBorders>
            <w:vAlign w:val="bottom"/>
          </w:tcPr>
          <w:p>
            <w:pPr>
              <w:jc w:val="left"/>
              <w:rPr>
                <w:sz w:val="17"/>
              </w:rPr>
            </w:pPr>
          </w:p>
        </w:tc>
        <w:tc>
          <w:tcPr>
            <w:tcW w:w="440" w:type="dxa"/>
            <w:tcBorders>
              <w:top w:val="nil"/>
              <w:left w:val="nil"/>
              <w:bottom w:val="nil"/>
              <w:right w:val="nil"/>
            </w:tcBorders>
            <w:vAlign w:val="bottom"/>
          </w:tcPr>
          <w:p>
            <w:pPr>
              <w:jc w:val="left"/>
              <w:rPr>
                <w:sz w:val="17"/>
              </w:rPr>
            </w:pPr>
          </w:p>
        </w:tc>
        <w:tc>
          <w:tcPr>
            <w:tcW w:w="1480" w:type="dxa"/>
            <w:gridSpan w:val="5"/>
            <w:vMerge w:val="continue"/>
            <w:tcBorders>
              <w:top w:val="nil"/>
              <w:left w:val="nil"/>
              <w:bottom w:val="nil"/>
              <w:right w:val="single" w:color="auto" w:sz="8" w:space="0"/>
            </w:tcBorders>
            <w:vAlign w:val="bottom"/>
          </w:tcPr>
          <w:p>
            <w:pPr>
              <w:jc w:val="left"/>
              <w:rPr>
                <w:sz w:val="17"/>
              </w:rPr>
            </w:pPr>
          </w:p>
        </w:tc>
        <w:tc>
          <w:tcPr>
            <w:tcW w:w="1300" w:type="dxa"/>
            <w:gridSpan w:val="3"/>
            <w:vMerge w:val="restart"/>
            <w:tcBorders>
              <w:top w:val="nil"/>
              <w:left w:val="nil"/>
              <w:bottom w:val="nil"/>
              <w:right w:val="single" w:color="auto" w:sz="8" w:space="0"/>
            </w:tcBorders>
            <w:vAlign w:val="bottom"/>
          </w:tcPr>
          <w:p>
            <w:pPr>
              <w:spacing w:line="239" w:lineRule="exact"/>
              <w:ind w:right="234"/>
              <w:jc w:val="right"/>
              <w:rPr>
                <w:sz w:val="24"/>
              </w:rPr>
            </w:pPr>
            <w:r>
              <w:rPr>
                <w:rFonts w:hint="eastAsia" w:ascii="宋体" w:hAnsi="宋体"/>
              </w:rPr>
              <w:t>系电话</w:t>
            </w:r>
          </w:p>
        </w:tc>
      </w:tr>
      <w:tr>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pPr>
              <w:jc w:val="left"/>
              <w:rPr>
                <w:sz w:val="17"/>
              </w:rPr>
            </w:pPr>
          </w:p>
        </w:tc>
        <w:tc>
          <w:tcPr>
            <w:tcW w:w="640" w:type="dxa"/>
            <w:tcBorders>
              <w:top w:val="nil"/>
              <w:left w:val="nil"/>
              <w:bottom w:val="nil"/>
              <w:right w:val="nil"/>
            </w:tcBorders>
            <w:vAlign w:val="bottom"/>
          </w:tcPr>
          <w:p>
            <w:pPr>
              <w:jc w:val="left"/>
              <w:rPr>
                <w:sz w:val="17"/>
              </w:rPr>
            </w:pPr>
          </w:p>
        </w:tc>
        <w:tc>
          <w:tcPr>
            <w:tcW w:w="60" w:type="dxa"/>
            <w:tcBorders>
              <w:top w:val="nil"/>
              <w:left w:val="nil"/>
              <w:bottom w:val="nil"/>
              <w:right w:val="single" w:color="auto" w:sz="8" w:space="0"/>
            </w:tcBorders>
            <w:vAlign w:val="bottom"/>
          </w:tcPr>
          <w:p>
            <w:pPr>
              <w:jc w:val="left"/>
              <w:rPr>
                <w:sz w:val="17"/>
              </w:rPr>
            </w:pPr>
          </w:p>
        </w:tc>
        <w:tc>
          <w:tcPr>
            <w:tcW w:w="740" w:type="dxa"/>
            <w:tcBorders>
              <w:top w:val="nil"/>
              <w:left w:val="nil"/>
              <w:bottom w:val="nil"/>
              <w:right w:val="nil"/>
            </w:tcBorders>
            <w:vAlign w:val="bottom"/>
          </w:tcPr>
          <w:p>
            <w:pPr>
              <w:jc w:val="left"/>
              <w:rPr>
                <w:sz w:val="17"/>
              </w:rPr>
            </w:pPr>
          </w:p>
        </w:tc>
        <w:tc>
          <w:tcPr>
            <w:tcW w:w="600" w:type="dxa"/>
            <w:tcBorders>
              <w:top w:val="nil"/>
              <w:left w:val="nil"/>
              <w:bottom w:val="nil"/>
              <w:right w:val="nil"/>
            </w:tcBorders>
            <w:vAlign w:val="bottom"/>
          </w:tcPr>
          <w:p>
            <w:pPr>
              <w:jc w:val="left"/>
              <w:rPr>
                <w:sz w:val="17"/>
              </w:rPr>
            </w:pPr>
          </w:p>
        </w:tc>
        <w:tc>
          <w:tcPr>
            <w:tcW w:w="120" w:type="dxa"/>
            <w:tcBorders>
              <w:top w:val="nil"/>
              <w:left w:val="nil"/>
              <w:bottom w:val="nil"/>
              <w:right w:val="nil"/>
            </w:tcBorders>
            <w:vAlign w:val="bottom"/>
          </w:tcPr>
          <w:p>
            <w:pPr>
              <w:jc w:val="left"/>
              <w:rPr>
                <w:sz w:val="17"/>
              </w:rPr>
            </w:pPr>
          </w:p>
        </w:tc>
        <w:tc>
          <w:tcPr>
            <w:tcW w:w="500" w:type="dxa"/>
            <w:tcBorders>
              <w:top w:val="nil"/>
              <w:left w:val="nil"/>
              <w:bottom w:val="nil"/>
              <w:right w:val="nil"/>
            </w:tcBorders>
            <w:vAlign w:val="bottom"/>
          </w:tcPr>
          <w:p>
            <w:pPr>
              <w:jc w:val="left"/>
              <w:rPr>
                <w:sz w:val="17"/>
              </w:rPr>
            </w:pPr>
          </w:p>
        </w:tc>
        <w:tc>
          <w:tcPr>
            <w:tcW w:w="560" w:type="dxa"/>
            <w:tcBorders>
              <w:top w:val="nil"/>
              <w:left w:val="nil"/>
              <w:bottom w:val="nil"/>
              <w:right w:val="nil"/>
            </w:tcBorders>
            <w:vAlign w:val="bottom"/>
          </w:tcPr>
          <w:p>
            <w:pPr>
              <w:jc w:val="left"/>
              <w:rPr>
                <w:sz w:val="17"/>
              </w:rPr>
            </w:pPr>
          </w:p>
        </w:tc>
        <w:tc>
          <w:tcPr>
            <w:tcW w:w="660" w:type="dxa"/>
            <w:tcBorders>
              <w:top w:val="nil"/>
              <w:left w:val="nil"/>
              <w:bottom w:val="nil"/>
              <w:right w:val="nil"/>
            </w:tcBorders>
            <w:vAlign w:val="bottom"/>
          </w:tcPr>
          <w:p>
            <w:pPr>
              <w:jc w:val="left"/>
              <w:rPr>
                <w:sz w:val="17"/>
              </w:rPr>
            </w:pPr>
          </w:p>
        </w:tc>
        <w:tc>
          <w:tcPr>
            <w:tcW w:w="260" w:type="dxa"/>
            <w:tcBorders>
              <w:top w:val="nil"/>
              <w:left w:val="nil"/>
              <w:bottom w:val="nil"/>
              <w:right w:val="nil"/>
            </w:tcBorders>
            <w:vAlign w:val="bottom"/>
          </w:tcPr>
          <w:p>
            <w:pPr>
              <w:jc w:val="left"/>
              <w:rPr>
                <w:sz w:val="17"/>
              </w:rPr>
            </w:pPr>
          </w:p>
        </w:tc>
        <w:tc>
          <w:tcPr>
            <w:tcW w:w="460" w:type="dxa"/>
            <w:tcBorders>
              <w:top w:val="nil"/>
              <w:left w:val="nil"/>
              <w:bottom w:val="nil"/>
              <w:right w:val="nil"/>
            </w:tcBorders>
            <w:vAlign w:val="bottom"/>
          </w:tcPr>
          <w:p>
            <w:pPr>
              <w:jc w:val="left"/>
              <w:rPr>
                <w:sz w:val="17"/>
              </w:rPr>
            </w:pPr>
          </w:p>
        </w:tc>
        <w:tc>
          <w:tcPr>
            <w:tcW w:w="340" w:type="dxa"/>
            <w:tcBorders>
              <w:top w:val="nil"/>
              <w:left w:val="nil"/>
              <w:bottom w:val="nil"/>
              <w:right w:val="single" w:color="auto" w:sz="8" w:space="0"/>
            </w:tcBorders>
            <w:vAlign w:val="bottom"/>
          </w:tcPr>
          <w:p>
            <w:pPr>
              <w:jc w:val="left"/>
              <w:rPr>
                <w:sz w:val="17"/>
              </w:rPr>
            </w:pPr>
          </w:p>
        </w:tc>
        <w:tc>
          <w:tcPr>
            <w:tcW w:w="440" w:type="dxa"/>
            <w:tcBorders>
              <w:top w:val="nil"/>
              <w:left w:val="nil"/>
              <w:bottom w:val="nil"/>
              <w:right w:val="nil"/>
            </w:tcBorders>
            <w:vAlign w:val="bottom"/>
          </w:tcPr>
          <w:p>
            <w:pPr>
              <w:jc w:val="left"/>
              <w:rPr>
                <w:sz w:val="17"/>
              </w:rPr>
            </w:pPr>
          </w:p>
        </w:tc>
        <w:tc>
          <w:tcPr>
            <w:tcW w:w="280" w:type="dxa"/>
            <w:tcBorders>
              <w:top w:val="nil"/>
              <w:left w:val="nil"/>
              <w:bottom w:val="nil"/>
              <w:right w:val="nil"/>
            </w:tcBorders>
            <w:vAlign w:val="bottom"/>
          </w:tcPr>
          <w:p>
            <w:pPr>
              <w:jc w:val="left"/>
              <w:rPr>
                <w:sz w:val="17"/>
              </w:rPr>
            </w:pPr>
          </w:p>
        </w:tc>
        <w:tc>
          <w:tcPr>
            <w:tcW w:w="680" w:type="dxa"/>
            <w:tcBorders>
              <w:top w:val="nil"/>
              <w:left w:val="nil"/>
              <w:bottom w:val="nil"/>
              <w:right w:val="nil"/>
            </w:tcBorders>
            <w:vAlign w:val="bottom"/>
          </w:tcPr>
          <w:p>
            <w:pPr>
              <w:jc w:val="left"/>
              <w:rPr>
                <w:sz w:val="17"/>
              </w:rPr>
            </w:pPr>
          </w:p>
        </w:tc>
        <w:tc>
          <w:tcPr>
            <w:tcW w:w="140" w:type="dxa"/>
            <w:tcBorders>
              <w:top w:val="nil"/>
              <w:left w:val="nil"/>
              <w:bottom w:val="nil"/>
              <w:right w:val="nil"/>
            </w:tcBorders>
            <w:vAlign w:val="bottom"/>
          </w:tcPr>
          <w:p>
            <w:pPr>
              <w:jc w:val="left"/>
              <w:rPr>
                <w:sz w:val="17"/>
              </w:rPr>
            </w:pPr>
          </w:p>
        </w:tc>
        <w:tc>
          <w:tcPr>
            <w:tcW w:w="280" w:type="dxa"/>
            <w:tcBorders>
              <w:top w:val="nil"/>
              <w:left w:val="nil"/>
              <w:bottom w:val="nil"/>
              <w:right w:val="nil"/>
            </w:tcBorders>
            <w:vAlign w:val="bottom"/>
          </w:tcPr>
          <w:p>
            <w:pPr>
              <w:jc w:val="left"/>
              <w:rPr>
                <w:sz w:val="17"/>
              </w:rPr>
            </w:pPr>
          </w:p>
        </w:tc>
        <w:tc>
          <w:tcPr>
            <w:tcW w:w="100" w:type="dxa"/>
            <w:tcBorders>
              <w:top w:val="nil"/>
              <w:left w:val="nil"/>
              <w:bottom w:val="nil"/>
              <w:right w:val="single" w:color="auto" w:sz="8" w:space="0"/>
            </w:tcBorders>
            <w:vAlign w:val="bottom"/>
          </w:tcPr>
          <w:p>
            <w:pPr>
              <w:jc w:val="left"/>
              <w:rPr>
                <w:sz w:val="17"/>
              </w:rPr>
            </w:pPr>
          </w:p>
        </w:tc>
        <w:tc>
          <w:tcPr>
            <w:tcW w:w="1300" w:type="dxa"/>
            <w:gridSpan w:val="3"/>
            <w:vMerge w:val="continue"/>
            <w:tcBorders>
              <w:top w:val="nil"/>
              <w:left w:val="nil"/>
              <w:bottom w:val="nil"/>
              <w:right w:val="single" w:color="auto" w:sz="8" w:space="0"/>
            </w:tcBorders>
            <w:vAlign w:val="bottom"/>
          </w:tcPr>
          <w:p>
            <w:pPr>
              <w:jc w:val="left"/>
              <w:rPr>
                <w:sz w:val="17"/>
              </w:rPr>
            </w:pPr>
          </w:p>
        </w:tc>
      </w:tr>
      <w:tr>
        <w:tblPrEx>
          <w:tblCellMar>
            <w:top w:w="0" w:type="dxa"/>
            <w:left w:w="0" w:type="dxa"/>
            <w:bottom w:w="0" w:type="dxa"/>
            <w:right w:w="0" w:type="dxa"/>
          </w:tblCellMar>
        </w:tblPrEx>
        <w:trPr>
          <w:trHeight w:val="97" w:hRule="atLeast"/>
          <w:jc w:val="center"/>
        </w:trPr>
        <w:tc>
          <w:tcPr>
            <w:tcW w:w="600" w:type="dxa"/>
            <w:tcBorders>
              <w:top w:val="nil"/>
              <w:left w:val="single" w:color="auto" w:sz="8" w:space="0"/>
              <w:bottom w:val="single" w:color="auto" w:sz="8" w:space="0"/>
              <w:right w:val="nil"/>
            </w:tcBorders>
            <w:vAlign w:val="bottom"/>
          </w:tcPr>
          <w:p>
            <w:pPr>
              <w:jc w:val="left"/>
              <w:rPr>
                <w:sz w:val="8"/>
              </w:rPr>
            </w:pPr>
          </w:p>
        </w:tc>
        <w:tc>
          <w:tcPr>
            <w:tcW w:w="700" w:type="dxa"/>
            <w:gridSpan w:val="2"/>
            <w:tcBorders>
              <w:top w:val="nil"/>
              <w:left w:val="nil"/>
              <w:bottom w:val="single" w:color="auto" w:sz="8" w:space="0"/>
              <w:right w:val="single" w:color="auto" w:sz="8" w:space="0"/>
            </w:tcBorders>
            <w:vAlign w:val="bottom"/>
          </w:tcPr>
          <w:p>
            <w:pPr>
              <w:jc w:val="left"/>
              <w:rPr>
                <w:sz w:val="8"/>
              </w:rPr>
            </w:pPr>
          </w:p>
        </w:tc>
        <w:tc>
          <w:tcPr>
            <w:tcW w:w="740" w:type="dxa"/>
            <w:tcBorders>
              <w:top w:val="nil"/>
              <w:left w:val="nil"/>
              <w:bottom w:val="single" w:color="auto" w:sz="8" w:space="0"/>
              <w:right w:val="nil"/>
            </w:tcBorders>
            <w:vAlign w:val="bottom"/>
          </w:tcPr>
          <w:p>
            <w:pPr>
              <w:jc w:val="left"/>
              <w:rPr>
                <w:sz w:val="8"/>
              </w:rPr>
            </w:pPr>
          </w:p>
        </w:tc>
        <w:tc>
          <w:tcPr>
            <w:tcW w:w="600" w:type="dxa"/>
            <w:tcBorders>
              <w:top w:val="nil"/>
              <w:left w:val="nil"/>
              <w:bottom w:val="single" w:color="auto" w:sz="8" w:space="0"/>
              <w:right w:val="nil"/>
            </w:tcBorders>
            <w:vAlign w:val="bottom"/>
          </w:tcPr>
          <w:p>
            <w:pPr>
              <w:jc w:val="left"/>
              <w:rPr>
                <w:sz w:val="8"/>
              </w:rPr>
            </w:pPr>
          </w:p>
        </w:tc>
        <w:tc>
          <w:tcPr>
            <w:tcW w:w="120" w:type="dxa"/>
            <w:tcBorders>
              <w:top w:val="nil"/>
              <w:left w:val="nil"/>
              <w:bottom w:val="single" w:color="auto" w:sz="8" w:space="0"/>
              <w:right w:val="nil"/>
            </w:tcBorders>
            <w:vAlign w:val="bottom"/>
          </w:tcPr>
          <w:p>
            <w:pPr>
              <w:jc w:val="left"/>
              <w:rPr>
                <w:sz w:val="8"/>
              </w:rPr>
            </w:pPr>
          </w:p>
        </w:tc>
        <w:tc>
          <w:tcPr>
            <w:tcW w:w="500" w:type="dxa"/>
            <w:tcBorders>
              <w:top w:val="nil"/>
              <w:left w:val="nil"/>
              <w:bottom w:val="single" w:color="auto" w:sz="8" w:space="0"/>
              <w:right w:val="nil"/>
            </w:tcBorders>
            <w:vAlign w:val="bottom"/>
          </w:tcPr>
          <w:p>
            <w:pPr>
              <w:jc w:val="left"/>
              <w:rPr>
                <w:sz w:val="8"/>
              </w:rPr>
            </w:pPr>
          </w:p>
        </w:tc>
        <w:tc>
          <w:tcPr>
            <w:tcW w:w="560" w:type="dxa"/>
            <w:tcBorders>
              <w:top w:val="nil"/>
              <w:left w:val="nil"/>
              <w:bottom w:val="single" w:color="auto" w:sz="8" w:space="0"/>
              <w:right w:val="nil"/>
            </w:tcBorders>
            <w:vAlign w:val="bottom"/>
          </w:tcPr>
          <w:p>
            <w:pPr>
              <w:jc w:val="left"/>
              <w:rPr>
                <w:sz w:val="8"/>
              </w:rPr>
            </w:pPr>
          </w:p>
        </w:tc>
        <w:tc>
          <w:tcPr>
            <w:tcW w:w="660" w:type="dxa"/>
            <w:tcBorders>
              <w:top w:val="nil"/>
              <w:left w:val="nil"/>
              <w:bottom w:val="single" w:color="auto" w:sz="8" w:space="0"/>
              <w:right w:val="nil"/>
            </w:tcBorders>
            <w:vAlign w:val="bottom"/>
          </w:tcPr>
          <w:p>
            <w:pPr>
              <w:jc w:val="left"/>
              <w:rPr>
                <w:sz w:val="8"/>
              </w:rPr>
            </w:pPr>
          </w:p>
        </w:tc>
        <w:tc>
          <w:tcPr>
            <w:tcW w:w="260" w:type="dxa"/>
            <w:tcBorders>
              <w:top w:val="nil"/>
              <w:left w:val="nil"/>
              <w:bottom w:val="single" w:color="auto" w:sz="8" w:space="0"/>
              <w:right w:val="nil"/>
            </w:tcBorders>
            <w:vAlign w:val="bottom"/>
          </w:tcPr>
          <w:p>
            <w:pPr>
              <w:jc w:val="left"/>
              <w:rPr>
                <w:sz w:val="8"/>
              </w:rPr>
            </w:pPr>
          </w:p>
        </w:tc>
        <w:tc>
          <w:tcPr>
            <w:tcW w:w="460" w:type="dxa"/>
            <w:tcBorders>
              <w:top w:val="nil"/>
              <w:left w:val="nil"/>
              <w:bottom w:val="single" w:color="auto" w:sz="8" w:space="0"/>
              <w:right w:val="nil"/>
            </w:tcBorders>
            <w:vAlign w:val="bottom"/>
          </w:tcPr>
          <w:p>
            <w:pPr>
              <w:jc w:val="left"/>
              <w:rPr>
                <w:sz w:val="8"/>
              </w:rPr>
            </w:pPr>
          </w:p>
        </w:tc>
        <w:tc>
          <w:tcPr>
            <w:tcW w:w="340" w:type="dxa"/>
            <w:tcBorders>
              <w:top w:val="nil"/>
              <w:left w:val="nil"/>
              <w:bottom w:val="single" w:color="auto" w:sz="8" w:space="0"/>
              <w:right w:val="single" w:color="auto" w:sz="8" w:space="0"/>
            </w:tcBorders>
            <w:vAlign w:val="bottom"/>
          </w:tcPr>
          <w:p>
            <w:pPr>
              <w:jc w:val="left"/>
              <w:rPr>
                <w:sz w:val="8"/>
              </w:rPr>
            </w:pPr>
          </w:p>
        </w:tc>
        <w:tc>
          <w:tcPr>
            <w:tcW w:w="4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680" w:type="dxa"/>
            <w:tcBorders>
              <w:top w:val="nil"/>
              <w:left w:val="nil"/>
              <w:bottom w:val="single" w:color="auto" w:sz="8" w:space="0"/>
              <w:right w:val="nil"/>
            </w:tcBorders>
            <w:vAlign w:val="bottom"/>
          </w:tcPr>
          <w:p>
            <w:pPr>
              <w:jc w:val="left"/>
              <w:rPr>
                <w:sz w:val="8"/>
              </w:rPr>
            </w:pPr>
          </w:p>
        </w:tc>
        <w:tc>
          <w:tcPr>
            <w:tcW w:w="140" w:type="dxa"/>
            <w:tcBorders>
              <w:top w:val="nil"/>
              <w:left w:val="nil"/>
              <w:bottom w:val="single" w:color="auto" w:sz="8" w:space="0"/>
              <w:right w:val="nil"/>
            </w:tcBorders>
            <w:vAlign w:val="bottom"/>
          </w:tcPr>
          <w:p>
            <w:pPr>
              <w:jc w:val="left"/>
              <w:rPr>
                <w:sz w:val="8"/>
              </w:rPr>
            </w:pPr>
          </w:p>
        </w:tc>
        <w:tc>
          <w:tcPr>
            <w:tcW w:w="28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single" w:color="auto" w:sz="8" w:space="0"/>
            </w:tcBorders>
            <w:vAlign w:val="bottom"/>
          </w:tcPr>
          <w:p>
            <w:pPr>
              <w:jc w:val="left"/>
              <w:rPr>
                <w:sz w:val="8"/>
              </w:rPr>
            </w:pPr>
          </w:p>
        </w:tc>
        <w:tc>
          <w:tcPr>
            <w:tcW w:w="960" w:type="dxa"/>
            <w:tcBorders>
              <w:top w:val="nil"/>
              <w:left w:val="nil"/>
              <w:bottom w:val="single" w:color="auto" w:sz="8" w:space="0"/>
              <w:right w:val="nil"/>
            </w:tcBorders>
            <w:vAlign w:val="bottom"/>
          </w:tcPr>
          <w:p>
            <w:pPr>
              <w:jc w:val="left"/>
              <w:rPr>
                <w:sz w:val="8"/>
              </w:rPr>
            </w:pPr>
          </w:p>
        </w:tc>
        <w:tc>
          <w:tcPr>
            <w:tcW w:w="100" w:type="dxa"/>
            <w:tcBorders>
              <w:top w:val="nil"/>
              <w:left w:val="nil"/>
              <w:bottom w:val="single" w:color="auto" w:sz="8" w:space="0"/>
              <w:right w:val="nil"/>
            </w:tcBorders>
            <w:vAlign w:val="bottom"/>
          </w:tcPr>
          <w:p>
            <w:pPr>
              <w:jc w:val="left"/>
              <w:rPr>
                <w:sz w:val="8"/>
              </w:rPr>
            </w:pPr>
          </w:p>
        </w:tc>
        <w:tc>
          <w:tcPr>
            <w:tcW w:w="240" w:type="dxa"/>
            <w:tcBorders>
              <w:top w:val="nil"/>
              <w:left w:val="nil"/>
              <w:bottom w:val="single" w:color="auto" w:sz="8" w:space="0"/>
              <w:right w:val="single" w:color="auto" w:sz="8" w:space="0"/>
            </w:tcBorders>
            <w:vAlign w:val="bottom"/>
          </w:tcPr>
          <w:p>
            <w:pPr>
              <w:jc w:val="left"/>
              <w:rPr>
                <w:sz w:val="8"/>
              </w:rPr>
            </w:pPr>
          </w:p>
        </w:tc>
      </w:tr>
      <w:tr>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509"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single" w:color="auto" w:sz="8" w:space="0"/>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nil"/>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single" w:color="auto" w:sz="8" w:space="0"/>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single" w:color="auto" w:sz="8" w:space="0"/>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4700" w:type="dxa"/>
            <w:gridSpan w:val="12"/>
            <w:tcBorders>
              <w:top w:val="nil"/>
              <w:left w:val="nil"/>
              <w:bottom w:val="nil"/>
              <w:right w:val="nil"/>
            </w:tcBorders>
            <w:vAlign w:val="bottom"/>
          </w:tcPr>
          <w:p>
            <w:pPr>
              <w:spacing w:line="253" w:lineRule="exact"/>
              <w:jc w:val="left"/>
              <w:rPr>
                <w:sz w:val="24"/>
              </w:rPr>
            </w:pPr>
            <w:r>
              <w:rPr>
                <w:rFonts w:ascii="Arial" w:hAnsi="Arial"/>
              </w:rPr>
              <w:t>□</w:t>
            </w:r>
            <w:r>
              <w:rPr>
                <w:rFonts w:hint="eastAsia" w:ascii="宋体" w:hAnsi="宋体"/>
              </w:rPr>
              <w:t>目前未在其他项目上任职，现从事工作为：</w:t>
            </w:r>
          </w:p>
        </w:tc>
        <w:tc>
          <w:tcPr>
            <w:tcW w:w="960" w:type="dxa"/>
            <w:tcBorders>
              <w:top w:val="nil"/>
              <w:left w:val="nil"/>
              <w:bottom w:val="nil"/>
              <w:right w:val="nil"/>
            </w:tcBorders>
            <w:vAlign w:val="bottom"/>
          </w:tcPr>
          <w:p>
            <w:pPr>
              <w:jc w:val="left"/>
              <w:rPr>
                <w:sz w:val="24"/>
              </w:rPr>
            </w:pPr>
          </w:p>
        </w:tc>
        <w:tc>
          <w:tcPr>
            <w:tcW w:w="340" w:type="dxa"/>
            <w:gridSpan w:val="2"/>
            <w:tcBorders>
              <w:top w:val="nil"/>
              <w:left w:val="nil"/>
              <w:bottom w:val="nil"/>
              <w:right w:val="single" w:color="auto" w:sz="8" w:space="0"/>
            </w:tcBorders>
            <w:vAlign w:val="bottom"/>
          </w:tcPr>
          <w:p>
            <w:pPr>
              <w:ind w:right="14"/>
              <w:jc w:val="right"/>
              <w:rPr>
                <w:sz w:val="24"/>
              </w:rPr>
            </w:pPr>
            <w:r>
              <w:rPr>
                <w:rFonts w:hint="eastAsia" w:ascii="宋体" w:hAnsi="宋体"/>
                <w:w w:val="85"/>
              </w:rPr>
              <w:t>。</w:t>
            </w:r>
          </w:p>
        </w:tc>
      </w:tr>
      <w:tr>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pPr>
              <w:spacing w:line="20" w:lineRule="exact"/>
              <w:jc w:val="left"/>
              <w:rPr>
                <w:sz w:val="1"/>
              </w:rPr>
            </w:pPr>
          </w:p>
        </w:tc>
        <w:tc>
          <w:tcPr>
            <w:tcW w:w="1440" w:type="dxa"/>
            <w:gridSpan w:val="3"/>
            <w:tcBorders>
              <w:top w:val="nil"/>
              <w:left w:val="nil"/>
              <w:bottom w:val="nil"/>
              <w:right w:val="nil"/>
            </w:tcBorders>
            <w:shd w:val="clear" w:color="auto" w:fill="auto"/>
            <w:vAlign w:val="bottom"/>
          </w:tcPr>
          <w:p>
            <w:pPr>
              <w:spacing w:line="20" w:lineRule="exact"/>
              <w:jc w:val="left"/>
              <w:rPr>
                <w:sz w:val="1"/>
              </w:rPr>
            </w:pPr>
          </w:p>
        </w:tc>
        <w:tc>
          <w:tcPr>
            <w:tcW w:w="600" w:type="dxa"/>
            <w:tcBorders>
              <w:top w:val="nil"/>
              <w:left w:val="nil"/>
              <w:bottom w:val="nil"/>
              <w:right w:val="single" w:color="auto" w:sz="8" w:space="0"/>
            </w:tcBorders>
            <w:shd w:val="clear" w:color="auto" w:fill="auto"/>
            <w:vAlign w:val="bottom"/>
          </w:tcPr>
          <w:p>
            <w:pPr>
              <w:spacing w:line="20" w:lineRule="exact"/>
              <w:jc w:val="left"/>
              <w:rPr>
                <w:sz w:val="1"/>
              </w:rPr>
            </w:pPr>
          </w:p>
        </w:tc>
        <w:tc>
          <w:tcPr>
            <w:tcW w:w="120" w:type="dxa"/>
            <w:tcBorders>
              <w:top w:val="nil"/>
              <w:left w:val="nil"/>
              <w:bottom w:val="nil"/>
              <w:right w:val="nil"/>
            </w:tcBorders>
            <w:shd w:val="clear" w:color="auto" w:fill="auto"/>
            <w:vAlign w:val="bottom"/>
          </w:tcPr>
          <w:p>
            <w:pPr>
              <w:spacing w:line="20" w:lineRule="exact"/>
              <w:jc w:val="left"/>
              <w:rPr>
                <w:sz w:val="1"/>
              </w:rPr>
            </w:pPr>
          </w:p>
        </w:tc>
        <w:tc>
          <w:tcPr>
            <w:tcW w:w="1720" w:type="dxa"/>
            <w:gridSpan w:val="3"/>
            <w:tcBorders>
              <w:top w:val="nil"/>
              <w:left w:val="nil"/>
              <w:bottom w:val="nil"/>
              <w:right w:val="nil"/>
            </w:tcBorders>
            <w:shd w:val="clear" w:color="auto" w:fill="auto"/>
            <w:vAlign w:val="bottom"/>
          </w:tcPr>
          <w:p>
            <w:pPr>
              <w:spacing w:line="20" w:lineRule="exact"/>
              <w:jc w:val="left"/>
              <w:rPr>
                <w:sz w:val="1"/>
              </w:rPr>
            </w:pPr>
          </w:p>
        </w:tc>
        <w:tc>
          <w:tcPr>
            <w:tcW w:w="1780" w:type="dxa"/>
            <w:gridSpan w:val="5"/>
            <w:tcBorders>
              <w:top w:val="nil"/>
              <w:left w:val="nil"/>
              <w:bottom w:val="nil"/>
              <w:right w:val="nil"/>
            </w:tcBorders>
            <w:shd w:val="clear" w:color="auto" w:fill="auto"/>
            <w:vAlign w:val="bottom"/>
          </w:tcPr>
          <w:p>
            <w:pPr>
              <w:spacing w:line="20" w:lineRule="exact"/>
              <w:jc w:val="left"/>
              <w:rPr>
                <w:sz w:val="1"/>
              </w:rPr>
            </w:pPr>
          </w:p>
        </w:tc>
        <w:tc>
          <w:tcPr>
            <w:tcW w:w="680" w:type="dxa"/>
            <w:tcBorders>
              <w:top w:val="nil"/>
              <w:left w:val="nil"/>
              <w:bottom w:val="nil"/>
              <w:right w:val="nil"/>
            </w:tcBorders>
            <w:shd w:val="clear" w:color="auto" w:fill="auto"/>
            <w:vAlign w:val="bottom"/>
          </w:tcPr>
          <w:p>
            <w:pPr>
              <w:spacing w:line="20" w:lineRule="exact"/>
              <w:jc w:val="left"/>
              <w:rPr>
                <w:sz w:val="1"/>
              </w:rPr>
            </w:pPr>
          </w:p>
        </w:tc>
        <w:tc>
          <w:tcPr>
            <w:tcW w:w="420" w:type="dxa"/>
            <w:gridSpan w:val="2"/>
            <w:tcBorders>
              <w:top w:val="nil"/>
              <w:left w:val="nil"/>
              <w:bottom w:val="nil"/>
              <w:right w:val="nil"/>
            </w:tcBorders>
            <w:shd w:val="clear" w:color="auto" w:fill="000000"/>
            <w:vAlign w:val="bottom"/>
          </w:tcPr>
          <w:p>
            <w:pPr>
              <w:spacing w:line="20" w:lineRule="exact"/>
              <w:jc w:val="left"/>
              <w:rPr>
                <w:sz w:val="1"/>
              </w:rPr>
            </w:pPr>
          </w:p>
        </w:tc>
        <w:tc>
          <w:tcPr>
            <w:tcW w:w="1060" w:type="dxa"/>
            <w:gridSpan w:val="2"/>
            <w:tcBorders>
              <w:top w:val="nil"/>
              <w:left w:val="nil"/>
              <w:bottom w:val="nil"/>
              <w:right w:val="nil"/>
            </w:tcBorders>
            <w:shd w:val="clear" w:color="auto" w:fill="000000"/>
            <w:vAlign w:val="bottom"/>
          </w:tcPr>
          <w:p>
            <w:pPr>
              <w:spacing w:line="20" w:lineRule="exact"/>
              <w:jc w:val="left"/>
              <w:rPr>
                <w:sz w:val="1"/>
              </w:rPr>
            </w:pPr>
          </w:p>
        </w:tc>
        <w:tc>
          <w:tcPr>
            <w:tcW w:w="100" w:type="dxa"/>
            <w:tcBorders>
              <w:top w:val="nil"/>
              <w:left w:val="nil"/>
              <w:bottom w:val="nil"/>
              <w:right w:val="nil"/>
            </w:tcBorders>
            <w:vAlign w:val="bottom"/>
          </w:tcPr>
          <w:p>
            <w:pPr>
              <w:spacing w:line="20" w:lineRule="exact"/>
              <w:jc w:val="left"/>
              <w:rPr>
                <w:sz w:val="1"/>
              </w:rPr>
            </w:pPr>
          </w:p>
        </w:tc>
        <w:tc>
          <w:tcPr>
            <w:tcW w:w="240" w:type="dxa"/>
            <w:tcBorders>
              <w:top w:val="nil"/>
              <w:left w:val="nil"/>
              <w:bottom w:val="nil"/>
              <w:right w:val="single" w:color="auto" w:sz="8" w:space="0"/>
            </w:tcBorders>
            <w:vAlign w:val="bottom"/>
          </w:tcPr>
          <w:p>
            <w:pPr>
              <w:spacing w:line="20" w:lineRule="exact"/>
              <w:jc w:val="left"/>
              <w:rPr>
                <w:sz w:val="1"/>
              </w:rPr>
            </w:pPr>
          </w:p>
        </w:tc>
      </w:tr>
      <w:tr>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pPr>
              <w:jc w:val="left"/>
              <w:rPr>
                <w:sz w:val="24"/>
              </w:rPr>
            </w:pPr>
          </w:p>
        </w:tc>
        <w:tc>
          <w:tcPr>
            <w:tcW w:w="1440" w:type="dxa"/>
            <w:gridSpan w:val="3"/>
            <w:tcBorders>
              <w:top w:val="nil"/>
              <w:left w:val="nil"/>
              <w:bottom w:val="nil"/>
              <w:right w:val="nil"/>
            </w:tcBorders>
            <w:vAlign w:val="bottom"/>
          </w:tcPr>
          <w:p>
            <w:pPr>
              <w:jc w:val="center"/>
              <w:rPr>
                <w:sz w:val="24"/>
              </w:rPr>
            </w:pPr>
            <w:r>
              <w:rPr>
                <w:rFonts w:hint="eastAsia" w:ascii="宋体" w:hAnsi="宋体"/>
                <w:w w:val="99"/>
              </w:rPr>
              <w:t>说明在岗情况</w:t>
            </w: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6000" w:type="dxa"/>
            <w:gridSpan w:val="15"/>
            <w:tcBorders>
              <w:top w:val="nil"/>
              <w:left w:val="nil"/>
              <w:bottom w:val="nil"/>
              <w:right w:val="single" w:color="auto" w:sz="8" w:space="0"/>
            </w:tcBorders>
            <w:vAlign w:val="bottom"/>
          </w:tcPr>
          <w:p>
            <w:pPr>
              <w:spacing w:line="253" w:lineRule="exact"/>
              <w:jc w:val="left"/>
              <w:rPr>
                <w:sz w:val="24"/>
              </w:rPr>
            </w:pPr>
            <w:r>
              <w:rPr>
                <w:rFonts w:ascii="Arial" w:hAnsi="Arial"/>
              </w:rPr>
              <w:t>□</w:t>
            </w:r>
            <w:r>
              <w:rPr>
                <w:rFonts w:hint="eastAsia" w:ascii="宋体" w:hAnsi="宋体"/>
              </w:rPr>
              <w:t>目前虽在其他项目上任职，但本项目中标后能够从该项目撤</w:t>
            </w:r>
          </w:p>
        </w:tc>
      </w:tr>
      <w:tr>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jc w:val="left"/>
              <w:rPr>
                <w:sz w:val="24"/>
              </w:rPr>
            </w:pP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jc w:val="left"/>
              <w:rPr>
                <w:sz w:val="24"/>
              </w:rPr>
            </w:pP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1980" w:type="dxa"/>
            <w:gridSpan w:val="4"/>
            <w:tcBorders>
              <w:top w:val="nil"/>
              <w:left w:val="nil"/>
              <w:bottom w:val="nil"/>
              <w:right w:val="nil"/>
            </w:tcBorders>
            <w:vAlign w:val="bottom"/>
          </w:tcPr>
          <w:p>
            <w:pPr>
              <w:jc w:val="left"/>
              <w:rPr>
                <w:sz w:val="24"/>
              </w:rPr>
            </w:pPr>
            <w:r>
              <w:rPr>
                <w:rFonts w:hint="eastAsia" w:ascii="宋体" w:hAnsi="宋体"/>
              </w:rPr>
              <w:t>离，目前任职项目：</w:t>
            </w: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1480" w:type="dxa"/>
            <w:gridSpan w:val="5"/>
            <w:tcBorders>
              <w:top w:val="nil"/>
              <w:left w:val="nil"/>
              <w:bottom w:val="nil"/>
              <w:right w:val="nil"/>
            </w:tcBorders>
            <w:vAlign w:val="bottom"/>
          </w:tcPr>
          <w:p>
            <w:pPr>
              <w:ind w:left="280"/>
              <w:jc w:val="left"/>
              <w:rPr>
                <w:sz w:val="24"/>
              </w:rPr>
            </w:pPr>
            <w:r>
              <w:rPr>
                <w:rFonts w:hint="eastAsia" w:ascii="宋体" w:hAnsi="宋体"/>
                <w:w w:val="92"/>
              </w:rPr>
              <w:t>，担任职位：</w:t>
            </w: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right"/>
              <w:rPr>
                <w:sz w:val="24"/>
              </w:rPr>
            </w:pPr>
            <w:r>
              <w:rPr>
                <w:rFonts w:hint="eastAsia" w:ascii="宋体" w:hAnsi="宋体"/>
                <w:w w:val="85"/>
              </w:rPr>
              <w:t>。</w:t>
            </w:r>
          </w:p>
        </w:tc>
      </w:tr>
      <w:tr>
        <w:tblPrEx>
          <w:tblCellMar>
            <w:top w:w="0" w:type="dxa"/>
            <w:left w:w="0" w:type="dxa"/>
            <w:bottom w:w="0" w:type="dxa"/>
            <w:right w:w="0" w:type="dxa"/>
          </w:tblCellMar>
        </w:tblPrEx>
        <w:trPr>
          <w:trHeight w:val="23" w:hRule="atLeast"/>
          <w:jc w:val="center"/>
        </w:trPr>
        <w:tc>
          <w:tcPr>
            <w:tcW w:w="600" w:type="dxa"/>
            <w:tcBorders>
              <w:top w:val="nil"/>
              <w:left w:val="single" w:color="auto" w:sz="8" w:space="0"/>
              <w:bottom w:val="single" w:color="auto" w:sz="8" w:space="0"/>
              <w:right w:val="nil"/>
            </w:tcBorders>
            <w:vAlign w:val="bottom"/>
          </w:tcPr>
          <w:p>
            <w:pPr>
              <w:jc w:val="left"/>
              <w:rPr>
                <w:sz w:val="2"/>
              </w:rPr>
            </w:pPr>
          </w:p>
        </w:tc>
        <w:tc>
          <w:tcPr>
            <w:tcW w:w="640" w:type="dxa"/>
            <w:tcBorders>
              <w:top w:val="nil"/>
              <w:left w:val="nil"/>
              <w:bottom w:val="single" w:color="auto" w:sz="8" w:space="0"/>
              <w:right w:val="nil"/>
            </w:tcBorders>
            <w:vAlign w:val="bottom"/>
          </w:tcPr>
          <w:p>
            <w:pPr>
              <w:jc w:val="left"/>
              <w:rPr>
                <w:sz w:val="2"/>
              </w:rPr>
            </w:pPr>
          </w:p>
        </w:tc>
        <w:tc>
          <w:tcPr>
            <w:tcW w:w="60" w:type="dxa"/>
            <w:tcBorders>
              <w:top w:val="nil"/>
              <w:left w:val="nil"/>
              <w:bottom w:val="single" w:color="auto" w:sz="8" w:space="0"/>
              <w:right w:val="nil"/>
            </w:tcBorders>
            <w:vAlign w:val="bottom"/>
          </w:tcPr>
          <w:p>
            <w:pPr>
              <w:jc w:val="left"/>
              <w:rPr>
                <w:sz w:val="2"/>
              </w:rPr>
            </w:pPr>
          </w:p>
        </w:tc>
        <w:tc>
          <w:tcPr>
            <w:tcW w:w="740" w:type="dxa"/>
            <w:tcBorders>
              <w:top w:val="nil"/>
              <w:left w:val="nil"/>
              <w:bottom w:val="single" w:color="auto" w:sz="8" w:space="0"/>
              <w:right w:val="nil"/>
            </w:tcBorders>
            <w:vAlign w:val="bottom"/>
          </w:tcPr>
          <w:p>
            <w:pPr>
              <w:jc w:val="left"/>
              <w:rPr>
                <w:sz w:val="2"/>
              </w:rPr>
            </w:pPr>
          </w:p>
        </w:tc>
        <w:tc>
          <w:tcPr>
            <w:tcW w:w="600" w:type="dxa"/>
            <w:tcBorders>
              <w:top w:val="nil"/>
              <w:left w:val="nil"/>
              <w:bottom w:val="single" w:color="auto" w:sz="8" w:space="0"/>
              <w:right w:val="single" w:color="auto" w:sz="8" w:space="0"/>
            </w:tcBorders>
            <w:vAlign w:val="bottom"/>
          </w:tcPr>
          <w:p>
            <w:pPr>
              <w:jc w:val="left"/>
              <w:rPr>
                <w:sz w:val="2"/>
              </w:rPr>
            </w:pPr>
          </w:p>
        </w:tc>
        <w:tc>
          <w:tcPr>
            <w:tcW w:w="120" w:type="dxa"/>
            <w:tcBorders>
              <w:top w:val="nil"/>
              <w:left w:val="nil"/>
              <w:bottom w:val="single" w:color="auto" w:sz="8" w:space="0"/>
              <w:right w:val="nil"/>
            </w:tcBorders>
            <w:vAlign w:val="bottom"/>
          </w:tcPr>
          <w:p>
            <w:pPr>
              <w:jc w:val="left"/>
              <w:rPr>
                <w:sz w:val="2"/>
              </w:rPr>
            </w:pPr>
          </w:p>
        </w:tc>
        <w:tc>
          <w:tcPr>
            <w:tcW w:w="500" w:type="dxa"/>
            <w:tcBorders>
              <w:top w:val="nil"/>
              <w:left w:val="nil"/>
              <w:bottom w:val="single" w:color="auto" w:sz="8" w:space="0"/>
              <w:right w:val="nil"/>
            </w:tcBorders>
            <w:vAlign w:val="bottom"/>
          </w:tcPr>
          <w:p>
            <w:pPr>
              <w:jc w:val="left"/>
              <w:rPr>
                <w:sz w:val="2"/>
              </w:rPr>
            </w:pPr>
          </w:p>
        </w:tc>
        <w:tc>
          <w:tcPr>
            <w:tcW w:w="560" w:type="dxa"/>
            <w:tcBorders>
              <w:top w:val="nil"/>
              <w:left w:val="nil"/>
              <w:bottom w:val="single" w:color="auto" w:sz="8" w:space="0"/>
              <w:right w:val="nil"/>
            </w:tcBorders>
            <w:vAlign w:val="bottom"/>
          </w:tcPr>
          <w:p>
            <w:pPr>
              <w:jc w:val="left"/>
              <w:rPr>
                <w:sz w:val="2"/>
              </w:rPr>
            </w:pPr>
          </w:p>
        </w:tc>
        <w:tc>
          <w:tcPr>
            <w:tcW w:w="660" w:type="dxa"/>
            <w:tcBorders>
              <w:top w:val="nil"/>
              <w:left w:val="nil"/>
              <w:bottom w:val="single" w:color="auto" w:sz="8" w:space="0"/>
              <w:right w:val="nil"/>
            </w:tcBorders>
            <w:vAlign w:val="bottom"/>
          </w:tcPr>
          <w:p>
            <w:pPr>
              <w:jc w:val="left"/>
              <w:rPr>
                <w:sz w:val="2"/>
              </w:rPr>
            </w:pPr>
          </w:p>
        </w:tc>
        <w:tc>
          <w:tcPr>
            <w:tcW w:w="260" w:type="dxa"/>
            <w:tcBorders>
              <w:top w:val="single" w:color="auto" w:sz="8" w:space="0"/>
              <w:left w:val="nil"/>
              <w:bottom w:val="single" w:color="auto" w:sz="8" w:space="0"/>
              <w:right w:val="nil"/>
            </w:tcBorders>
            <w:vAlign w:val="bottom"/>
          </w:tcPr>
          <w:p>
            <w:pPr>
              <w:jc w:val="left"/>
              <w:rPr>
                <w:sz w:val="2"/>
              </w:rPr>
            </w:pPr>
          </w:p>
        </w:tc>
        <w:tc>
          <w:tcPr>
            <w:tcW w:w="460" w:type="dxa"/>
            <w:tcBorders>
              <w:top w:val="single" w:color="auto" w:sz="8" w:space="0"/>
              <w:left w:val="nil"/>
              <w:bottom w:val="single" w:color="auto" w:sz="8" w:space="0"/>
              <w:right w:val="nil"/>
            </w:tcBorders>
            <w:vAlign w:val="bottom"/>
          </w:tcPr>
          <w:p>
            <w:pPr>
              <w:jc w:val="left"/>
              <w:rPr>
                <w:sz w:val="2"/>
              </w:rPr>
            </w:pPr>
          </w:p>
        </w:tc>
        <w:tc>
          <w:tcPr>
            <w:tcW w:w="340" w:type="dxa"/>
            <w:tcBorders>
              <w:top w:val="single" w:color="auto" w:sz="8" w:space="0"/>
              <w:left w:val="nil"/>
              <w:bottom w:val="single" w:color="auto" w:sz="8" w:space="0"/>
              <w:right w:val="nil"/>
            </w:tcBorders>
            <w:vAlign w:val="bottom"/>
          </w:tcPr>
          <w:p>
            <w:pPr>
              <w:jc w:val="left"/>
              <w:rPr>
                <w:sz w:val="2"/>
              </w:rPr>
            </w:pPr>
          </w:p>
        </w:tc>
        <w:tc>
          <w:tcPr>
            <w:tcW w:w="440" w:type="dxa"/>
            <w:tcBorders>
              <w:top w:val="single" w:color="auto" w:sz="8" w:space="0"/>
              <w:left w:val="nil"/>
              <w:bottom w:val="single" w:color="auto" w:sz="8" w:space="0"/>
              <w:right w:val="nil"/>
            </w:tcBorders>
            <w:vAlign w:val="bottom"/>
          </w:tcPr>
          <w:p>
            <w:pPr>
              <w:jc w:val="left"/>
              <w:rPr>
                <w:sz w:val="2"/>
              </w:rPr>
            </w:pPr>
          </w:p>
        </w:tc>
        <w:tc>
          <w:tcPr>
            <w:tcW w:w="280" w:type="dxa"/>
            <w:tcBorders>
              <w:top w:val="single" w:color="auto" w:sz="8" w:space="0"/>
              <w:left w:val="nil"/>
              <w:bottom w:val="single" w:color="auto" w:sz="8" w:space="0"/>
              <w:right w:val="nil"/>
            </w:tcBorders>
            <w:vAlign w:val="bottom"/>
          </w:tcPr>
          <w:p>
            <w:pPr>
              <w:jc w:val="left"/>
              <w:rPr>
                <w:sz w:val="2"/>
              </w:rPr>
            </w:pPr>
          </w:p>
        </w:tc>
        <w:tc>
          <w:tcPr>
            <w:tcW w:w="680" w:type="dxa"/>
            <w:tcBorders>
              <w:top w:val="nil"/>
              <w:left w:val="nil"/>
              <w:bottom w:val="single" w:color="auto" w:sz="8" w:space="0"/>
              <w:right w:val="nil"/>
            </w:tcBorders>
            <w:vAlign w:val="bottom"/>
          </w:tcPr>
          <w:p>
            <w:pPr>
              <w:jc w:val="left"/>
              <w:rPr>
                <w:sz w:val="2"/>
              </w:rPr>
            </w:pPr>
          </w:p>
        </w:tc>
        <w:tc>
          <w:tcPr>
            <w:tcW w:w="140" w:type="dxa"/>
            <w:tcBorders>
              <w:top w:val="nil"/>
              <w:left w:val="nil"/>
              <w:bottom w:val="single" w:color="auto" w:sz="8" w:space="0"/>
              <w:right w:val="nil"/>
            </w:tcBorders>
            <w:vAlign w:val="bottom"/>
          </w:tcPr>
          <w:p>
            <w:pPr>
              <w:jc w:val="left"/>
              <w:rPr>
                <w:sz w:val="2"/>
              </w:rPr>
            </w:pPr>
          </w:p>
        </w:tc>
        <w:tc>
          <w:tcPr>
            <w:tcW w:w="280" w:type="dxa"/>
            <w:tcBorders>
              <w:top w:val="nil"/>
              <w:left w:val="nil"/>
              <w:bottom w:val="single" w:color="auto" w:sz="8" w:space="0"/>
              <w:right w:val="nil"/>
            </w:tcBorders>
            <w:vAlign w:val="bottom"/>
          </w:tcPr>
          <w:p>
            <w:pPr>
              <w:jc w:val="left"/>
              <w:rPr>
                <w:sz w:val="2"/>
              </w:rPr>
            </w:pPr>
          </w:p>
        </w:tc>
        <w:tc>
          <w:tcPr>
            <w:tcW w:w="100" w:type="dxa"/>
            <w:tcBorders>
              <w:top w:val="single" w:color="auto" w:sz="8" w:space="0"/>
              <w:left w:val="nil"/>
              <w:bottom w:val="single" w:color="auto" w:sz="8" w:space="0"/>
              <w:right w:val="nil"/>
            </w:tcBorders>
            <w:vAlign w:val="bottom"/>
          </w:tcPr>
          <w:p>
            <w:pPr>
              <w:jc w:val="left"/>
              <w:rPr>
                <w:sz w:val="2"/>
              </w:rPr>
            </w:pPr>
          </w:p>
        </w:tc>
        <w:tc>
          <w:tcPr>
            <w:tcW w:w="960" w:type="dxa"/>
            <w:tcBorders>
              <w:top w:val="single" w:color="auto" w:sz="8" w:space="0"/>
              <w:left w:val="nil"/>
              <w:bottom w:val="single" w:color="auto" w:sz="8" w:space="0"/>
              <w:right w:val="nil"/>
            </w:tcBorders>
            <w:vAlign w:val="bottom"/>
          </w:tcPr>
          <w:p>
            <w:pPr>
              <w:jc w:val="left"/>
              <w:rPr>
                <w:sz w:val="2"/>
              </w:rPr>
            </w:pPr>
          </w:p>
        </w:tc>
        <w:tc>
          <w:tcPr>
            <w:tcW w:w="100" w:type="dxa"/>
            <w:tcBorders>
              <w:top w:val="single" w:color="auto" w:sz="8" w:space="0"/>
              <w:left w:val="nil"/>
              <w:bottom w:val="single" w:color="auto" w:sz="8" w:space="0"/>
              <w:right w:val="nil"/>
            </w:tcBorders>
            <w:vAlign w:val="bottom"/>
          </w:tcPr>
          <w:p>
            <w:pPr>
              <w:jc w:val="left"/>
              <w:rPr>
                <w:sz w:val="2"/>
              </w:rPr>
            </w:pPr>
          </w:p>
        </w:tc>
        <w:tc>
          <w:tcPr>
            <w:tcW w:w="240" w:type="dxa"/>
            <w:tcBorders>
              <w:top w:val="nil"/>
              <w:left w:val="nil"/>
              <w:bottom w:val="single" w:color="auto" w:sz="8" w:space="0"/>
              <w:right w:val="single" w:color="auto" w:sz="8" w:space="0"/>
            </w:tcBorders>
            <w:vAlign w:val="bottom"/>
          </w:tcPr>
          <w:p>
            <w:pPr>
              <w:jc w:val="left"/>
              <w:rPr>
                <w:sz w:val="2"/>
              </w:rPr>
            </w:pPr>
          </w:p>
        </w:tc>
      </w:tr>
      <w:tr>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pPr>
              <w:jc w:val="left"/>
              <w:rPr>
                <w:sz w:val="24"/>
              </w:rPr>
            </w:pPr>
          </w:p>
        </w:tc>
        <w:tc>
          <w:tcPr>
            <w:tcW w:w="640" w:type="dxa"/>
            <w:tcBorders>
              <w:top w:val="nil"/>
              <w:left w:val="nil"/>
              <w:bottom w:val="nil"/>
              <w:right w:val="nil"/>
            </w:tcBorders>
            <w:vAlign w:val="bottom"/>
          </w:tcPr>
          <w:p>
            <w:pPr>
              <w:ind w:right="74"/>
              <w:jc w:val="right"/>
              <w:rPr>
                <w:sz w:val="24"/>
              </w:rPr>
            </w:pPr>
            <w:r>
              <w:rPr>
                <w:rFonts w:hint="eastAsia" w:ascii="宋体" w:hAnsi="宋体"/>
              </w:rPr>
              <w:t>备</w:t>
            </w:r>
          </w:p>
        </w:tc>
        <w:tc>
          <w:tcPr>
            <w:tcW w:w="60" w:type="dxa"/>
            <w:tcBorders>
              <w:top w:val="nil"/>
              <w:left w:val="nil"/>
              <w:bottom w:val="nil"/>
              <w:right w:val="nil"/>
            </w:tcBorders>
            <w:vAlign w:val="bottom"/>
          </w:tcPr>
          <w:p>
            <w:pPr>
              <w:jc w:val="left"/>
              <w:rPr>
                <w:sz w:val="24"/>
              </w:rPr>
            </w:pPr>
          </w:p>
        </w:tc>
        <w:tc>
          <w:tcPr>
            <w:tcW w:w="740" w:type="dxa"/>
            <w:tcBorders>
              <w:top w:val="nil"/>
              <w:left w:val="nil"/>
              <w:bottom w:val="nil"/>
              <w:right w:val="nil"/>
            </w:tcBorders>
            <w:vAlign w:val="bottom"/>
          </w:tcPr>
          <w:p>
            <w:pPr>
              <w:ind w:left="280"/>
              <w:jc w:val="left"/>
              <w:rPr>
                <w:sz w:val="24"/>
              </w:rPr>
            </w:pPr>
            <w:r>
              <w:rPr>
                <w:rFonts w:hint="eastAsia" w:ascii="宋体" w:hAnsi="宋体"/>
              </w:rPr>
              <w:t>注</w:t>
            </w:r>
          </w:p>
        </w:tc>
        <w:tc>
          <w:tcPr>
            <w:tcW w:w="600" w:type="dxa"/>
            <w:tcBorders>
              <w:top w:val="nil"/>
              <w:left w:val="nil"/>
              <w:bottom w:val="nil"/>
              <w:right w:val="single" w:color="auto" w:sz="8" w:space="0"/>
            </w:tcBorders>
            <w:vAlign w:val="bottom"/>
          </w:tcPr>
          <w:p>
            <w:pPr>
              <w:jc w:val="left"/>
              <w:rPr>
                <w:sz w:val="24"/>
              </w:rPr>
            </w:pPr>
          </w:p>
        </w:tc>
        <w:tc>
          <w:tcPr>
            <w:tcW w:w="120" w:type="dxa"/>
            <w:tcBorders>
              <w:top w:val="nil"/>
              <w:left w:val="nil"/>
              <w:bottom w:val="nil"/>
              <w:right w:val="nil"/>
            </w:tcBorders>
            <w:vAlign w:val="bottom"/>
          </w:tcPr>
          <w:p>
            <w:pPr>
              <w:jc w:val="left"/>
              <w:rPr>
                <w:sz w:val="24"/>
              </w:rPr>
            </w:pPr>
          </w:p>
        </w:tc>
        <w:tc>
          <w:tcPr>
            <w:tcW w:w="500" w:type="dxa"/>
            <w:tcBorders>
              <w:top w:val="nil"/>
              <w:left w:val="nil"/>
              <w:bottom w:val="nil"/>
              <w:right w:val="nil"/>
            </w:tcBorders>
            <w:vAlign w:val="bottom"/>
          </w:tcPr>
          <w:p>
            <w:pPr>
              <w:jc w:val="left"/>
              <w:rPr>
                <w:sz w:val="24"/>
              </w:rPr>
            </w:pPr>
          </w:p>
        </w:tc>
        <w:tc>
          <w:tcPr>
            <w:tcW w:w="560" w:type="dxa"/>
            <w:tcBorders>
              <w:top w:val="nil"/>
              <w:left w:val="nil"/>
              <w:bottom w:val="nil"/>
              <w:right w:val="nil"/>
            </w:tcBorders>
            <w:vAlign w:val="bottom"/>
          </w:tcPr>
          <w:p>
            <w:pPr>
              <w:jc w:val="left"/>
              <w:rPr>
                <w:sz w:val="24"/>
              </w:rPr>
            </w:pPr>
          </w:p>
        </w:tc>
        <w:tc>
          <w:tcPr>
            <w:tcW w:w="660" w:type="dxa"/>
            <w:tcBorders>
              <w:top w:val="nil"/>
              <w:left w:val="nil"/>
              <w:bottom w:val="nil"/>
              <w:right w:val="nil"/>
            </w:tcBorders>
            <w:vAlign w:val="bottom"/>
          </w:tcPr>
          <w:p>
            <w:pPr>
              <w:jc w:val="left"/>
              <w:rPr>
                <w:sz w:val="24"/>
              </w:rPr>
            </w:pPr>
          </w:p>
        </w:tc>
        <w:tc>
          <w:tcPr>
            <w:tcW w:w="260" w:type="dxa"/>
            <w:tcBorders>
              <w:top w:val="nil"/>
              <w:left w:val="nil"/>
              <w:bottom w:val="nil"/>
              <w:right w:val="nil"/>
            </w:tcBorders>
            <w:vAlign w:val="bottom"/>
          </w:tcPr>
          <w:p>
            <w:pPr>
              <w:jc w:val="left"/>
              <w:rPr>
                <w:sz w:val="24"/>
              </w:rPr>
            </w:pPr>
          </w:p>
        </w:tc>
        <w:tc>
          <w:tcPr>
            <w:tcW w:w="460" w:type="dxa"/>
            <w:tcBorders>
              <w:top w:val="nil"/>
              <w:left w:val="nil"/>
              <w:bottom w:val="nil"/>
              <w:right w:val="nil"/>
            </w:tcBorders>
            <w:vAlign w:val="bottom"/>
          </w:tcPr>
          <w:p>
            <w:pPr>
              <w:jc w:val="left"/>
              <w:rPr>
                <w:sz w:val="24"/>
              </w:rPr>
            </w:pPr>
          </w:p>
        </w:tc>
        <w:tc>
          <w:tcPr>
            <w:tcW w:w="340" w:type="dxa"/>
            <w:tcBorders>
              <w:top w:val="nil"/>
              <w:left w:val="nil"/>
              <w:bottom w:val="nil"/>
              <w:right w:val="nil"/>
            </w:tcBorders>
            <w:vAlign w:val="bottom"/>
          </w:tcPr>
          <w:p>
            <w:pPr>
              <w:jc w:val="left"/>
              <w:rPr>
                <w:sz w:val="24"/>
              </w:rPr>
            </w:pPr>
          </w:p>
        </w:tc>
        <w:tc>
          <w:tcPr>
            <w:tcW w:w="4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680" w:type="dxa"/>
            <w:tcBorders>
              <w:top w:val="nil"/>
              <w:left w:val="nil"/>
              <w:bottom w:val="nil"/>
              <w:right w:val="nil"/>
            </w:tcBorders>
            <w:vAlign w:val="bottom"/>
          </w:tcPr>
          <w:p>
            <w:pPr>
              <w:jc w:val="left"/>
              <w:rPr>
                <w:sz w:val="24"/>
              </w:rPr>
            </w:pPr>
          </w:p>
        </w:tc>
        <w:tc>
          <w:tcPr>
            <w:tcW w:w="140" w:type="dxa"/>
            <w:tcBorders>
              <w:top w:val="nil"/>
              <w:left w:val="nil"/>
              <w:bottom w:val="nil"/>
              <w:right w:val="nil"/>
            </w:tcBorders>
            <w:vAlign w:val="bottom"/>
          </w:tcPr>
          <w:p>
            <w:pPr>
              <w:jc w:val="left"/>
              <w:rPr>
                <w:sz w:val="24"/>
              </w:rPr>
            </w:pPr>
          </w:p>
        </w:tc>
        <w:tc>
          <w:tcPr>
            <w:tcW w:w="28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960" w:type="dxa"/>
            <w:tcBorders>
              <w:top w:val="nil"/>
              <w:left w:val="nil"/>
              <w:bottom w:val="nil"/>
              <w:right w:val="nil"/>
            </w:tcBorders>
            <w:vAlign w:val="bottom"/>
          </w:tcPr>
          <w:p>
            <w:pPr>
              <w:jc w:val="left"/>
              <w:rPr>
                <w:sz w:val="24"/>
              </w:rPr>
            </w:pPr>
          </w:p>
        </w:tc>
        <w:tc>
          <w:tcPr>
            <w:tcW w:w="100" w:type="dxa"/>
            <w:tcBorders>
              <w:top w:val="nil"/>
              <w:left w:val="nil"/>
              <w:bottom w:val="nil"/>
              <w:right w:val="nil"/>
            </w:tcBorders>
            <w:vAlign w:val="bottom"/>
          </w:tcPr>
          <w:p>
            <w:pPr>
              <w:jc w:val="left"/>
              <w:rPr>
                <w:sz w:val="24"/>
              </w:rPr>
            </w:pPr>
          </w:p>
        </w:tc>
        <w:tc>
          <w:tcPr>
            <w:tcW w:w="240" w:type="dxa"/>
            <w:tcBorders>
              <w:top w:val="nil"/>
              <w:left w:val="nil"/>
              <w:bottom w:val="nil"/>
              <w:right w:val="single" w:color="auto" w:sz="8" w:space="0"/>
            </w:tcBorders>
            <w:vAlign w:val="bottom"/>
          </w:tcPr>
          <w:p>
            <w:pPr>
              <w:jc w:val="left"/>
              <w:rPr>
                <w:sz w:val="24"/>
              </w:rPr>
            </w:pPr>
          </w:p>
        </w:tc>
      </w:tr>
      <w:tr>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pPr>
              <w:jc w:val="left"/>
              <w:rPr>
                <w:sz w:val="24"/>
              </w:rPr>
            </w:pPr>
          </w:p>
        </w:tc>
        <w:tc>
          <w:tcPr>
            <w:tcW w:w="640" w:type="dxa"/>
            <w:tcBorders>
              <w:top w:val="nil"/>
              <w:left w:val="nil"/>
              <w:bottom w:val="single" w:color="auto" w:sz="8" w:space="0"/>
              <w:right w:val="nil"/>
            </w:tcBorders>
            <w:vAlign w:val="bottom"/>
          </w:tcPr>
          <w:p>
            <w:pPr>
              <w:jc w:val="left"/>
              <w:rPr>
                <w:sz w:val="24"/>
              </w:rPr>
            </w:pPr>
          </w:p>
        </w:tc>
        <w:tc>
          <w:tcPr>
            <w:tcW w:w="60" w:type="dxa"/>
            <w:tcBorders>
              <w:top w:val="nil"/>
              <w:left w:val="nil"/>
              <w:bottom w:val="single" w:color="auto" w:sz="8" w:space="0"/>
              <w:right w:val="nil"/>
            </w:tcBorders>
            <w:vAlign w:val="bottom"/>
          </w:tcPr>
          <w:p>
            <w:pPr>
              <w:jc w:val="left"/>
              <w:rPr>
                <w:sz w:val="24"/>
              </w:rPr>
            </w:pPr>
          </w:p>
        </w:tc>
        <w:tc>
          <w:tcPr>
            <w:tcW w:w="740" w:type="dxa"/>
            <w:tcBorders>
              <w:top w:val="nil"/>
              <w:left w:val="nil"/>
              <w:bottom w:val="single" w:color="auto" w:sz="8" w:space="0"/>
              <w:right w:val="nil"/>
            </w:tcBorders>
            <w:vAlign w:val="bottom"/>
          </w:tcPr>
          <w:p>
            <w:pPr>
              <w:jc w:val="left"/>
              <w:rPr>
                <w:sz w:val="24"/>
              </w:rPr>
            </w:pPr>
          </w:p>
        </w:tc>
        <w:tc>
          <w:tcPr>
            <w:tcW w:w="600" w:type="dxa"/>
            <w:tcBorders>
              <w:top w:val="nil"/>
              <w:left w:val="nil"/>
              <w:bottom w:val="single" w:color="auto" w:sz="8" w:space="0"/>
              <w:right w:val="single" w:color="auto" w:sz="8" w:space="0"/>
            </w:tcBorders>
            <w:vAlign w:val="bottom"/>
          </w:tcPr>
          <w:p>
            <w:pPr>
              <w:jc w:val="left"/>
              <w:rPr>
                <w:sz w:val="24"/>
              </w:rPr>
            </w:pPr>
          </w:p>
        </w:tc>
        <w:tc>
          <w:tcPr>
            <w:tcW w:w="120" w:type="dxa"/>
            <w:tcBorders>
              <w:top w:val="nil"/>
              <w:left w:val="nil"/>
              <w:bottom w:val="single" w:color="auto" w:sz="8" w:space="0"/>
              <w:right w:val="nil"/>
            </w:tcBorders>
            <w:vAlign w:val="bottom"/>
          </w:tcPr>
          <w:p>
            <w:pPr>
              <w:jc w:val="left"/>
              <w:rPr>
                <w:sz w:val="24"/>
              </w:rPr>
            </w:pPr>
          </w:p>
        </w:tc>
        <w:tc>
          <w:tcPr>
            <w:tcW w:w="500" w:type="dxa"/>
            <w:tcBorders>
              <w:top w:val="nil"/>
              <w:left w:val="nil"/>
              <w:bottom w:val="single" w:color="auto" w:sz="8" w:space="0"/>
              <w:right w:val="nil"/>
            </w:tcBorders>
            <w:vAlign w:val="bottom"/>
          </w:tcPr>
          <w:p>
            <w:pPr>
              <w:jc w:val="left"/>
              <w:rPr>
                <w:sz w:val="24"/>
              </w:rPr>
            </w:pPr>
          </w:p>
        </w:tc>
        <w:tc>
          <w:tcPr>
            <w:tcW w:w="560" w:type="dxa"/>
            <w:tcBorders>
              <w:top w:val="nil"/>
              <w:left w:val="nil"/>
              <w:bottom w:val="single" w:color="auto" w:sz="8" w:space="0"/>
              <w:right w:val="nil"/>
            </w:tcBorders>
            <w:vAlign w:val="bottom"/>
          </w:tcPr>
          <w:p>
            <w:pPr>
              <w:jc w:val="left"/>
              <w:rPr>
                <w:sz w:val="24"/>
              </w:rPr>
            </w:pPr>
          </w:p>
        </w:tc>
        <w:tc>
          <w:tcPr>
            <w:tcW w:w="660" w:type="dxa"/>
            <w:tcBorders>
              <w:top w:val="nil"/>
              <w:left w:val="nil"/>
              <w:bottom w:val="single" w:color="auto" w:sz="8" w:space="0"/>
              <w:right w:val="nil"/>
            </w:tcBorders>
            <w:vAlign w:val="bottom"/>
          </w:tcPr>
          <w:p>
            <w:pPr>
              <w:jc w:val="left"/>
              <w:rPr>
                <w:sz w:val="24"/>
              </w:rPr>
            </w:pPr>
          </w:p>
        </w:tc>
        <w:tc>
          <w:tcPr>
            <w:tcW w:w="260" w:type="dxa"/>
            <w:tcBorders>
              <w:top w:val="nil"/>
              <w:left w:val="nil"/>
              <w:bottom w:val="single" w:color="auto" w:sz="8" w:space="0"/>
              <w:right w:val="nil"/>
            </w:tcBorders>
            <w:vAlign w:val="bottom"/>
          </w:tcPr>
          <w:p>
            <w:pPr>
              <w:jc w:val="left"/>
              <w:rPr>
                <w:sz w:val="24"/>
              </w:rPr>
            </w:pPr>
          </w:p>
        </w:tc>
        <w:tc>
          <w:tcPr>
            <w:tcW w:w="460" w:type="dxa"/>
            <w:tcBorders>
              <w:top w:val="nil"/>
              <w:left w:val="nil"/>
              <w:bottom w:val="single" w:color="auto" w:sz="8" w:space="0"/>
              <w:right w:val="nil"/>
            </w:tcBorders>
            <w:vAlign w:val="bottom"/>
          </w:tcPr>
          <w:p>
            <w:pPr>
              <w:jc w:val="left"/>
              <w:rPr>
                <w:sz w:val="24"/>
              </w:rPr>
            </w:pPr>
          </w:p>
        </w:tc>
        <w:tc>
          <w:tcPr>
            <w:tcW w:w="340" w:type="dxa"/>
            <w:tcBorders>
              <w:top w:val="nil"/>
              <w:left w:val="nil"/>
              <w:bottom w:val="single" w:color="auto" w:sz="8" w:space="0"/>
              <w:right w:val="nil"/>
            </w:tcBorders>
            <w:vAlign w:val="bottom"/>
          </w:tcPr>
          <w:p>
            <w:pPr>
              <w:jc w:val="left"/>
              <w:rPr>
                <w:sz w:val="24"/>
              </w:rPr>
            </w:pPr>
          </w:p>
        </w:tc>
        <w:tc>
          <w:tcPr>
            <w:tcW w:w="4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680" w:type="dxa"/>
            <w:tcBorders>
              <w:top w:val="nil"/>
              <w:left w:val="nil"/>
              <w:bottom w:val="single" w:color="auto" w:sz="8" w:space="0"/>
              <w:right w:val="nil"/>
            </w:tcBorders>
            <w:vAlign w:val="bottom"/>
          </w:tcPr>
          <w:p>
            <w:pPr>
              <w:jc w:val="left"/>
              <w:rPr>
                <w:sz w:val="24"/>
              </w:rPr>
            </w:pPr>
          </w:p>
        </w:tc>
        <w:tc>
          <w:tcPr>
            <w:tcW w:w="140" w:type="dxa"/>
            <w:tcBorders>
              <w:top w:val="nil"/>
              <w:left w:val="nil"/>
              <w:bottom w:val="single" w:color="auto" w:sz="8" w:space="0"/>
              <w:right w:val="nil"/>
            </w:tcBorders>
            <w:vAlign w:val="bottom"/>
          </w:tcPr>
          <w:p>
            <w:pPr>
              <w:jc w:val="left"/>
              <w:rPr>
                <w:sz w:val="24"/>
              </w:rPr>
            </w:pPr>
          </w:p>
        </w:tc>
        <w:tc>
          <w:tcPr>
            <w:tcW w:w="28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960" w:type="dxa"/>
            <w:tcBorders>
              <w:top w:val="nil"/>
              <w:left w:val="nil"/>
              <w:bottom w:val="single" w:color="auto" w:sz="8" w:space="0"/>
              <w:right w:val="nil"/>
            </w:tcBorders>
            <w:vAlign w:val="bottom"/>
          </w:tcPr>
          <w:p>
            <w:pPr>
              <w:jc w:val="left"/>
              <w:rPr>
                <w:sz w:val="24"/>
              </w:rPr>
            </w:pPr>
          </w:p>
        </w:tc>
        <w:tc>
          <w:tcPr>
            <w:tcW w:w="100" w:type="dxa"/>
            <w:tcBorders>
              <w:top w:val="nil"/>
              <w:left w:val="nil"/>
              <w:bottom w:val="single" w:color="auto" w:sz="8" w:space="0"/>
              <w:right w:val="nil"/>
            </w:tcBorders>
            <w:vAlign w:val="bottom"/>
          </w:tcPr>
          <w:p>
            <w:pPr>
              <w:jc w:val="left"/>
              <w:rPr>
                <w:sz w:val="24"/>
              </w:rPr>
            </w:pPr>
          </w:p>
        </w:tc>
        <w:tc>
          <w:tcPr>
            <w:tcW w:w="240" w:type="dxa"/>
            <w:tcBorders>
              <w:top w:val="nil"/>
              <w:left w:val="nil"/>
              <w:bottom w:val="single" w:color="auto" w:sz="8" w:space="0"/>
              <w:right w:val="single" w:color="auto" w:sz="8" w:space="0"/>
            </w:tcBorders>
            <w:vAlign w:val="bottom"/>
          </w:tcPr>
          <w:p>
            <w:pPr>
              <w:jc w:val="left"/>
              <w:rPr>
                <w:sz w:val="24"/>
              </w:rPr>
            </w:pPr>
          </w:p>
        </w:tc>
      </w:tr>
    </w:tbl>
    <w:p>
      <w:pPr>
        <w:spacing w:line="127" w:lineRule="exact"/>
        <w:jc w:val="left"/>
        <w:rPr>
          <w:sz w:val="24"/>
        </w:rPr>
      </w:pPr>
    </w:p>
    <w:p>
      <w:pPr>
        <w:spacing w:before="312" w:beforeLines="100" w:after="312" w:afterLines="100" w:line="360" w:lineRule="auto"/>
        <w:jc w:val="left"/>
        <w:outlineLvl w:val="2"/>
        <w:rPr>
          <w:rFonts w:hint="eastAsia" w:ascii="宋体" w:hAnsi="宋体"/>
          <w:sz w:val="24"/>
        </w:rPr>
      </w:pPr>
      <w:r>
        <w:rPr>
          <w:rFonts w:hint="eastAsia" w:ascii="宋体" w:hAnsi="宋体"/>
        </w:rPr>
        <w:t>注：“拟委任的项目负责人资历表”应附项目负责人的身份证及询价文件要求的相关证书，以及报价人所属社保机构出具的拟委任的项目负责人近</w:t>
      </w:r>
      <w:r>
        <w:rPr>
          <w:rFonts w:hint="eastAsia" w:ascii="宋体" w:hAnsi="宋体"/>
          <w:lang w:val="en-US" w:eastAsia="zh-CN"/>
        </w:rPr>
        <w:t>一年内连续</w:t>
      </w:r>
      <w:r>
        <w:rPr>
          <w:rFonts w:hint="eastAsia" w:ascii="宋体" w:hAnsi="宋体"/>
        </w:rPr>
        <w:t>三个月</w:t>
      </w:r>
      <w:r>
        <w:rPr>
          <w:rFonts w:hint="eastAsia" w:ascii="宋体" w:hAnsi="宋体"/>
          <w:lang w:val="en-US" w:eastAsia="zh-CN"/>
        </w:rPr>
        <w:t>以上</w:t>
      </w:r>
      <w:r>
        <w:rPr>
          <w:rFonts w:hint="eastAsia" w:ascii="宋体" w:hAnsi="宋体"/>
        </w:rPr>
        <w:t>的社保缴费证明或其他能够证明拟委任的项目负责人参加社保的有效证明材料复印件。</w:t>
      </w:r>
      <w:r>
        <w:rPr>
          <w:rFonts w:hint="eastAsia" w:ascii="宋体" w:hAnsi="宋体"/>
          <w:highlight w:val="none"/>
        </w:rPr>
        <w:t>（社保证明材料的社保缴纳单位名称需与报价人单位名称一致）。</w:t>
      </w:r>
    </w:p>
    <w:p>
      <w:pPr>
        <w:spacing w:before="312" w:beforeLines="100" w:after="312" w:afterLines="100" w:line="360" w:lineRule="auto"/>
        <w:jc w:val="center"/>
        <w:outlineLvl w:val="2"/>
        <w:rPr>
          <w:rFonts w:ascii="Times New Roman" w:hAnsi="Times New Roman" w:eastAsia="黑体"/>
          <w:bCs/>
          <w:sz w:val="30"/>
          <w:szCs w:val="30"/>
        </w:rPr>
      </w:pPr>
      <w:r>
        <w:rPr>
          <w:rFonts w:hint="eastAsia" w:eastAsia="黑体"/>
          <w:bCs/>
          <w:sz w:val="30"/>
          <w:szCs w:val="30"/>
        </w:rPr>
        <w:t>其它资料</w:t>
      </w:r>
    </w:p>
    <w:p>
      <w:pPr>
        <w:rPr>
          <w:rFonts w:ascii="宋体" w:hAnsi="宋体" w:eastAsia="宋体"/>
          <w:sz w:val="24"/>
          <w:szCs w:val="24"/>
        </w:rPr>
      </w:pPr>
    </w:p>
    <w:p>
      <w:pPr>
        <w:ind w:firstLine="480" w:firstLineChars="200"/>
        <w:rPr>
          <w:rFonts w:ascii="宋体" w:hAnsi="宋体"/>
          <w:sz w:val="24"/>
        </w:rPr>
      </w:pPr>
      <w:r>
        <w:rPr>
          <w:rFonts w:hint="eastAsia" w:ascii="宋体" w:hAnsi="宋体"/>
          <w:sz w:val="24"/>
        </w:rPr>
        <w:t>营业执照、业绩证明材料等</w:t>
      </w:r>
    </w:p>
    <w:p>
      <w:pPr>
        <w:rPr>
          <w:rFonts w:ascii="宋体" w:hAnsi="宋体"/>
          <w:sz w:val="24"/>
        </w:rPr>
      </w:pPr>
    </w:p>
    <w:p>
      <w:pPr>
        <w:rPr>
          <w:rFonts w:ascii="宋体" w:hAnsi="宋体"/>
          <w:sz w:val="22"/>
        </w:rPr>
      </w:pPr>
    </w:p>
    <w:p>
      <w:pPr>
        <w:rPr>
          <w:rFonts w:ascii="宋体" w:hAnsi="宋体"/>
          <w:sz w:val="22"/>
        </w:rPr>
      </w:pPr>
    </w:p>
    <w:p>
      <w:pPr>
        <w:ind w:firstLine="480" w:firstLineChars="200"/>
        <w:rPr>
          <w:rFonts w:ascii="宋体" w:hAnsi="宋体"/>
          <w:sz w:val="24"/>
        </w:rPr>
      </w:pPr>
      <w:r>
        <w:rPr>
          <w:rFonts w:hint="eastAsia" w:ascii="宋体" w:hAnsi="宋体"/>
          <w:sz w:val="24"/>
        </w:rPr>
        <w:t>注：1、营业执照提供复印件，并加盖公章；</w:t>
      </w:r>
    </w:p>
    <w:p>
      <w:pPr>
        <w:ind w:firstLine="960" w:firstLineChars="400"/>
        <w:rPr>
          <w:rFonts w:ascii="宋体" w:hAnsi="宋体"/>
          <w:sz w:val="24"/>
        </w:rPr>
      </w:pPr>
      <w:r>
        <w:rPr>
          <w:rFonts w:hint="eastAsia" w:ascii="宋体" w:hAnsi="宋体"/>
          <w:sz w:val="24"/>
        </w:rPr>
        <w:t>2、业绩证明材料提供合同扫描件，并逐页加盖公章。</w:t>
      </w:r>
    </w:p>
    <w:p>
      <w:pPr>
        <w:rPr>
          <w:rFonts w:ascii="宋体" w:hAnsi="宋体"/>
          <w:sz w:val="22"/>
        </w:rPr>
      </w:pPr>
    </w:p>
    <w:p>
      <w:pPr>
        <w:rPr>
          <w:rFonts w:ascii="宋体" w:hAnsi="宋体"/>
          <w:sz w:val="22"/>
        </w:rPr>
      </w:pPr>
    </w:p>
    <w:p>
      <w:pPr>
        <w:rPr>
          <w:rFonts w:ascii="宋体" w:hAnsi="宋体"/>
          <w:sz w:val="22"/>
        </w:rPr>
      </w:pPr>
    </w:p>
    <w:p>
      <w:pPr>
        <w:widowControl/>
        <w:spacing w:line="420" w:lineRule="atLeast"/>
        <w:jc w:val="left"/>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pStyle w:val="2"/>
        <w:rPr>
          <w:rFonts w:ascii="微软雅黑" w:hAnsi="微软雅黑" w:eastAsia="微软雅黑" w:cs="宋体"/>
          <w:kern w:val="0"/>
          <w:sz w:val="24"/>
          <w:szCs w:val="24"/>
        </w:rPr>
      </w:pPr>
    </w:p>
    <w:p>
      <w:pPr>
        <w:keepNext w:val="0"/>
        <w:keepLines w:val="0"/>
        <w:pageBreakBefore w:val="0"/>
        <w:widowControl/>
        <w:kinsoku/>
        <w:wordWrap/>
        <w:overflowPunct/>
        <w:topLinePunct w:val="0"/>
        <w:bidi w:val="0"/>
        <w:snapToGrid/>
        <w:spacing w:before="156" w:beforeLines="50" w:after="156" w:afterLines="50" w:line="400" w:lineRule="exact"/>
        <w:jc w:val="center"/>
        <w:rPr>
          <w:rFonts w:ascii="宋体" w:hAnsi="宋体" w:eastAsia="宋体" w:cs="宋体"/>
          <w:b/>
          <w:bCs/>
          <w:sz w:val="24"/>
          <w:szCs w:val="24"/>
        </w:rPr>
      </w:pPr>
      <w:r>
        <w:rPr>
          <w:rFonts w:hint="eastAsia" w:ascii="宋体" w:hAnsi="宋体" w:eastAsia="宋体" w:cs="宋体"/>
          <w:b/>
          <w:bCs/>
          <w:sz w:val="24"/>
          <w:szCs w:val="24"/>
        </w:rPr>
        <w:t>合同范本</w:t>
      </w:r>
    </w:p>
    <w:p>
      <w:pPr>
        <w:keepNext w:val="0"/>
        <w:keepLines w:val="0"/>
        <w:pageBreakBefore w:val="0"/>
        <w:kinsoku/>
        <w:wordWrap/>
        <w:overflowPunct/>
        <w:topLinePunct w:val="0"/>
        <w:bidi w:val="0"/>
        <w:snapToGrid/>
        <w:spacing w:line="400" w:lineRule="exact"/>
        <w:ind w:left="0" w:leftChars="0" w:firstLine="660" w:firstLineChars="275"/>
        <w:jc w:val="left"/>
        <w:rPr>
          <w:rFonts w:ascii="宋体" w:hAnsi="宋体"/>
          <w:sz w:val="24"/>
        </w:rPr>
      </w:pPr>
      <w:r>
        <w:rPr>
          <w:rFonts w:hint="eastAsia" w:ascii="宋体" w:hAnsi="宋体"/>
          <w:sz w:val="24"/>
          <w:u w:val="single"/>
        </w:rPr>
        <w:t xml:space="preserve">                       </w:t>
      </w:r>
      <w:r>
        <w:rPr>
          <w:rFonts w:ascii="宋体" w:hAnsi="宋体"/>
          <w:sz w:val="24"/>
        </w:rPr>
        <w:t>（发包人名称，以下简称“</w:t>
      </w:r>
      <w:r>
        <w:rPr>
          <w:rFonts w:hint="eastAsia" w:ascii="宋体" w:hAnsi="宋体"/>
          <w:sz w:val="24"/>
          <w:lang w:val="en-US" w:eastAsia="zh-CN"/>
        </w:rPr>
        <w:t>甲方</w:t>
      </w:r>
      <w:r>
        <w:rPr>
          <w:rFonts w:ascii="宋体" w:hAnsi="宋体"/>
          <w:sz w:val="24"/>
        </w:rPr>
        <w:t>”）为实施</w:t>
      </w:r>
      <w:r>
        <w:rPr>
          <w:rFonts w:hint="eastAsia" w:ascii="宋体" w:hAnsi="宋体"/>
          <w:sz w:val="24"/>
          <w:u w:val="single"/>
        </w:rPr>
        <w:t xml:space="preserve"> 赣定、龙杨高速公路沿线部分UPS电池更换项目  </w:t>
      </w:r>
      <w:r>
        <w:rPr>
          <w:rFonts w:hint="eastAsia" w:ascii="宋体" w:hAnsi="宋体" w:cs="宋体"/>
          <w:bCs/>
          <w:sz w:val="24"/>
        </w:rPr>
        <w:t>项目</w:t>
      </w:r>
      <w:r>
        <w:rPr>
          <w:rFonts w:ascii="宋体" w:hAnsi="宋体"/>
          <w:sz w:val="24"/>
        </w:rPr>
        <w:t>，已接受</w:t>
      </w:r>
      <w:r>
        <w:rPr>
          <w:rFonts w:hint="eastAsia" w:ascii="宋体" w:hAnsi="宋体"/>
          <w:sz w:val="24"/>
          <w:u w:val="single"/>
        </w:rPr>
        <w:t xml:space="preserve">                       </w:t>
      </w:r>
      <w:r>
        <w:rPr>
          <w:rFonts w:ascii="宋体" w:hAnsi="宋体"/>
          <w:sz w:val="24"/>
        </w:rPr>
        <w:t>（承包人名称，以下简称“</w:t>
      </w:r>
      <w:r>
        <w:rPr>
          <w:rFonts w:hint="eastAsia" w:ascii="宋体" w:hAnsi="宋体"/>
          <w:sz w:val="24"/>
          <w:lang w:val="en-US" w:eastAsia="zh-CN"/>
        </w:rPr>
        <w:t>乙方</w:t>
      </w:r>
      <w:r>
        <w:rPr>
          <w:rFonts w:ascii="宋体" w:hAnsi="宋体"/>
          <w:sz w:val="24"/>
        </w:rPr>
        <w:t>”）对该项目施工的</w:t>
      </w:r>
      <w:r>
        <w:rPr>
          <w:rFonts w:hint="eastAsia" w:ascii="宋体" w:hAnsi="宋体"/>
          <w:sz w:val="24"/>
          <w:lang w:val="en-US" w:eastAsia="zh-CN"/>
        </w:rPr>
        <w:t>报价</w:t>
      </w:r>
      <w:r>
        <w:rPr>
          <w:rFonts w:ascii="宋体" w:hAnsi="宋体"/>
          <w:sz w:val="24"/>
        </w:rPr>
        <w:t xml:space="preserve">。 </w:t>
      </w:r>
      <w:r>
        <w:rPr>
          <w:rFonts w:hint="eastAsia" w:ascii="宋体" w:hAnsi="宋体"/>
          <w:sz w:val="24"/>
          <w:lang w:val="en-US" w:eastAsia="zh-CN"/>
        </w:rPr>
        <w:t>甲方</w:t>
      </w:r>
      <w:r>
        <w:rPr>
          <w:rFonts w:ascii="宋体" w:hAnsi="宋体"/>
          <w:sz w:val="24"/>
        </w:rPr>
        <w:t>和</w:t>
      </w:r>
      <w:r>
        <w:rPr>
          <w:rFonts w:hint="eastAsia" w:ascii="宋体" w:hAnsi="宋体"/>
          <w:sz w:val="24"/>
          <w:lang w:val="en-US" w:eastAsia="zh-CN"/>
        </w:rPr>
        <w:t>乙方</w:t>
      </w:r>
      <w:r>
        <w:rPr>
          <w:rFonts w:ascii="宋体" w:hAnsi="宋体"/>
          <w:sz w:val="24"/>
        </w:rPr>
        <w:t>共同达成如下协议。</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下列文件应视为构成合同文件的组成部分</w:t>
      </w:r>
    </w:p>
    <w:p>
      <w:pPr>
        <w:keepNext w:val="0"/>
        <w:keepLines w:val="0"/>
        <w:pageBreakBefore w:val="0"/>
        <w:widowControl/>
        <w:numPr>
          <w:ilvl w:val="0"/>
          <w:numId w:val="1"/>
        </w:numPr>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本合同及各种合同附件（含合同谈判过程中的澄清文件和补充资料等）；</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2、 成交通知书；</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3、 报价函；</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4、 询价邀请函（询价文件）；</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5、 乙方有关人员投入的承诺；</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6、 甲方要求；</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sz w:val="24"/>
          <w:szCs w:val="24"/>
        </w:rPr>
      </w:pPr>
      <w:r>
        <w:rPr>
          <w:rFonts w:hint="eastAsia" w:ascii="宋体" w:hAnsi="宋体" w:eastAsia="宋体" w:cs="宋体"/>
          <w:sz w:val="24"/>
          <w:szCs w:val="24"/>
        </w:rPr>
        <w:t>7、 其他合同文件。</w:t>
      </w:r>
    </w:p>
    <w:p>
      <w:pPr>
        <w:keepNext w:val="0"/>
        <w:keepLines w:val="0"/>
        <w:pageBreakBefore w:val="0"/>
        <w:widowControl/>
        <w:kinsoku/>
        <w:wordWrap/>
        <w:overflowPunct/>
        <w:topLinePunct w:val="0"/>
        <w:bidi w:val="0"/>
        <w:snapToGrid/>
        <w:spacing w:before="120" w:after="120" w:line="400" w:lineRule="exact"/>
        <w:ind w:firstLine="480" w:firstLineChars="200"/>
        <w:rPr>
          <w:rFonts w:ascii="宋体" w:hAnsi="宋体" w:eastAsia="宋体" w:cs="宋体"/>
          <w:b/>
          <w:bCs/>
          <w:sz w:val="24"/>
          <w:szCs w:val="24"/>
        </w:rPr>
      </w:pPr>
      <w:r>
        <w:rPr>
          <w:rFonts w:hint="eastAsia" w:ascii="宋体" w:hAnsi="宋体" w:eastAsia="宋体" w:cs="宋体"/>
          <w:sz w:val="24"/>
          <w:szCs w:val="24"/>
        </w:rPr>
        <w:t>上述合同文件互相补充和解释。如果合同文件之间存在矛盾或不一致之处，以上述文件的排列顺序在先者为准。</w:t>
      </w:r>
    </w:p>
    <w:p>
      <w:pPr>
        <w:keepNext w:val="0"/>
        <w:keepLines w:val="0"/>
        <w:pageBreakBefore w:val="0"/>
        <w:widowControl/>
        <w:kinsoku/>
        <w:wordWrap/>
        <w:overflowPunct/>
        <w:topLinePunct w:val="0"/>
        <w:bidi w:val="0"/>
        <w:snapToGrid/>
        <w:spacing w:before="120" w:after="120" w:line="400" w:lineRule="exact"/>
        <w:ind w:firstLine="482" w:firstLineChars="200"/>
        <w:rPr>
          <w:rFonts w:ascii="宋体" w:hAnsi="宋体" w:eastAsia="宋体" w:cs="宋体"/>
          <w:sz w:val="24"/>
          <w:szCs w:val="24"/>
        </w:rPr>
      </w:pPr>
      <w:r>
        <w:rPr>
          <w:rFonts w:hint="eastAsia" w:ascii="宋体" w:hAnsi="宋体" w:eastAsia="宋体" w:cs="宋体"/>
          <w:b/>
          <w:bCs/>
          <w:sz w:val="24"/>
          <w:szCs w:val="24"/>
        </w:rPr>
        <w:t>第一条、工程项目</w:t>
      </w:r>
    </w:p>
    <w:p>
      <w:pPr>
        <w:keepNext w:val="0"/>
        <w:keepLines w:val="0"/>
        <w:pageBreakBefore w:val="0"/>
        <w:widowControl/>
        <w:kinsoku/>
        <w:wordWrap/>
        <w:overflowPunct/>
        <w:topLinePunct w:val="0"/>
        <w:bidi w:val="0"/>
        <w:snapToGrid/>
        <w:spacing w:before="120" w:after="120" w:line="400" w:lineRule="exact"/>
        <w:ind w:firstLine="480"/>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项目合同</w:t>
      </w:r>
    </w:p>
    <w:p>
      <w:pPr>
        <w:keepNext w:val="0"/>
        <w:keepLines w:val="0"/>
        <w:pageBreakBefore w:val="0"/>
        <w:widowControl/>
        <w:kinsoku/>
        <w:wordWrap/>
        <w:overflowPunct/>
        <w:topLinePunct w:val="0"/>
        <w:bidi w:val="0"/>
        <w:snapToGrid/>
        <w:spacing w:before="120" w:after="120" w:line="400" w:lineRule="exact"/>
        <w:ind w:firstLine="480"/>
        <w:rPr>
          <w:rFonts w:ascii="宋体" w:hAnsi="宋体" w:eastAsia="宋体" w:cs="宋体"/>
          <w:sz w:val="24"/>
          <w:szCs w:val="24"/>
        </w:rPr>
      </w:pPr>
      <w:r>
        <w:rPr>
          <w:rFonts w:hint="eastAsia" w:ascii="宋体" w:hAnsi="宋体" w:eastAsia="宋体" w:cs="宋体"/>
          <w:sz w:val="24"/>
          <w:szCs w:val="24"/>
        </w:rPr>
        <w:t>2、工程地点：</w:t>
      </w:r>
      <w:r>
        <w:rPr>
          <w:rFonts w:hint="eastAsia" w:ascii="宋体" w:hAnsi="宋体" w:eastAsia="宋体" w:cs="宋体"/>
          <w:sz w:val="24"/>
          <w:szCs w:val="24"/>
          <w:u w:val="single"/>
        </w:rPr>
        <w:t xml:space="preserve">                        </w:t>
      </w:r>
    </w:p>
    <w:p>
      <w:pPr>
        <w:keepNext w:val="0"/>
        <w:keepLines w:val="0"/>
        <w:pageBreakBefore w:val="0"/>
        <w:widowControl/>
        <w:kinsoku/>
        <w:wordWrap/>
        <w:overflowPunct/>
        <w:topLinePunct w:val="0"/>
        <w:bidi w:val="0"/>
        <w:snapToGrid/>
        <w:spacing w:before="120" w:after="120" w:line="400" w:lineRule="exact"/>
        <w:ind w:firstLine="480"/>
        <w:rPr>
          <w:rFonts w:hint="eastAsia" w:ascii="宋体" w:hAnsi="宋体" w:eastAsia="宋体" w:cs="宋体"/>
          <w:sz w:val="24"/>
          <w:szCs w:val="24"/>
        </w:rPr>
      </w:pPr>
      <w:r>
        <w:rPr>
          <w:rFonts w:hint="eastAsia" w:ascii="宋体" w:hAnsi="宋体" w:eastAsia="宋体" w:cs="宋体"/>
          <w:sz w:val="24"/>
          <w:szCs w:val="24"/>
        </w:rPr>
        <w:t>3、承包范围和内容：</w:t>
      </w:r>
      <w:r>
        <w:rPr>
          <w:rFonts w:hint="eastAsia" w:ascii="宋体" w:hAnsi="宋体" w:eastAsia="宋体" w:cs="宋体"/>
          <w:sz w:val="24"/>
          <w:szCs w:val="24"/>
          <w:u w:val="single"/>
        </w:rPr>
        <w:t xml:space="preserve">                      </w:t>
      </w:r>
      <w:r>
        <w:rPr>
          <w:rFonts w:hint="eastAsia" w:ascii="宋体" w:hAnsi="宋体" w:eastAsia="宋体" w:cs="宋体"/>
          <w:sz w:val="24"/>
          <w:szCs w:val="24"/>
        </w:rPr>
        <w:t>（附工程清单）。</w:t>
      </w:r>
    </w:p>
    <w:p>
      <w:pPr>
        <w:keepNext w:val="0"/>
        <w:keepLines w:val="0"/>
        <w:pageBreakBefore w:val="0"/>
        <w:widowControl/>
        <w:kinsoku/>
        <w:wordWrap/>
        <w:overflowPunct/>
        <w:topLinePunct w:val="0"/>
        <w:bidi w:val="0"/>
        <w:snapToGrid/>
        <w:spacing w:before="120" w:after="120" w:line="400" w:lineRule="exact"/>
        <w:ind w:firstLine="480"/>
        <w:rPr>
          <w:rFonts w:hint="eastAsia" w:ascii="宋体" w:hAnsi="宋体" w:eastAsia="宋体" w:cs="宋体"/>
          <w:sz w:val="24"/>
          <w:szCs w:val="24"/>
        </w:rPr>
      </w:pPr>
      <w:r>
        <w:rPr>
          <w:rFonts w:hint="eastAsia" w:ascii="宋体" w:hAnsi="宋体" w:eastAsia="宋体" w:cs="宋体"/>
          <w:sz w:val="24"/>
          <w:szCs w:val="24"/>
        </w:rPr>
        <w:t>4、工程总价(含税)：（大写）：</w:t>
      </w:r>
      <w:r>
        <w:rPr>
          <w:rFonts w:hint="eastAsia" w:ascii="宋体" w:hAnsi="宋体" w:eastAsia="宋体" w:cs="宋体"/>
          <w:sz w:val="24"/>
          <w:szCs w:val="24"/>
          <w:u w:val="single"/>
        </w:rPr>
        <w:t xml:space="preserve">           </w:t>
      </w: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pStyle w:val="2"/>
        <w:keepNext w:val="0"/>
        <w:keepLines w:val="0"/>
        <w:pageBreakBefore w:val="0"/>
        <w:kinsoku/>
        <w:wordWrap/>
        <w:overflowPunct/>
        <w:topLinePunct w:val="0"/>
        <w:bidi w:val="0"/>
        <w:snapToGrid/>
        <w:spacing w:line="400" w:lineRule="exact"/>
        <w:jc w:val="center"/>
        <w:rPr>
          <w:rFonts w:hint="default" w:eastAsia="宋体"/>
          <w:b/>
          <w:bCs/>
          <w:lang w:val="en-US" w:eastAsia="zh-CN"/>
        </w:rPr>
      </w:pPr>
      <w:r>
        <w:rPr>
          <w:rFonts w:hint="eastAsia" w:ascii="宋体" w:hAnsi="宋体" w:eastAsia="宋体" w:cs="宋体"/>
          <w:b/>
          <w:bCs/>
          <w:sz w:val="24"/>
          <w:szCs w:val="24"/>
          <w:lang w:val="en-US" w:eastAsia="zh-CN"/>
        </w:rPr>
        <w:t>工程量清单</w:t>
      </w:r>
    </w:p>
    <w:tbl>
      <w:tblPr>
        <w:tblStyle w:val="10"/>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316"/>
        <w:gridCol w:w="1232"/>
        <w:gridCol w:w="431"/>
        <w:gridCol w:w="720"/>
        <w:gridCol w:w="1007"/>
        <w:gridCol w:w="1584"/>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1" w:type="dxa"/>
            <w:vAlign w:val="center"/>
          </w:tcPr>
          <w:p>
            <w:pPr>
              <w:widowControl/>
              <w:jc w:val="center"/>
              <w:rPr>
                <w:rFonts w:asciiTheme="minorEastAsia" w:hAnsiTheme="minorEastAsia"/>
                <w:kern w:val="0"/>
                <w:sz w:val="24"/>
                <w:szCs w:val="24"/>
              </w:rPr>
            </w:pPr>
            <w:r>
              <w:rPr>
                <w:rFonts w:hint="eastAsia" w:asciiTheme="minorEastAsia" w:hAnsiTheme="minorEastAsia"/>
                <w:sz w:val="24"/>
                <w:szCs w:val="24"/>
              </w:rPr>
              <w:t>项目</w:t>
            </w:r>
          </w:p>
        </w:tc>
        <w:tc>
          <w:tcPr>
            <w:tcW w:w="1316" w:type="dxa"/>
            <w:vAlign w:val="center"/>
          </w:tcPr>
          <w:p>
            <w:pPr>
              <w:jc w:val="center"/>
              <w:rPr>
                <w:rFonts w:asciiTheme="minorEastAsia" w:hAnsiTheme="minorEastAsia"/>
                <w:sz w:val="24"/>
                <w:szCs w:val="24"/>
              </w:rPr>
            </w:pPr>
            <w:r>
              <w:rPr>
                <w:rFonts w:hint="eastAsia" w:asciiTheme="minorEastAsia" w:hAnsiTheme="minorEastAsia"/>
                <w:sz w:val="24"/>
                <w:szCs w:val="24"/>
              </w:rPr>
              <w:t>名称</w:t>
            </w:r>
          </w:p>
        </w:tc>
        <w:tc>
          <w:tcPr>
            <w:tcW w:w="1232" w:type="dxa"/>
            <w:vAlign w:val="center"/>
          </w:tcPr>
          <w:p>
            <w:pPr>
              <w:jc w:val="center"/>
              <w:rPr>
                <w:rFonts w:asciiTheme="minorEastAsia" w:hAnsiTheme="minorEastAsia"/>
                <w:sz w:val="24"/>
                <w:szCs w:val="24"/>
              </w:rPr>
            </w:pPr>
            <w:r>
              <w:rPr>
                <w:rFonts w:hint="eastAsia" w:asciiTheme="minorEastAsia" w:hAnsiTheme="minorEastAsia"/>
                <w:sz w:val="24"/>
                <w:szCs w:val="24"/>
              </w:rPr>
              <w:t>型号</w:t>
            </w:r>
          </w:p>
        </w:tc>
        <w:tc>
          <w:tcPr>
            <w:tcW w:w="431" w:type="dxa"/>
            <w:vAlign w:val="center"/>
          </w:tcPr>
          <w:p>
            <w:pPr>
              <w:jc w:val="center"/>
              <w:rPr>
                <w:rFonts w:asciiTheme="minorEastAsia" w:hAnsiTheme="minorEastAsia"/>
                <w:sz w:val="24"/>
                <w:szCs w:val="24"/>
              </w:rPr>
            </w:pPr>
            <w:r>
              <w:rPr>
                <w:rFonts w:hint="eastAsia" w:asciiTheme="minorEastAsia" w:hAnsiTheme="minorEastAsia"/>
                <w:sz w:val="24"/>
                <w:szCs w:val="24"/>
              </w:rPr>
              <w:t>单位</w:t>
            </w:r>
          </w:p>
        </w:tc>
        <w:tc>
          <w:tcPr>
            <w:tcW w:w="720" w:type="dxa"/>
            <w:vAlign w:val="center"/>
          </w:tcPr>
          <w:p>
            <w:pPr>
              <w:jc w:val="center"/>
              <w:rPr>
                <w:rFonts w:asciiTheme="minorEastAsia" w:hAnsiTheme="minorEastAsia"/>
                <w:sz w:val="24"/>
                <w:szCs w:val="24"/>
              </w:rPr>
            </w:pPr>
            <w:r>
              <w:rPr>
                <w:rFonts w:hint="eastAsia" w:asciiTheme="minorEastAsia" w:hAnsiTheme="minorEastAsia"/>
                <w:sz w:val="24"/>
                <w:szCs w:val="24"/>
              </w:rPr>
              <w:t>数量</w:t>
            </w:r>
          </w:p>
        </w:tc>
        <w:tc>
          <w:tcPr>
            <w:tcW w:w="1007" w:type="dxa"/>
            <w:vAlign w:val="center"/>
          </w:tcPr>
          <w:p>
            <w:pPr>
              <w:jc w:val="center"/>
              <w:rPr>
                <w:rFonts w:asciiTheme="minorEastAsia" w:hAnsiTheme="minorEastAsia"/>
                <w:sz w:val="24"/>
                <w:szCs w:val="24"/>
              </w:rPr>
            </w:pPr>
            <w:r>
              <w:rPr>
                <w:rFonts w:hint="eastAsia" w:asciiTheme="minorEastAsia" w:hAnsiTheme="minorEastAsia"/>
                <w:sz w:val="24"/>
                <w:szCs w:val="24"/>
              </w:rPr>
              <w:t>单价</w:t>
            </w:r>
          </w:p>
        </w:tc>
        <w:tc>
          <w:tcPr>
            <w:tcW w:w="1584" w:type="dxa"/>
            <w:vAlign w:val="center"/>
          </w:tcPr>
          <w:p>
            <w:pPr>
              <w:jc w:val="center"/>
              <w:rPr>
                <w:rFonts w:asciiTheme="minorEastAsia" w:hAnsiTheme="minorEastAsia"/>
                <w:sz w:val="24"/>
                <w:szCs w:val="24"/>
              </w:rPr>
            </w:pPr>
            <w:r>
              <w:rPr>
                <w:rFonts w:hint="eastAsia" w:asciiTheme="minorEastAsia" w:hAnsiTheme="minorEastAsia"/>
                <w:sz w:val="24"/>
                <w:szCs w:val="24"/>
              </w:rPr>
              <w:t>总价</w:t>
            </w:r>
          </w:p>
        </w:tc>
        <w:tc>
          <w:tcPr>
            <w:tcW w:w="2295" w:type="dxa"/>
            <w:vAlign w:val="center"/>
          </w:tcPr>
          <w:p>
            <w:pPr>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收费系统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65</w:t>
            </w:r>
            <w:r>
              <w:rPr>
                <w:rFonts w:hint="eastAsia" w:cs="宋体" w:asciiTheme="minorEastAsia" w:hAnsiTheme="minorEastAsia"/>
                <w:kern w:val="0"/>
                <w:sz w:val="24"/>
                <w:szCs w:val="24"/>
              </w:rPr>
              <w:t>AH</w:t>
            </w:r>
          </w:p>
        </w:tc>
        <w:tc>
          <w:tcPr>
            <w:tcW w:w="431"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cs="宋体" w:asciiTheme="minorEastAsia" w:hAnsiTheme="minorEastAsia"/>
                <w:kern w:val="0"/>
                <w:sz w:val="24"/>
                <w:szCs w:val="24"/>
              </w:rPr>
              <w:t>200</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耐高温型</w:t>
            </w:r>
            <w:r>
              <w:rPr>
                <w:rFonts w:asciiTheme="minorEastAsia" w:hAnsiTheme="minorEastAsia"/>
                <w:sz w:val="24"/>
                <w:szCs w:val="24"/>
              </w:rPr>
              <w:t xml:space="preserve"> </w:t>
            </w:r>
            <w:r>
              <w:rPr>
                <w:rFonts w:hint="eastAsia" w:asciiTheme="minorEastAsia" w:hAnsiTheme="minorEastAsia"/>
                <w:sz w:val="24"/>
                <w:szCs w:val="24"/>
              </w:rPr>
              <w:t>赣定路段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通信系统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100</w:t>
            </w:r>
            <w:r>
              <w:rPr>
                <w:rFonts w:hint="eastAsia" w:cs="宋体" w:asciiTheme="minorEastAsia" w:hAnsiTheme="minorEastAsia"/>
                <w:kern w:val="0"/>
                <w:sz w:val="24"/>
                <w:szCs w:val="24"/>
              </w:rPr>
              <w:t>AH</w:t>
            </w:r>
          </w:p>
        </w:tc>
        <w:tc>
          <w:tcPr>
            <w:tcW w:w="431"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cs="宋体" w:asciiTheme="minorEastAsia" w:hAnsiTheme="minorEastAsia"/>
                <w:kern w:val="0"/>
                <w:sz w:val="24"/>
                <w:szCs w:val="24"/>
              </w:rPr>
              <w:t>60</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耐高温型</w:t>
            </w:r>
            <w:r>
              <w:rPr>
                <w:rFonts w:asciiTheme="minorEastAsia" w:hAnsiTheme="minorEastAsia"/>
                <w:sz w:val="24"/>
                <w:szCs w:val="24"/>
              </w:rPr>
              <w:t xml:space="preserve"> </w:t>
            </w:r>
            <w:r>
              <w:rPr>
                <w:rFonts w:hint="eastAsia" w:asciiTheme="minorEastAsia" w:hAnsiTheme="minorEastAsia"/>
                <w:sz w:val="24"/>
                <w:szCs w:val="24"/>
              </w:rPr>
              <w:t>赣定路段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收费系统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w:t>
            </w:r>
            <w:r>
              <w:rPr>
                <w:rFonts w:cs="宋体" w:asciiTheme="minorEastAsia" w:hAnsiTheme="minorEastAsia"/>
                <w:kern w:val="0"/>
                <w:sz w:val="24"/>
                <w:szCs w:val="24"/>
              </w:rPr>
              <w:t>80</w:t>
            </w:r>
            <w:r>
              <w:rPr>
                <w:rFonts w:hint="eastAsia" w:cs="宋体" w:asciiTheme="minorEastAsia" w:hAnsiTheme="minorEastAsia"/>
                <w:kern w:val="0"/>
                <w:sz w:val="24"/>
                <w:szCs w:val="24"/>
              </w:rPr>
              <w:t>AH</w:t>
            </w:r>
          </w:p>
        </w:tc>
        <w:tc>
          <w:tcPr>
            <w:tcW w:w="43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cs="宋体" w:asciiTheme="minorEastAsia" w:hAnsiTheme="minorEastAsia"/>
                <w:kern w:val="0"/>
                <w:sz w:val="24"/>
                <w:szCs w:val="24"/>
              </w:rPr>
              <w:t>320</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 xml:space="preserve">耐高温型 </w:t>
            </w:r>
            <w:r>
              <w:rPr>
                <w:rFonts w:hint="eastAsia" w:cs="宋体" w:asciiTheme="minorEastAsia" w:hAnsiTheme="minorEastAsia"/>
                <w:kern w:val="0"/>
                <w:sz w:val="24"/>
                <w:szCs w:val="24"/>
              </w:rPr>
              <w:t>龙杨</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通信系统</w:t>
            </w:r>
          </w:p>
        </w:tc>
        <w:tc>
          <w:tcPr>
            <w:tcW w:w="1316" w:type="dxa"/>
            <w:vAlign w:val="center"/>
          </w:tcPr>
          <w:p>
            <w:pPr>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jc w:val="center"/>
              <w:rPr>
                <w:rFonts w:cs="宋体" w:asciiTheme="minorEastAsia" w:hAnsiTheme="minorEastAsia"/>
                <w:kern w:val="0"/>
                <w:sz w:val="24"/>
                <w:szCs w:val="24"/>
              </w:rPr>
            </w:pPr>
            <w:r>
              <w:rPr>
                <w:rFonts w:cs="宋体" w:asciiTheme="minorEastAsia" w:hAnsiTheme="minorEastAsia"/>
                <w:kern w:val="0"/>
                <w:sz w:val="24"/>
                <w:szCs w:val="24"/>
              </w:rPr>
              <w:t>12V100AH</w:t>
            </w:r>
          </w:p>
        </w:tc>
        <w:tc>
          <w:tcPr>
            <w:tcW w:w="431" w:type="dxa"/>
            <w:vAlign w:val="center"/>
          </w:tcPr>
          <w:p>
            <w:pPr>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jc w:val="center"/>
              <w:rPr>
                <w:rFonts w:cs="宋体" w:asciiTheme="minorEastAsia" w:hAnsiTheme="minorEastAsia"/>
                <w:kern w:val="0"/>
                <w:sz w:val="24"/>
                <w:szCs w:val="24"/>
              </w:rPr>
            </w:pPr>
            <w:r>
              <w:rPr>
                <w:rFonts w:cs="宋体" w:asciiTheme="minorEastAsia" w:hAnsiTheme="minorEastAsia"/>
                <w:kern w:val="0"/>
                <w:sz w:val="24"/>
                <w:szCs w:val="24"/>
              </w:rPr>
              <w:t>32</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 xml:space="preserve">耐高温型 </w:t>
            </w:r>
            <w:r>
              <w:rPr>
                <w:rFonts w:hint="eastAsia" w:cs="宋体" w:asciiTheme="minorEastAsia" w:hAnsiTheme="minorEastAsia"/>
                <w:kern w:val="0"/>
                <w:sz w:val="24"/>
                <w:szCs w:val="24"/>
              </w:rPr>
              <w:t>龙杨</w:t>
            </w:r>
            <w:r>
              <w:rPr>
                <w:rFonts w:cs="宋体" w:asciiTheme="minorEastAsia" w:hAnsiTheme="minorEastAsia"/>
                <w:kern w:val="0"/>
                <w:sz w:val="24"/>
                <w:szCs w:val="24"/>
              </w:rPr>
              <w:t>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1" w:type="dxa"/>
            <w:vAlign w:val="center"/>
          </w:tcPr>
          <w:p>
            <w:pPr>
              <w:widowControl/>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监控系统</w:t>
            </w:r>
          </w:p>
        </w:tc>
        <w:tc>
          <w:tcPr>
            <w:tcW w:w="1316"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UPS电池</w:t>
            </w:r>
          </w:p>
        </w:tc>
        <w:tc>
          <w:tcPr>
            <w:tcW w:w="1232"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12V17AH</w:t>
            </w:r>
          </w:p>
        </w:tc>
        <w:tc>
          <w:tcPr>
            <w:tcW w:w="431"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只</w:t>
            </w:r>
          </w:p>
        </w:tc>
        <w:tc>
          <w:tcPr>
            <w:tcW w:w="720" w:type="dxa"/>
            <w:vAlign w:val="center"/>
          </w:tcPr>
          <w:p>
            <w:pPr>
              <w:spacing w:line="420" w:lineRule="atLeast"/>
              <w:jc w:val="center"/>
              <w:rPr>
                <w:rFonts w:cs="宋体" w:asciiTheme="minorEastAsia" w:hAnsiTheme="minorEastAsia"/>
                <w:kern w:val="0"/>
                <w:sz w:val="24"/>
                <w:szCs w:val="24"/>
              </w:rPr>
            </w:pPr>
            <w:r>
              <w:rPr>
                <w:rFonts w:hint="eastAsia" w:cs="宋体" w:asciiTheme="minorEastAsia" w:hAnsiTheme="minorEastAsia"/>
                <w:kern w:val="0"/>
                <w:sz w:val="24"/>
                <w:szCs w:val="24"/>
              </w:rPr>
              <w:t>64</w:t>
            </w:r>
          </w:p>
        </w:tc>
        <w:tc>
          <w:tcPr>
            <w:tcW w:w="1007"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1584" w:type="dxa"/>
            <w:vAlign w:val="center"/>
          </w:tcPr>
          <w:p>
            <w:pPr>
              <w:widowControl/>
              <w:jc w:val="center"/>
              <w:rPr>
                <w:rFonts w:asciiTheme="minorEastAsia" w:hAnsiTheme="minorEastAsia"/>
                <w:sz w:val="24"/>
                <w:szCs w:val="24"/>
              </w:rPr>
            </w:pPr>
            <w:r>
              <w:rPr>
                <w:rFonts w:asciiTheme="minorEastAsia" w:hAnsiTheme="minorEastAsia"/>
                <w:sz w:val="24"/>
                <w:szCs w:val="24"/>
              </w:rPr>
              <w:t>　</w:t>
            </w:r>
          </w:p>
        </w:tc>
        <w:tc>
          <w:tcPr>
            <w:tcW w:w="2295" w:type="dxa"/>
            <w:vAlign w:val="center"/>
          </w:tcPr>
          <w:p>
            <w:pPr>
              <w:widowControl/>
              <w:jc w:val="center"/>
              <w:rPr>
                <w:rFonts w:asciiTheme="minorEastAsia" w:hAnsiTheme="minorEastAsia"/>
                <w:sz w:val="24"/>
                <w:szCs w:val="24"/>
              </w:rPr>
            </w:pPr>
            <w:r>
              <w:rPr>
                <w:rFonts w:hint="eastAsia" w:asciiTheme="minorEastAsia" w:hAnsiTheme="minorEastAsia"/>
                <w:sz w:val="24"/>
                <w:szCs w:val="24"/>
              </w:rPr>
              <w:t xml:space="preserve">耐高温型 </w:t>
            </w:r>
            <w:r>
              <w:rPr>
                <w:rFonts w:hint="eastAsia" w:cs="宋体" w:asciiTheme="minorEastAsia" w:hAnsiTheme="minorEastAsia"/>
                <w:kern w:val="0"/>
                <w:sz w:val="24"/>
                <w:szCs w:val="24"/>
              </w:rPr>
              <w:t>龙杨</w:t>
            </w:r>
            <w:r>
              <w:rPr>
                <w:rFonts w:cs="宋体" w:asciiTheme="minorEastAsia" w:hAnsiTheme="minorEastAsia"/>
                <w:kern w:val="0"/>
                <w:sz w:val="24"/>
                <w:szCs w:val="24"/>
              </w:rPr>
              <w:t>路段</w:t>
            </w:r>
          </w:p>
        </w:tc>
      </w:tr>
    </w:tbl>
    <w:p>
      <w:pPr>
        <w:keepNext w:val="0"/>
        <w:keepLines w:val="0"/>
        <w:pageBreakBefore w:val="0"/>
        <w:widowControl/>
        <w:kinsoku/>
        <w:wordWrap/>
        <w:overflowPunct/>
        <w:topLinePunct w:val="0"/>
        <w:bidi w:val="0"/>
        <w:snapToGrid/>
        <w:spacing w:line="400" w:lineRule="exact"/>
        <w:textAlignment w:val="center"/>
        <w:rPr>
          <w:rFonts w:hint="eastAsia" w:ascii="宋体" w:hAnsi="宋体" w:eastAsia="宋体" w:cs="宋体"/>
          <w:b w:val="0"/>
          <w:bCs w:val="0"/>
          <w:sz w:val="24"/>
          <w:szCs w:val="24"/>
        </w:rPr>
      </w:pPr>
      <w:r>
        <w:rPr>
          <w:rFonts w:hint="eastAsia" w:asciiTheme="minorEastAsia" w:hAnsiTheme="minorEastAsia" w:cstheme="minorEastAsia"/>
          <w:b w:val="0"/>
          <w:bCs w:val="0"/>
          <w:sz w:val="20"/>
          <w:szCs w:val="20"/>
        </w:rPr>
        <w:t>1、</w:t>
      </w:r>
      <w:r>
        <w:rPr>
          <w:rFonts w:hint="eastAsia" w:asciiTheme="minorEastAsia" w:hAnsiTheme="minorEastAsia" w:cstheme="minorEastAsia"/>
          <w:b w:val="0"/>
          <w:bCs w:val="0"/>
          <w:sz w:val="20"/>
          <w:szCs w:val="20"/>
          <w:lang w:val="en-US" w:eastAsia="zh-CN"/>
        </w:rPr>
        <w:t>单价</w:t>
      </w:r>
      <w:r>
        <w:rPr>
          <w:rFonts w:hint="eastAsia" w:asciiTheme="minorEastAsia" w:hAnsiTheme="minorEastAsia" w:cstheme="minorEastAsia"/>
          <w:b w:val="0"/>
          <w:bCs w:val="0"/>
          <w:sz w:val="20"/>
          <w:szCs w:val="20"/>
        </w:rPr>
        <w:t>包含实施和完成项目所需的劳务、材料、机械、质检（自检）、安装、咨询</w:t>
      </w:r>
      <w:r>
        <w:rPr>
          <w:rFonts w:hint="eastAsia" w:asciiTheme="minorEastAsia" w:hAnsiTheme="minorEastAsia" w:cstheme="minorEastAsia"/>
          <w:b w:val="0"/>
          <w:bCs w:val="0"/>
          <w:sz w:val="20"/>
          <w:szCs w:val="20"/>
          <w:lang w:eastAsia="zh-CN"/>
        </w:rPr>
        <w:t>、</w:t>
      </w:r>
      <w:r>
        <w:rPr>
          <w:rFonts w:hint="eastAsia" w:asciiTheme="minorEastAsia" w:hAnsiTheme="minorEastAsia" w:cstheme="minorEastAsia"/>
          <w:b w:val="0"/>
          <w:bCs w:val="0"/>
          <w:sz w:val="20"/>
          <w:szCs w:val="20"/>
          <w:lang w:val="en-US" w:eastAsia="zh-CN"/>
        </w:rPr>
        <w:t>调试</w:t>
      </w:r>
      <w:r>
        <w:rPr>
          <w:rFonts w:hint="eastAsia" w:asciiTheme="minorEastAsia" w:hAnsiTheme="minorEastAsia" w:cstheme="minorEastAsia"/>
          <w:b w:val="0"/>
          <w:bCs w:val="0"/>
          <w:sz w:val="20"/>
          <w:szCs w:val="20"/>
        </w:rPr>
        <w:t>、</w:t>
      </w:r>
      <w:r>
        <w:rPr>
          <w:rFonts w:hint="eastAsia" w:asciiTheme="minorEastAsia" w:hAnsiTheme="minorEastAsia" w:cstheme="minorEastAsia"/>
          <w:b w:val="0"/>
          <w:bCs w:val="0"/>
          <w:sz w:val="20"/>
          <w:szCs w:val="20"/>
          <w:lang w:val="en-US" w:eastAsia="zh-CN"/>
        </w:rPr>
        <w:t>后续服务、安全、</w:t>
      </w:r>
      <w:r>
        <w:rPr>
          <w:rFonts w:hint="eastAsia" w:asciiTheme="minorEastAsia" w:hAnsiTheme="minorEastAsia" w:cstheme="minorEastAsia"/>
          <w:b w:val="0"/>
          <w:bCs w:val="0"/>
          <w:sz w:val="20"/>
          <w:szCs w:val="20"/>
        </w:rPr>
        <w:t>交通、管理、保险、税费、利润等所有费用，</w:t>
      </w:r>
      <w:r>
        <w:rPr>
          <w:rFonts w:hint="eastAsia" w:asciiTheme="minorEastAsia" w:hAnsiTheme="minorEastAsia" w:cstheme="minorEastAsia"/>
          <w:b w:val="0"/>
          <w:bCs w:val="0"/>
          <w:sz w:val="20"/>
          <w:szCs w:val="20"/>
          <w:lang w:val="en-US" w:eastAsia="zh-CN"/>
        </w:rPr>
        <w:t>甲方</w:t>
      </w:r>
      <w:r>
        <w:rPr>
          <w:rFonts w:hint="eastAsia" w:asciiTheme="minorEastAsia" w:hAnsiTheme="minorEastAsia" w:cstheme="minorEastAsia"/>
          <w:b w:val="0"/>
          <w:bCs w:val="0"/>
          <w:sz w:val="20"/>
          <w:szCs w:val="20"/>
        </w:rPr>
        <w:t>不再另行支付其他费用。</w:t>
      </w:r>
      <w:r>
        <w:rPr>
          <w:rFonts w:hint="eastAsia" w:asciiTheme="minorEastAsia" w:hAnsiTheme="minorEastAsia" w:cstheme="minorEastAsia"/>
          <w:b w:val="0"/>
          <w:bCs w:val="0"/>
          <w:sz w:val="20"/>
          <w:szCs w:val="20"/>
          <w:lang w:val="en-US" w:eastAsia="zh-CN"/>
        </w:rPr>
        <w:t>2</w:t>
      </w:r>
      <w:r>
        <w:rPr>
          <w:rFonts w:hint="eastAsia" w:asciiTheme="minorEastAsia" w:hAnsiTheme="minorEastAsia" w:cstheme="minorEastAsia"/>
          <w:b w:val="0"/>
          <w:bCs w:val="0"/>
          <w:sz w:val="20"/>
          <w:szCs w:val="20"/>
        </w:rPr>
        <w:t>、本工程量清单中所列工程量数量是估算的预计数量，仅作为报价的共同基础，不能作为最终结算与支付的依据</w:t>
      </w:r>
      <w:r>
        <w:rPr>
          <w:rFonts w:hint="eastAsia" w:asciiTheme="minorEastAsia" w:hAnsiTheme="minorEastAsia" w:cstheme="minorEastAsia"/>
          <w:b w:val="0"/>
          <w:bCs w:val="0"/>
          <w:sz w:val="20"/>
          <w:szCs w:val="20"/>
          <w:lang w:eastAsia="zh-CN"/>
        </w:rPr>
        <w:t>，</w:t>
      </w:r>
      <w:r>
        <w:rPr>
          <w:rFonts w:hint="eastAsia" w:asciiTheme="minorEastAsia" w:hAnsiTheme="minorEastAsia" w:cstheme="minorEastAsia"/>
          <w:b w:val="0"/>
          <w:bCs w:val="0"/>
          <w:sz w:val="20"/>
          <w:szCs w:val="20"/>
        </w:rPr>
        <w:t>实际支付按实际完成的工程量，以本工程量清单的单价</w:t>
      </w:r>
      <w:r>
        <w:rPr>
          <w:rFonts w:hint="eastAsia" w:asciiTheme="minorEastAsia" w:hAnsiTheme="minorEastAsia" w:cstheme="minorEastAsia"/>
          <w:b w:val="0"/>
          <w:bCs w:val="0"/>
          <w:sz w:val="20"/>
          <w:szCs w:val="20"/>
          <w:lang w:val="en-US" w:eastAsia="zh-CN"/>
        </w:rPr>
        <w:t>进行</w:t>
      </w:r>
      <w:r>
        <w:rPr>
          <w:rFonts w:hint="eastAsia" w:asciiTheme="minorEastAsia" w:hAnsiTheme="minorEastAsia" w:cstheme="minorEastAsia"/>
          <w:b w:val="0"/>
          <w:bCs w:val="0"/>
          <w:sz w:val="20"/>
          <w:szCs w:val="20"/>
        </w:rPr>
        <w:t>支付。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5、工程量如有变更，乙方需按照甲方的规定向甲方提出书面申请，经甲方审核同意后按实际发生的工程量结算。</w:t>
      </w:r>
    </w:p>
    <w:p>
      <w:pPr>
        <w:keepNext w:val="0"/>
        <w:keepLines w:val="0"/>
        <w:pageBreakBefore w:val="0"/>
        <w:widowControl/>
        <w:kinsoku/>
        <w:wordWrap/>
        <w:overflowPunct/>
        <w:topLinePunct w:val="0"/>
        <w:bidi w:val="0"/>
        <w:snapToGrid/>
        <w:spacing w:before="120" w:after="120" w:line="400" w:lineRule="exact"/>
        <w:ind w:firstLine="482" w:firstLineChars="200"/>
        <w:rPr>
          <w:rFonts w:ascii="宋体" w:hAnsi="宋体" w:eastAsia="宋体" w:cs="宋体"/>
          <w:bCs/>
          <w:sz w:val="24"/>
          <w:szCs w:val="24"/>
        </w:rPr>
      </w:pPr>
      <w:r>
        <w:rPr>
          <w:rFonts w:hint="eastAsia" w:ascii="宋体" w:hAnsi="宋体" w:eastAsia="宋体" w:cs="宋体"/>
          <w:b/>
          <w:sz w:val="24"/>
          <w:szCs w:val="24"/>
        </w:rPr>
        <w:t>第二条、工程期限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1、本工程期限：签订合同之日起</w:t>
      </w:r>
      <w:r>
        <w:rPr>
          <w:rFonts w:hint="eastAsia" w:ascii="宋体" w:hAnsi="宋体"/>
          <w:color w:val="000000"/>
          <w:sz w:val="24"/>
          <w:u w:val="single"/>
          <w:lang w:val="en-US" w:eastAsia="zh-CN"/>
        </w:rPr>
        <w:t>60</w:t>
      </w:r>
      <w:r>
        <w:rPr>
          <w:rFonts w:hint="eastAsia" w:ascii="宋体" w:hAnsi="宋体"/>
          <w:color w:val="000000"/>
          <w:sz w:val="24"/>
          <w:lang w:val="en-US" w:eastAsia="zh-CN"/>
        </w:rPr>
        <w:t>日内完成工程施工，如未完成，逾期违约金：1000元/天。如因乙方原因未能在约定工期内按照约定标准完成所有任务，甲方有权单方解除本合同，且无需支付乙方任何费用。</w:t>
      </w:r>
    </w:p>
    <w:p>
      <w:pPr>
        <w:keepNext w:val="0"/>
        <w:keepLines w:val="0"/>
        <w:pageBreakBefore w:val="0"/>
        <w:widowControl/>
        <w:kinsoku/>
        <w:wordWrap/>
        <w:overflowPunct/>
        <w:topLinePunct w:val="0"/>
        <w:bidi w:val="0"/>
        <w:snapToGrid/>
        <w:spacing w:before="120" w:after="120" w:line="400" w:lineRule="exact"/>
        <w:ind w:firstLine="482" w:firstLineChars="200"/>
        <w:rPr>
          <w:rFonts w:ascii="宋体" w:hAnsi="宋体" w:eastAsia="宋体" w:cs="宋体"/>
          <w:b/>
          <w:sz w:val="24"/>
          <w:szCs w:val="24"/>
        </w:rPr>
      </w:pPr>
      <w:r>
        <w:rPr>
          <w:rFonts w:hint="eastAsia" w:ascii="宋体" w:hAnsi="宋体" w:eastAsia="宋体" w:cs="宋体"/>
          <w:b/>
          <w:sz w:val="24"/>
          <w:szCs w:val="24"/>
        </w:rPr>
        <w:t xml:space="preserve">第三条：双方的权利及义务                              </w:t>
      </w:r>
    </w:p>
    <w:p>
      <w:pPr>
        <w:keepNext w:val="0"/>
        <w:keepLines w:val="0"/>
        <w:pageBreakBefore w:val="0"/>
        <w:widowControl/>
        <w:kinsoku/>
        <w:wordWrap/>
        <w:overflowPunct/>
        <w:topLinePunct w:val="0"/>
        <w:bidi w:val="0"/>
        <w:snapToGrid/>
        <w:spacing w:line="400" w:lineRule="exact"/>
        <w:ind w:firstLine="549" w:firstLineChars="229"/>
        <w:rPr>
          <w:rFonts w:ascii="宋体" w:hAnsi="宋体" w:eastAsia="宋体" w:cs="宋体"/>
          <w:sz w:val="24"/>
          <w:szCs w:val="24"/>
        </w:rPr>
      </w:pPr>
      <w:r>
        <w:rPr>
          <w:rFonts w:hint="eastAsia" w:ascii="宋体" w:hAnsi="宋体" w:eastAsia="宋体" w:cs="宋体"/>
          <w:sz w:val="24"/>
          <w:szCs w:val="24"/>
        </w:rPr>
        <w:t>1、乙方必须严格按照询价公告附件清单上的标准提供：；负责项目的运输、安装、调试及甲方操作人员的免费技术培训（如有），如乙方提供的产品与附件清单要求不符，</w:t>
      </w:r>
      <w:r>
        <w:rPr>
          <w:rFonts w:hint="eastAsia" w:ascii="宋体" w:hAnsi="宋体" w:eastAsia="宋体" w:cs="宋体"/>
          <w:bCs/>
          <w:sz w:val="24"/>
          <w:szCs w:val="24"/>
        </w:rPr>
        <w:t>甲方有权解除合同，所造成的损失，由乙方负责</w:t>
      </w:r>
      <w:r>
        <w:rPr>
          <w:rFonts w:hint="eastAsia" w:ascii="宋体" w:hAnsi="宋体" w:eastAsia="宋体" w:cs="宋体"/>
          <w:sz w:val="24"/>
          <w:szCs w:val="24"/>
        </w:rPr>
        <w:t>。</w:t>
      </w:r>
    </w:p>
    <w:p>
      <w:pPr>
        <w:keepNext w:val="0"/>
        <w:keepLines w:val="0"/>
        <w:pageBreakBefore w:val="0"/>
        <w:widowControl/>
        <w:kinsoku/>
        <w:wordWrap/>
        <w:overflowPunct/>
        <w:topLinePunct w:val="0"/>
        <w:bidi w:val="0"/>
        <w:snapToGrid/>
        <w:spacing w:line="400" w:lineRule="exact"/>
        <w:ind w:firstLine="549" w:firstLineChars="229"/>
        <w:rPr>
          <w:rFonts w:ascii="宋体" w:hAnsi="宋体" w:eastAsia="宋体" w:cs="宋体"/>
          <w:bCs/>
          <w:kern w:val="0"/>
          <w:sz w:val="24"/>
          <w:szCs w:val="24"/>
        </w:rPr>
      </w:pPr>
      <w:r>
        <w:rPr>
          <w:rFonts w:hint="eastAsia" w:ascii="宋体" w:hAnsi="宋体" w:eastAsia="宋体" w:cs="宋体"/>
          <w:sz w:val="24"/>
          <w:szCs w:val="24"/>
        </w:rPr>
        <w:t>2、</w:t>
      </w:r>
      <w:r>
        <w:rPr>
          <w:rFonts w:hint="eastAsia" w:ascii="宋体" w:hAnsi="宋体" w:eastAsia="宋体" w:cs="宋体"/>
          <w:bCs/>
          <w:sz w:val="24"/>
          <w:szCs w:val="24"/>
        </w:rPr>
        <w:t>乙方在合同履行过程中，应规范</w:t>
      </w:r>
      <w:r>
        <w:rPr>
          <w:rFonts w:hint="eastAsia" w:ascii="宋体" w:hAnsi="宋体" w:eastAsia="宋体" w:cs="宋体"/>
          <w:bCs/>
          <w:kern w:val="0"/>
          <w:sz w:val="24"/>
          <w:szCs w:val="24"/>
        </w:rPr>
        <w:t>安全操作规程，防火及用电安全规定，涉及车道关闭需及时报备并经高速交警路政审批通过后方可施工，施工中如果出现安全事故由乙方全权负责。</w:t>
      </w:r>
    </w:p>
    <w:p>
      <w:pPr>
        <w:keepNext w:val="0"/>
        <w:keepLines w:val="0"/>
        <w:pageBreakBefore w:val="0"/>
        <w:widowControl/>
        <w:kinsoku/>
        <w:wordWrap/>
        <w:overflowPunct/>
        <w:topLinePunct w:val="0"/>
        <w:bidi w:val="0"/>
        <w:snapToGrid/>
        <w:spacing w:line="400" w:lineRule="exact"/>
        <w:ind w:firstLine="549" w:firstLineChars="229"/>
        <w:rPr>
          <w:rFonts w:ascii="宋体" w:hAnsi="宋体" w:eastAsia="宋体" w:cs="宋体"/>
          <w:bCs/>
          <w:sz w:val="24"/>
          <w:szCs w:val="24"/>
        </w:rPr>
      </w:pPr>
      <w:r>
        <w:rPr>
          <w:rFonts w:hint="eastAsia" w:ascii="宋体" w:hAnsi="宋体" w:eastAsia="宋体" w:cs="宋体"/>
          <w:bCs/>
          <w:sz w:val="24"/>
          <w:szCs w:val="24"/>
        </w:rPr>
        <w:t>3、乙方负责对甲方提供必要的技术支持与优质的售后服务；甲方在使用过程中遇到问题，可以通过电话、视频及其他方式向乙方寻求技术支持，如电话、视频等远程在线支持不能解决故障，乙方需在8小时内派工程师到达现场，24小时内修复故障。如乙方在24小时内不能修复故障，甲方可另行委托或聘请其他单位进行修复，由此产生的</w:t>
      </w:r>
      <w:r>
        <w:rPr>
          <w:rFonts w:hint="eastAsia" w:ascii="宋体" w:hAnsi="宋体" w:eastAsia="宋体" w:cs="宋体"/>
          <w:bCs/>
          <w:sz w:val="24"/>
          <w:szCs w:val="24"/>
          <w:lang w:val="en-US" w:eastAsia="zh-CN"/>
        </w:rPr>
        <w:t>一切</w:t>
      </w:r>
      <w:r>
        <w:rPr>
          <w:rFonts w:hint="eastAsia" w:ascii="宋体" w:hAnsi="宋体" w:eastAsia="宋体" w:cs="宋体"/>
          <w:bCs/>
          <w:sz w:val="24"/>
          <w:szCs w:val="24"/>
        </w:rPr>
        <w:t>费用</w:t>
      </w:r>
      <w:r>
        <w:rPr>
          <w:rFonts w:hint="eastAsia" w:ascii="宋体" w:hAnsi="宋体" w:eastAsia="宋体" w:cs="宋体"/>
          <w:bCs/>
          <w:sz w:val="24"/>
          <w:szCs w:val="24"/>
          <w:lang w:val="en-US" w:eastAsia="zh-CN"/>
        </w:rPr>
        <w:t>由乙方承担</w:t>
      </w:r>
      <w:r>
        <w:rPr>
          <w:rFonts w:hint="eastAsia" w:ascii="宋体" w:hAnsi="宋体" w:eastAsia="宋体" w:cs="宋体"/>
          <w:bCs/>
          <w:sz w:val="24"/>
          <w:szCs w:val="24"/>
        </w:rPr>
        <w:t>。</w:t>
      </w:r>
    </w:p>
    <w:p>
      <w:pPr>
        <w:keepNext w:val="0"/>
        <w:keepLines w:val="0"/>
        <w:pageBreakBefore w:val="0"/>
        <w:widowControl/>
        <w:kinsoku/>
        <w:wordWrap/>
        <w:overflowPunct/>
        <w:topLinePunct w:val="0"/>
        <w:bidi w:val="0"/>
        <w:snapToGrid/>
        <w:spacing w:line="400" w:lineRule="exact"/>
        <w:ind w:firstLine="549" w:firstLineChars="229"/>
        <w:rPr>
          <w:rFonts w:hint="eastAsia" w:ascii="宋体" w:hAnsi="宋体" w:eastAsia="宋体" w:cs="宋体"/>
          <w:sz w:val="24"/>
          <w:szCs w:val="24"/>
        </w:rPr>
      </w:pPr>
      <w:r>
        <w:rPr>
          <w:rFonts w:hint="eastAsia" w:ascii="宋体" w:hAnsi="宋体" w:eastAsia="宋体" w:cs="宋体"/>
          <w:sz w:val="24"/>
          <w:szCs w:val="24"/>
        </w:rPr>
        <w:t>4、质保期为二年，乙方提供二年内免费维修及长期维护，在二年质保期之外的维修项目，乙方只收取</w:t>
      </w:r>
      <w:r>
        <w:rPr>
          <w:rFonts w:hint="eastAsia" w:ascii="宋体" w:hAnsi="宋体" w:eastAsia="宋体" w:cs="宋体"/>
          <w:sz w:val="24"/>
          <w:szCs w:val="24"/>
          <w:lang w:val="en-US" w:eastAsia="zh-CN"/>
        </w:rPr>
        <w:t>成</w:t>
      </w:r>
      <w:r>
        <w:rPr>
          <w:rFonts w:hint="eastAsia" w:ascii="宋体" w:hAnsi="宋体" w:eastAsia="宋体" w:cs="宋体"/>
          <w:sz w:val="24"/>
          <w:szCs w:val="24"/>
        </w:rPr>
        <w:t>本费。</w:t>
      </w:r>
    </w:p>
    <w:p>
      <w:pPr>
        <w:pStyle w:val="8"/>
        <w:keepNext w:val="0"/>
        <w:keepLines w:val="0"/>
        <w:pageBreakBefore w:val="0"/>
        <w:widowControl/>
        <w:kinsoku/>
        <w:wordWrap/>
        <w:overflowPunct/>
        <w:topLinePunct w:val="0"/>
        <w:autoSpaceDN/>
        <w:bidi w:val="0"/>
        <w:adjustRightInd/>
        <w:snapToGrid/>
        <w:spacing w:line="400" w:lineRule="exact"/>
        <w:ind w:firstLine="560"/>
        <w:textAlignment w:val="auto"/>
      </w:pPr>
      <w:r>
        <w:rPr>
          <w:rFonts w:hint="eastAsia" w:ascii="宋体" w:hAnsi="宋体" w:cs="宋体"/>
          <w:lang w:val="en-US" w:eastAsia="zh-CN"/>
        </w:rPr>
        <w:t>5、</w:t>
      </w:r>
      <w:r>
        <w:rPr>
          <w:rFonts w:hint="eastAsia" w:ascii="宋体" w:hAnsi="宋体" w:cs="宋体"/>
        </w:rPr>
        <w:t>本工程相关材料、设备须符合技术要求</w:t>
      </w:r>
      <w:r>
        <w:rPr>
          <w:rFonts w:hint="eastAsia" w:ascii="宋体" w:hAnsi="宋体" w:cs="宋体"/>
          <w:lang w:eastAsia="zh-CN"/>
        </w:rPr>
        <w:t>（</w:t>
      </w:r>
      <w:r>
        <w:rPr>
          <w:rFonts w:hint="eastAsia" w:ascii="宋体" w:hAnsi="宋体" w:cs="宋体"/>
          <w:lang w:val="en-US" w:eastAsia="zh-CN"/>
        </w:rPr>
        <w:t>技术要求附后</w:t>
      </w:r>
      <w:r>
        <w:rPr>
          <w:rFonts w:hint="eastAsia" w:ascii="宋体" w:hAnsi="宋体" w:cs="宋体"/>
          <w:lang w:eastAsia="zh-CN"/>
        </w:rPr>
        <w:t>）</w:t>
      </w:r>
      <w:r>
        <w:rPr>
          <w:rFonts w:hint="eastAsia" w:ascii="宋体" w:hAnsi="宋体" w:cs="宋体"/>
        </w:rPr>
        <w:t>并经</w:t>
      </w:r>
      <w:r>
        <w:rPr>
          <w:rFonts w:hint="eastAsia" w:ascii="宋体" w:hAnsi="宋体" w:cs="宋体"/>
          <w:lang w:val="en-US" w:eastAsia="zh-CN"/>
        </w:rPr>
        <w:t>甲方</w:t>
      </w:r>
      <w:r>
        <w:rPr>
          <w:rFonts w:hint="eastAsia" w:ascii="宋体" w:hAnsi="宋体" w:cs="宋体"/>
        </w:rPr>
        <w:t>验收合格后方可进行安装，如</w:t>
      </w:r>
      <w:r>
        <w:rPr>
          <w:rFonts w:hint="eastAsia" w:ascii="宋体" w:hAnsi="宋体" w:cs="宋体"/>
          <w:lang w:val="en-US" w:eastAsia="zh-CN"/>
        </w:rPr>
        <w:t>乙方</w:t>
      </w:r>
      <w:r>
        <w:rPr>
          <w:rFonts w:hint="eastAsia" w:ascii="宋体" w:hAnsi="宋体" w:cs="宋体"/>
        </w:rPr>
        <w:t>提供的相关材料、设备不符合</w:t>
      </w:r>
      <w:r>
        <w:rPr>
          <w:rFonts w:hint="eastAsia" w:ascii="宋体" w:hAnsi="宋体" w:cs="宋体"/>
          <w:lang w:val="en-US" w:eastAsia="zh-CN"/>
        </w:rPr>
        <w:t>甲方</w:t>
      </w:r>
      <w:r>
        <w:rPr>
          <w:rFonts w:hint="eastAsia" w:ascii="宋体" w:hAnsi="宋体" w:cs="宋体"/>
        </w:rPr>
        <w:t>的</w:t>
      </w:r>
      <w:r>
        <w:rPr>
          <w:rFonts w:hint="eastAsia" w:ascii="宋体" w:hAnsi="宋体" w:cs="宋体"/>
          <w:lang w:val="en-US" w:eastAsia="zh-CN"/>
        </w:rPr>
        <w:t>相关</w:t>
      </w:r>
      <w:r>
        <w:rPr>
          <w:rFonts w:hint="eastAsia" w:ascii="宋体" w:hAnsi="宋体" w:cs="宋体"/>
        </w:rPr>
        <w:t>要求，</w:t>
      </w:r>
      <w:r>
        <w:rPr>
          <w:rFonts w:hint="eastAsia" w:ascii="宋体" w:hAnsi="宋体" w:cs="宋体"/>
          <w:lang w:val="en-US" w:eastAsia="zh-CN"/>
        </w:rPr>
        <w:t>甲方</w:t>
      </w:r>
      <w:r>
        <w:rPr>
          <w:rFonts w:hint="eastAsia" w:ascii="宋体" w:hAnsi="宋体" w:cs="宋体"/>
        </w:rPr>
        <w:t>有权拒收。</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color w:val="000000"/>
          <w:sz w:val="24"/>
          <w:lang w:val="en-US" w:eastAsia="zh-CN"/>
        </w:rPr>
      </w:pPr>
      <w:r>
        <w:rPr>
          <w:rFonts w:hint="default" w:ascii="宋体" w:hAnsi="宋体"/>
          <w:b/>
          <w:bCs/>
          <w:color w:val="000000"/>
          <w:sz w:val="24"/>
          <w:lang w:val="en-US" w:eastAsia="zh-CN"/>
        </w:rPr>
        <w:t>第</w:t>
      </w:r>
      <w:r>
        <w:rPr>
          <w:rFonts w:hint="eastAsia" w:ascii="宋体" w:hAnsi="宋体"/>
          <w:b/>
          <w:bCs/>
          <w:color w:val="000000"/>
          <w:sz w:val="24"/>
          <w:lang w:val="en-US" w:eastAsia="zh-CN"/>
        </w:rPr>
        <w:t>四</w:t>
      </w:r>
      <w:r>
        <w:rPr>
          <w:rFonts w:hint="default" w:ascii="宋体" w:hAnsi="宋体"/>
          <w:b/>
          <w:bCs/>
          <w:color w:val="000000"/>
          <w:sz w:val="24"/>
          <w:lang w:val="en-US" w:eastAsia="zh-CN"/>
        </w:rPr>
        <w:t>条</w:t>
      </w:r>
      <w:r>
        <w:rPr>
          <w:rFonts w:hint="eastAsia" w:ascii="宋体" w:hAnsi="宋体"/>
          <w:b/>
          <w:bCs/>
          <w:color w:val="000000"/>
          <w:sz w:val="24"/>
          <w:lang w:val="en-US" w:eastAsia="zh-CN"/>
        </w:rPr>
        <w:t>：支付结算</w:t>
      </w:r>
      <w:r>
        <w:rPr>
          <w:rFonts w:hint="default" w:ascii="宋体" w:hAnsi="宋体"/>
          <w:b/>
          <w:bCs/>
          <w:color w:val="000000"/>
          <w:sz w:val="24"/>
          <w:lang w:val="en-US" w:eastAsia="zh-CN"/>
        </w:rPr>
        <w:t xml:space="preserve">  </w:t>
      </w:r>
      <w:r>
        <w:rPr>
          <w:rFonts w:hint="default" w:ascii="宋体" w:hAnsi="宋体"/>
          <w:color w:val="000000"/>
          <w:sz w:val="24"/>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1、实际支付按验收合格的实际工程量进行结算支付。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2、第1期支付：工程完工并经甲方验收合格后后15天内，支付已完工程总价97％的合同款。</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lang w:val="en-US" w:eastAsia="zh-CN"/>
        </w:rPr>
      </w:pPr>
      <w:r>
        <w:rPr>
          <w:rFonts w:hint="eastAsia" w:ascii="宋体" w:hAnsi="宋体"/>
          <w:color w:val="000000"/>
          <w:sz w:val="24"/>
          <w:lang w:val="en-US" w:eastAsia="zh-CN"/>
        </w:rPr>
        <w:t>3、第2期支付：质保期两年，期满并经甲方复查无质量缺陷后15天内支付已完工程剩余合同款。</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color w:val="000000"/>
          <w:sz w:val="24"/>
          <w:highlight w:val="none"/>
          <w:lang w:val="en-US" w:eastAsia="zh-CN"/>
        </w:rPr>
      </w:pPr>
      <w:r>
        <w:rPr>
          <w:rFonts w:hint="default" w:ascii="宋体" w:hAnsi="宋体"/>
          <w:b/>
          <w:bCs/>
          <w:color w:val="000000"/>
          <w:sz w:val="24"/>
          <w:highlight w:val="none"/>
          <w:lang w:val="en-US" w:eastAsia="zh-CN"/>
        </w:rPr>
        <w:t>第</w:t>
      </w:r>
      <w:r>
        <w:rPr>
          <w:rFonts w:hint="eastAsia" w:ascii="宋体" w:hAnsi="宋体"/>
          <w:b/>
          <w:bCs/>
          <w:color w:val="000000"/>
          <w:sz w:val="24"/>
          <w:highlight w:val="none"/>
          <w:lang w:val="en-US" w:eastAsia="zh-CN"/>
        </w:rPr>
        <w:t>五</w:t>
      </w:r>
      <w:r>
        <w:rPr>
          <w:rFonts w:hint="default" w:ascii="宋体" w:hAnsi="宋体"/>
          <w:b/>
          <w:bCs/>
          <w:color w:val="000000"/>
          <w:sz w:val="24"/>
          <w:highlight w:val="none"/>
          <w:lang w:val="en-US" w:eastAsia="zh-CN"/>
        </w:rPr>
        <w:t>条：</w:t>
      </w:r>
      <w:r>
        <w:rPr>
          <w:rFonts w:hint="eastAsia" w:ascii="宋体" w:hAnsi="宋体"/>
          <w:b/>
          <w:bCs/>
          <w:color w:val="000000"/>
          <w:sz w:val="24"/>
          <w:highlight w:val="none"/>
          <w:lang w:val="en-US" w:eastAsia="zh-CN"/>
        </w:rPr>
        <w:t>质保期</w:t>
      </w:r>
    </w:p>
    <w:p>
      <w:pPr>
        <w:keepNext w:val="0"/>
        <w:keepLines w:val="0"/>
        <w:pageBreakBefore w:val="0"/>
        <w:tabs>
          <w:tab w:val="left" w:pos="553"/>
        </w:tabs>
        <w:kinsoku/>
        <w:wordWrap/>
        <w:overflowPunct/>
        <w:topLinePunct w:val="0"/>
        <w:autoSpaceDE/>
        <w:autoSpaceDN/>
        <w:bidi w:val="0"/>
        <w:adjustRightInd/>
        <w:snapToGrid/>
        <w:spacing w:line="400" w:lineRule="exact"/>
        <w:ind w:firstLine="480"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1、质保期：两年</w:t>
      </w:r>
    </w:p>
    <w:p>
      <w:pPr>
        <w:keepNext w:val="0"/>
        <w:keepLines w:val="0"/>
        <w:pageBreakBefore w:val="0"/>
        <w:tabs>
          <w:tab w:val="left" w:pos="553"/>
        </w:tabs>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2、乙方应在质保期内对已交付使用的工程承担缺陷责任。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3、因乙方原因导致的工程缺陷，应由乙方承担修复费用。乙方须在甲方规定时间内完成修复，直至检验合格为止，乙方不能在规定时间内完成修复，发包人可自行修复或委托其他人修复，所需的费用由乙方承担。</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b/>
          <w:bCs/>
          <w:color w:val="000000"/>
          <w:sz w:val="24"/>
          <w:lang w:val="en-US" w:eastAsia="zh-CN"/>
        </w:rPr>
      </w:pPr>
      <w:r>
        <w:rPr>
          <w:rFonts w:hint="default" w:ascii="宋体" w:hAnsi="宋体"/>
          <w:b/>
          <w:bCs/>
          <w:color w:val="000000"/>
          <w:sz w:val="24"/>
          <w:lang w:val="en-US" w:eastAsia="zh-CN"/>
        </w:rPr>
        <w:t>第</w:t>
      </w:r>
      <w:r>
        <w:rPr>
          <w:rFonts w:hint="eastAsia" w:ascii="宋体" w:hAnsi="宋体"/>
          <w:b/>
          <w:bCs/>
          <w:color w:val="000000"/>
          <w:sz w:val="24"/>
          <w:lang w:val="en-US" w:eastAsia="zh-CN"/>
        </w:rPr>
        <w:t>六</w:t>
      </w:r>
      <w:r>
        <w:rPr>
          <w:rFonts w:hint="default" w:ascii="宋体" w:hAnsi="宋体"/>
          <w:b/>
          <w:bCs/>
          <w:color w:val="000000"/>
          <w:sz w:val="24"/>
          <w:lang w:val="en-US" w:eastAsia="zh-CN"/>
        </w:rPr>
        <w:t>条：违约责任</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1、如乙拒绝履行合同规定之义务或者未按合同约定履行合同的情况，</w:t>
      </w:r>
      <w:r>
        <w:rPr>
          <w:rFonts w:hint="eastAsia" w:ascii="宋体" w:hAnsi="宋体"/>
          <w:color w:val="000000"/>
          <w:sz w:val="24"/>
          <w:lang w:val="en-US" w:eastAsia="zh-CN"/>
        </w:rPr>
        <w:t>须</w:t>
      </w:r>
      <w:r>
        <w:rPr>
          <w:rFonts w:hint="default" w:ascii="宋体" w:hAnsi="宋体"/>
          <w:color w:val="000000"/>
          <w:sz w:val="24"/>
          <w:lang w:val="en-US" w:eastAsia="zh-CN"/>
        </w:rPr>
        <w:t>按合同总额</w:t>
      </w:r>
      <w:r>
        <w:rPr>
          <w:rFonts w:hint="eastAsia" w:ascii="宋体" w:hAnsi="宋体"/>
          <w:color w:val="000000"/>
          <w:sz w:val="24"/>
          <w:lang w:val="en-US" w:eastAsia="zh-CN"/>
        </w:rPr>
        <w:t>10</w:t>
      </w:r>
      <w:r>
        <w:rPr>
          <w:rFonts w:hint="default" w:ascii="宋体" w:hAnsi="宋体"/>
          <w:color w:val="000000"/>
          <w:sz w:val="24"/>
          <w:lang w:val="en-US" w:eastAsia="zh-CN"/>
        </w:rPr>
        <w:t>%支付违约金，并赔偿由此给</w:t>
      </w:r>
      <w:r>
        <w:rPr>
          <w:rFonts w:hint="eastAsia" w:ascii="宋体" w:hAnsi="宋体"/>
          <w:color w:val="000000"/>
          <w:sz w:val="24"/>
          <w:lang w:val="en-US" w:eastAsia="zh-CN"/>
        </w:rPr>
        <w:t>甲方</w:t>
      </w:r>
      <w:r>
        <w:rPr>
          <w:rFonts w:hint="default" w:ascii="宋体" w:hAnsi="宋体"/>
          <w:color w:val="000000"/>
          <w:sz w:val="24"/>
          <w:lang w:val="en-US" w:eastAsia="zh-CN"/>
        </w:rPr>
        <w:t>造成的全部经济损失；</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2、如果出现工程施工或产品质量</w:t>
      </w:r>
      <w:r>
        <w:rPr>
          <w:rFonts w:hint="eastAsia" w:ascii="宋体" w:hAnsi="宋体"/>
          <w:color w:val="000000"/>
          <w:sz w:val="24"/>
          <w:lang w:val="en-US" w:eastAsia="zh-CN"/>
        </w:rPr>
        <w:t>无法达到</w:t>
      </w:r>
      <w:r>
        <w:rPr>
          <w:rFonts w:hint="default" w:ascii="宋体" w:hAnsi="宋体"/>
          <w:color w:val="000000"/>
          <w:sz w:val="24"/>
          <w:lang w:val="en-US" w:eastAsia="zh-CN"/>
        </w:rPr>
        <w:t>合同约定条件</w:t>
      </w:r>
      <w:r>
        <w:rPr>
          <w:rFonts w:hint="eastAsia" w:ascii="宋体" w:hAnsi="宋体"/>
          <w:color w:val="000000"/>
          <w:sz w:val="24"/>
          <w:lang w:val="en-US" w:eastAsia="zh-CN"/>
        </w:rPr>
        <w:t>的情况</w:t>
      </w:r>
      <w:r>
        <w:rPr>
          <w:rFonts w:hint="default" w:ascii="宋体" w:hAnsi="宋体"/>
          <w:color w:val="000000"/>
          <w:sz w:val="24"/>
          <w:lang w:val="en-US" w:eastAsia="zh-CN"/>
        </w:rPr>
        <w:t>，乙方</w:t>
      </w:r>
      <w:r>
        <w:rPr>
          <w:rFonts w:hint="eastAsia" w:ascii="宋体" w:hAnsi="宋体"/>
          <w:color w:val="000000"/>
          <w:sz w:val="24"/>
          <w:lang w:val="en-US" w:eastAsia="zh-CN"/>
        </w:rPr>
        <w:t>须</w:t>
      </w:r>
      <w:r>
        <w:rPr>
          <w:rFonts w:hint="default" w:ascii="宋体" w:hAnsi="宋体"/>
          <w:color w:val="000000"/>
          <w:sz w:val="24"/>
          <w:lang w:val="en-US" w:eastAsia="zh-CN"/>
        </w:rPr>
        <w:t>按甲方要求的时间返工，直</w:t>
      </w:r>
      <w:r>
        <w:rPr>
          <w:rFonts w:hint="eastAsia" w:ascii="宋体" w:hAnsi="宋体"/>
          <w:color w:val="000000"/>
          <w:sz w:val="24"/>
          <w:lang w:val="en-US" w:eastAsia="zh-CN"/>
        </w:rPr>
        <w:t>至</w:t>
      </w:r>
      <w:r>
        <w:rPr>
          <w:rFonts w:hint="default" w:ascii="宋体" w:hAnsi="宋体"/>
          <w:color w:val="000000"/>
          <w:sz w:val="24"/>
          <w:lang w:val="en-US" w:eastAsia="zh-CN"/>
        </w:rPr>
        <w:t>符合条件。如乙方</w:t>
      </w:r>
      <w:r>
        <w:rPr>
          <w:rFonts w:hint="eastAsia" w:ascii="宋体" w:hAnsi="宋体"/>
          <w:color w:val="000000"/>
          <w:sz w:val="24"/>
          <w:lang w:val="en-US" w:eastAsia="zh-CN"/>
        </w:rPr>
        <w:t>未在规定的时间内完成</w:t>
      </w:r>
      <w:r>
        <w:rPr>
          <w:rFonts w:hint="default" w:ascii="宋体" w:hAnsi="宋体"/>
          <w:color w:val="000000"/>
          <w:sz w:val="24"/>
          <w:lang w:val="en-US" w:eastAsia="zh-CN"/>
        </w:rPr>
        <w:t>，每违约一天，按</w:t>
      </w:r>
      <w:r>
        <w:rPr>
          <w:rFonts w:hint="eastAsia" w:ascii="宋体" w:hAnsi="宋体"/>
          <w:color w:val="000000"/>
          <w:sz w:val="24"/>
          <w:lang w:val="en-US" w:eastAsia="zh-CN"/>
        </w:rPr>
        <w:t>1000</w:t>
      </w:r>
      <w:r>
        <w:rPr>
          <w:rFonts w:hint="default" w:ascii="宋体" w:hAnsi="宋体"/>
          <w:color w:val="000000"/>
          <w:sz w:val="24"/>
          <w:lang w:val="en-US" w:eastAsia="zh-CN"/>
        </w:rPr>
        <w:t>元/天向甲方支付违约金；若违约超过15天，甲方有权解除合同，所造成的损失，由乙方负责。</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default" w:ascii="宋体" w:hAnsi="宋体"/>
          <w:b/>
          <w:bCs/>
          <w:color w:val="000000"/>
          <w:sz w:val="24"/>
          <w:lang w:val="en-US" w:eastAsia="zh-CN"/>
        </w:rPr>
      </w:pPr>
      <w:r>
        <w:rPr>
          <w:rFonts w:hint="default" w:ascii="宋体" w:hAnsi="宋体"/>
          <w:b/>
          <w:bCs/>
          <w:color w:val="000000"/>
          <w:sz w:val="24"/>
          <w:lang w:val="en-US" w:eastAsia="zh-CN"/>
        </w:rPr>
        <w:t>第</w:t>
      </w:r>
      <w:r>
        <w:rPr>
          <w:rFonts w:hint="eastAsia" w:ascii="宋体" w:hAnsi="宋体"/>
          <w:b/>
          <w:bCs/>
          <w:color w:val="000000"/>
          <w:sz w:val="24"/>
          <w:lang w:val="en-US" w:eastAsia="zh-CN"/>
        </w:rPr>
        <w:t>七</w:t>
      </w:r>
      <w:r>
        <w:rPr>
          <w:rFonts w:hint="default" w:ascii="宋体" w:hAnsi="宋体"/>
          <w:b/>
          <w:bCs/>
          <w:color w:val="000000"/>
          <w:sz w:val="24"/>
          <w:lang w:val="en-US" w:eastAsia="zh-CN"/>
        </w:rPr>
        <w:t>条：其它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1、 乙方</w:t>
      </w:r>
      <w:r>
        <w:rPr>
          <w:rFonts w:hint="eastAsia" w:ascii="宋体" w:hAnsi="宋体"/>
          <w:color w:val="000000"/>
          <w:sz w:val="24"/>
          <w:lang w:val="en-US" w:eastAsia="zh-CN"/>
        </w:rPr>
        <w:t>须保证提供的</w:t>
      </w:r>
      <w:r>
        <w:rPr>
          <w:rFonts w:hint="default" w:ascii="宋体" w:hAnsi="宋体"/>
          <w:color w:val="000000"/>
          <w:sz w:val="24"/>
          <w:lang w:val="en-US" w:eastAsia="zh-CN"/>
        </w:rPr>
        <w:t>相关</w:t>
      </w:r>
      <w:r>
        <w:rPr>
          <w:rFonts w:hint="eastAsia" w:ascii="宋体" w:hAnsi="宋体"/>
          <w:color w:val="000000"/>
          <w:sz w:val="24"/>
          <w:lang w:val="en-US" w:eastAsia="zh-CN"/>
        </w:rPr>
        <w:t>产品证书、检验报价等资料的</w:t>
      </w:r>
      <w:r>
        <w:rPr>
          <w:rFonts w:hint="default" w:ascii="宋体" w:hAnsi="宋体"/>
          <w:color w:val="000000"/>
          <w:sz w:val="24"/>
          <w:lang w:val="en-US" w:eastAsia="zh-CN"/>
        </w:rPr>
        <w:t>合法、有效、真实，否则由此而产生的任何责任，均由乙方承担并赔偿甲方由此而产生的一切损失。</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2、本合同附件系本合同不可分割的组成部分，与本合同具有同等法律效力。本合同中未尽事宜均可由双方协商后签订补充协议解决。因合同及合同有关事项发生的争议，双方应本着诚实信用原则，通过友好协商解决。经协商仍无法达成一致的，双方均可向甲方所在地人民法院提起诉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color w:val="000000"/>
          <w:sz w:val="24"/>
          <w:lang w:val="en-US" w:eastAsia="zh-CN"/>
        </w:rPr>
      </w:pPr>
      <w:r>
        <w:rPr>
          <w:rFonts w:hint="default" w:ascii="宋体" w:hAnsi="宋体"/>
          <w:color w:val="000000"/>
          <w:sz w:val="24"/>
          <w:lang w:val="en-US" w:eastAsia="zh-CN"/>
        </w:rPr>
        <w:t>3、本合同一式陆份，甲、乙双方各执叁份，自双方法定代表人或委托代表人签字并加盖公章之日起生效。</w:t>
      </w:r>
    </w:p>
    <w:p>
      <w:pPr>
        <w:keepNext w:val="0"/>
        <w:keepLines w:val="0"/>
        <w:pageBreakBefore w:val="0"/>
        <w:kinsoku/>
        <w:wordWrap/>
        <w:overflowPunct/>
        <w:topLinePunct w:val="0"/>
        <w:bidi w:val="0"/>
        <w:snapToGrid/>
        <w:spacing w:line="400" w:lineRule="exact"/>
        <w:rPr>
          <w:rFonts w:ascii="宋体" w:hAnsi="宋体" w:eastAsia="宋体" w:cs="宋体"/>
          <w:b/>
          <w:bCs/>
          <w:kern w:val="0"/>
          <w:sz w:val="24"/>
          <w:szCs w:val="24"/>
        </w:rPr>
      </w:pPr>
    </w:p>
    <w:p>
      <w:pPr>
        <w:keepNext w:val="0"/>
        <w:keepLines w:val="0"/>
        <w:pageBreakBefore w:val="0"/>
        <w:widowControl/>
        <w:kinsoku/>
        <w:wordWrap/>
        <w:overflowPunct/>
        <w:topLinePunct w:val="0"/>
        <w:bidi w:val="0"/>
        <w:snapToGrid/>
        <w:spacing w:line="400" w:lineRule="exact"/>
        <w:ind w:firstLine="480" w:firstLineChars="200"/>
        <w:rPr>
          <w:rFonts w:ascii="宋体" w:cs="宋体"/>
          <w:sz w:val="24"/>
          <w:szCs w:val="24"/>
        </w:rPr>
      </w:pPr>
    </w:p>
    <w:p>
      <w:pPr>
        <w:keepNext w:val="0"/>
        <w:keepLines w:val="0"/>
        <w:pageBreakBefore w:val="0"/>
        <w:widowControl/>
        <w:shd w:val="clear" w:color="auto" w:fill="FFFFFF"/>
        <w:kinsoku/>
        <w:wordWrap/>
        <w:overflowPunct/>
        <w:topLinePunct w:val="0"/>
        <w:bidi w:val="0"/>
        <w:snapToGrid/>
        <w:spacing w:before="100" w:beforeAutospacing="1" w:after="100" w:afterAutospacing="1" w:line="400" w:lineRule="exac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napToGrid/>
        <w:spacing w:before="100" w:beforeAutospacing="1" w:after="100" w:afterAutospacing="1" w:line="400" w:lineRule="exact"/>
        <w:ind w:left="1650" w:leftChars="100" w:hanging="1440" w:hangingChars="600"/>
        <w:rPr>
          <w:rFonts w:ascii="宋体" w:hAnsi="宋体" w:eastAsia="宋体" w:cs="宋体"/>
          <w:kern w:val="0"/>
          <w:sz w:val="24"/>
          <w:szCs w:val="24"/>
        </w:rPr>
      </w:pPr>
      <w:r>
        <w:rPr>
          <w:rFonts w:hint="eastAsia" w:ascii="宋体" w:hAnsi="宋体" w:eastAsia="宋体" w:cs="宋体"/>
          <w:kern w:val="0"/>
          <w:sz w:val="24"/>
          <w:szCs w:val="24"/>
        </w:rPr>
        <w:t>甲方：</w:t>
      </w:r>
      <w:r>
        <w:rPr>
          <w:rFonts w:hint="eastAsia" w:ascii="宋体" w:hAnsi="宋体" w:eastAsia="宋体" w:cs="宋体"/>
          <w:sz w:val="24"/>
          <w:szCs w:val="24"/>
        </w:rPr>
        <w:t xml:space="preserve"> </w:t>
      </w:r>
      <w:r>
        <w:rPr>
          <w:rFonts w:hint="eastAsia" w:ascii="宋体" w:hAnsi="宋体" w:eastAsia="宋体" w:cs="宋体"/>
          <w:kern w:val="0"/>
          <w:sz w:val="24"/>
          <w:szCs w:val="24"/>
        </w:rPr>
        <w:t xml:space="preserve">                                乙方：</w:t>
      </w:r>
    </w:p>
    <w:p>
      <w:pPr>
        <w:keepNext w:val="0"/>
        <w:keepLines w:val="0"/>
        <w:pageBreakBefore w:val="0"/>
        <w:widowControl/>
        <w:shd w:val="clear" w:color="auto" w:fill="FFFFFF"/>
        <w:kinsoku/>
        <w:wordWrap/>
        <w:overflowPunct/>
        <w:topLinePunct w:val="0"/>
        <w:bidi w:val="0"/>
        <w:snapToGrid/>
        <w:spacing w:before="100" w:beforeAutospacing="1" w:after="100" w:afterAutospacing="1" w:line="400" w:lineRule="exact"/>
        <w:ind w:firstLine="240" w:firstLineChars="100"/>
        <w:rPr>
          <w:rFonts w:ascii="宋体" w:hAnsi="宋体" w:eastAsia="宋体" w:cs="宋体"/>
          <w:kern w:val="0"/>
          <w:sz w:val="24"/>
          <w:szCs w:val="24"/>
        </w:rPr>
      </w:pPr>
      <w:r>
        <w:rPr>
          <w:rFonts w:hint="eastAsia" w:ascii="宋体" w:hAnsi="宋体" w:eastAsia="宋体" w:cs="宋体"/>
          <w:kern w:val="0"/>
          <w:sz w:val="24"/>
          <w:szCs w:val="24"/>
        </w:rPr>
        <w:t xml:space="preserve">法定代表（或委托人）签字（章）：  　　  法定代表（或委托人）签字（章）： </w:t>
      </w:r>
    </w:p>
    <w:p>
      <w:pPr>
        <w:keepNext w:val="0"/>
        <w:keepLines w:val="0"/>
        <w:pageBreakBefore w:val="0"/>
        <w:widowControl/>
        <w:shd w:val="clear" w:color="auto" w:fill="FFFFFF"/>
        <w:kinsoku/>
        <w:wordWrap/>
        <w:overflowPunct/>
        <w:topLinePunct w:val="0"/>
        <w:bidi w:val="0"/>
        <w:snapToGrid/>
        <w:spacing w:before="100" w:beforeAutospacing="1" w:after="100" w:afterAutospacing="1" w:line="400" w:lineRule="exact"/>
        <w:rPr>
          <w:rFonts w:ascii="宋体" w:hAnsi="宋体" w:eastAsia="宋体" w:cs="宋体"/>
          <w:kern w:val="0"/>
          <w:sz w:val="24"/>
          <w:szCs w:val="24"/>
        </w:rPr>
      </w:pPr>
      <w:r>
        <w:rPr>
          <w:rFonts w:hint="eastAsia" w:ascii="宋体" w:hAnsi="宋体" w:eastAsia="Calibri" w:cs="宋体"/>
          <w:kern w:val="0"/>
          <w:sz w:val="24"/>
        </w:rPr>
        <w:t>签约日期：</w:t>
      </w:r>
      <w:r>
        <w:rPr>
          <w:rFonts w:hint="eastAsia" w:ascii="宋体" w:hAnsi="宋体" w:eastAsia="宋体" w:cs="宋体"/>
          <w:kern w:val="0"/>
          <w:sz w:val="24"/>
        </w:rPr>
        <w:t xml:space="preserve"> </w:t>
      </w:r>
      <w:r>
        <w:rPr>
          <w:rFonts w:hint="eastAsia" w:ascii="宋体" w:hAnsi="宋体" w:eastAsia="Calibri" w:cs="宋体"/>
          <w:kern w:val="0"/>
          <w:sz w:val="24"/>
        </w:rPr>
        <w:t xml:space="preserve"> 年    月     日</w:t>
      </w:r>
      <w:r>
        <w:rPr>
          <w:rFonts w:hint="eastAsia" w:ascii="宋体" w:hAnsi="宋体" w:eastAsia="宋体" w:cs="宋体"/>
          <w:kern w:val="0"/>
          <w:sz w:val="24"/>
        </w:rPr>
        <w:t xml:space="preserve">             </w:t>
      </w:r>
      <w:r>
        <w:rPr>
          <w:rFonts w:hint="eastAsia" w:ascii="宋体" w:hAnsi="宋体" w:eastAsia="Calibri" w:cs="宋体"/>
          <w:kern w:val="0"/>
          <w:sz w:val="24"/>
        </w:rPr>
        <w:t xml:space="preserve">签约日期：   </w:t>
      </w:r>
      <w:r>
        <w:rPr>
          <w:rFonts w:hint="eastAsia" w:ascii="宋体" w:hAnsi="宋体" w:eastAsia="宋体" w:cs="宋体"/>
          <w:kern w:val="0"/>
          <w:sz w:val="24"/>
        </w:rPr>
        <w:t xml:space="preserve">  </w:t>
      </w:r>
      <w:r>
        <w:rPr>
          <w:rFonts w:hint="eastAsia" w:ascii="宋体" w:hAnsi="宋体" w:eastAsia="Calibri" w:cs="宋体"/>
          <w:kern w:val="0"/>
          <w:sz w:val="24"/>
        </w:rPr>
        <w:t xml:space="preserve"> 年    月     日</w:t>
      </w:r>
    </w:p>
    <w:p>
      <w:pPr>
        <w:pStyle w:val="2"/>
        <w:rPr>
          <w:rFonts w:ascii="微软雅黑" w:hAnsi="微软雅黑" w:eastAsia="微软雅黑" w:cs="宋体"/>
          <w:kern w:val="0"/>
          <w:sz w:val="24"/>
          <w:szCs w:val="24"/>
        </w:rPr>
      </w:pPr>
    </w:p>
    <w:p>
      <w:pPr>
        <w:rPr>
          <w:rFonts w:hint="eastAsia" w:ascii="宋体" w:hAnsi="宋体" w:eastAsia="宋体" w:cs="宋体"/>
          <w:kern w:val="0"/>
          <w:sz w:val="24"/>
          <w:szCs w:val="24"/>
        </w:rPr>
      </w:pPr>
    </w:p>
    <w:p>
      <w:pPr>
        <w:rPr>
          <w:rFonts w:ascii="宋体" w:hAnsi="宋体" w:eastAsia="宋体" w:cs="宋体"/>
          <w:kern w:val="0"/>
          <w:sz w:val="24"/>
          <w:szCs w:val="24"/>
        </w:rPr>
      </w:pPr>
      <w:r>
        <w:rPr>
          <w:rFonts w:hint="eastAsia" w:ascii="宋体" w:hAnsi="宋体" w:eastAsia="宋体" w:cs="宋体"/>
          <w:kern w:val="0"/>
          <w:sz w:val="24"/>
          <w:szCs w:val="24"/>
        </w:rPr>
        <w:t>技术标准及要求：</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1.蓄电池工作环境温度为-</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5℃，应能 -</w:t>
      </w:r>
      <w:r>
        <w:rPr>
          <w:rFonts w:ascii="宋体" w:hAnsi="宋体" w:eastAsia="宋体" w:cs="宋体"/>
          <w:kern w:val="0"/>
          <w:sz w:val="24"/>
          <w:szCs w:val="24"/>
        </w:rPr>
        <w:t>20</w:t>
      </w: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5℃的条件下正常使用。</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2.蓄电池外观不应有变形、漏液、裂纹及污迹，标志清晰，蓄电池的正负端子有明显标志，其端子外形设计合理，便于连接。</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3.初装后的蓄电池经补充充电，通常在25℃下，10小时率容量第一次循环不低于9</w:t>
      </w:r>
      <w:r>
        <w:rPr>
          <w:rFonts w:ascii="宋体" w:hAnsi="宋体" w:eastAsia="宋体" w:cs="宋体"/>
          <w:kern w:val="0"/>
          <w:sz w:val="24"/>
          <w:szCs w:val="24"/>
        </w:rPr>
        <w:t>6</w:t>
      </w:r>
      <w:r>
        <w:rPr>
          <w:rFonts w:hint="eastAsia" w:ascii="宋体" w:hAnsi="宋体" w:eastAsia="宋体" w:cs="宋体"/>
          <w:kern w:val="0"/>
          <w:sz w:val="24"/>
          <w:szCs w:val="24"/>
        </w:rPr>
        <w:t>%C10，第三次循环应达到100%C10，3小时率容量应在第一次循环达到75%C10，1小时率容量应在第一次循环达到55%C10。</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4.蓄电池配置连接线或铜排。</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5.蓄电池规格型号</w:t>
      </w:r>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重量偏差不超过标称值的</w:t>
      </w:r>
      <w:r>
        <w:rPr>
          <w:rFonts w:ascii="宋体" w:hAnsi="宋体" w:eastAsia="宋体" w:cs="宋体"/>
          <w:kern w:val="0"/>
          <w:sz w:val="24"/>
          <w:szCs w:val="24"/>
        </w:rPr>
        <w:t>2</w:t>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6.蓄电池应能承受50kpa的正压或负压而不破裂，不开胶，压力释放后壳体无残余变形。</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7.蓄电池以30I10放电3分钟，极柱，内部汇流排不应熔断，外观不出现异常。</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8.蓄电池在充电饱和稳定状态下的内阻应≤0.</w:t>
      </w:r>
      <w:r>
        <w:rPr>
          <w:rFonts w:ascii="宋体" w:hAnsi="宋体" w:eastAsia="宋体" w:cs="宋体"/>
          <w:kern w:val="0"/>
          <w:sz w:val="24"/>
          <w:szCs w:val="24"/>
        </w:rPr>
        <w:t>5</w:t>
      </w:r>
      <w:r>
        <w:rPr>
          <w:rFonts w:hint="eastAsia" w:ascii="宋体" w:hAnsi="宋体" w:eastAsia="宋体" w:cs="宋体"/>
          <w:kern w:val="0"/>
          <w:sz w:val="24"/>
          <w:szCs w:val="24"/>
        </w:rPr>
        <w:t>0MΩ，自放电应≤3%/月。</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9.蓄电池密封反应效率不低于9</w:t>
      </w:r>
      <w:r>
        <w:rPr>
          <w:rFonts w:ascii="宋体" w:hAnsi="宋体" w:eastAsia="宋体" w:cs="宋体"/>
          <w:kern w:val="0"/>
          <w:sz w:val="24"/>
          <w:szCs w:val="24"/>
        </w:rPr>
        <w:t>9</w:t>
      </w:r>
      <w:r>
        <w:rPr>
          <w:rFonts w:hint="eastAsia" w:ascii="宋体" w:hAnsi="宋体" w:eastAsia="宋体" w:cs="宋体"/>
          <w:kern w:val="0"/>
          <w:sz w:val="24"/>
          <w:szCs w:val="24"/>
        </w:rPr>
        <w:t>%。</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10.蓄电池在正常工作过程中应无酸雾逸出。</w:t>
      </w:r>
    </w:p>
    <w:p>
      <w:pPr>
        <w:spacing w:line="360" w:lineRule="auto"/>
        <w:ind w:left="240" w:hanging="240" w:hangingChars="100"/>
        <w:rPr>
          <w:rFonts w:ascii="宋体" w:hAnsi="宋体" w:eastAsia="宋体" w:cs="宋体"/>
          <w:kern w:val="0"/>
          <w:sz w:val="24"/>
          <w:szCs w:val="24"/>
        </w:rPr>
      </w:pPr>
      <w:r>
        <w:rPr>
          <w:rFonts w:hint="eastAsia" w:ascii="宋体" w:hAnsi="宋体" w:eastAsia="宋体" w:cs="宋体"/>
          <w:kern w:val="0"/>
          <w:sz w:val="24"/>
          <w:szCs w:val="24"/>
        </w:rPr>
        <w:t>11.安全阀应具有自动开启和自动关闭的功能。其开阀应在</w:t>
      </w:r>
      <w:r>
        <w:rPr>
          <w:rFonts w:ascii="宋体" w:hAnsi="宋体" w:eastAsia="宋体" w:cs="宋体"/>
          <w:kern w:val="0"/>
          <w:sz w:val="24"/>
          <w:szCs w:val="24"/>
        </w:rPr>
        <w:t>20</w:t>
      </w:r>
      <w:r>
        <w:rPr>
          <w:rFonts w:hint="eastAsia" w:ascii="宋体" w:hAnsi="宋体" w:eastAsia="宋体" w:cs="宋体"/>
          <w:kern w:val="0"/>
          <w:sz w:val="24"/>
          <w:szCs w:val="24"/>
        </w:rPr>
        <w:t>kpa～</w:t>
      </w:r>
      <w:r>
        <w:rPr>
          <w:rFonts w:ascii="宋体" w:hAnsi="宋体" w:eastAsia="宋体" w:cs="宋体"/>
          <w:kern w:val="0"/>
          <w:sz w:val="24"/>
          <w:szCs w:val="24"/>
        </w:rPr>
        <w:t>2</w:t>
      </w:r>
      <w:r>
        <w:rPr>
          <w:rFonts w:hint="eastAsia" w:ascii="宋体" w:hAnsi="宋体" w:eastAsia="宋体" w:cs="宋体"/>
          <w:kern w:val="0"/>
          <w:sz w:val="24"/>
          <w:szCs w:val="24"/>
        </w:rPr>
        <w:t>5kpa之间，闭阀应在1</w:t>
      </w:r>
      <w:r>
        <w:rPr>
          <w:rFonts w:ascii="宋体" w:hAnsi="宋体" w:eastAsia="宋体" w:cs="宋体"/>
          <w:kern w:val="0"/>
          <w:sz w:val="24"/>
          <w:szCs w:val="24"/>
        </w:rPr>
        <w:t>5</w:t>
      </w:r>
      <w:r>
        <w:rPr>
          <w:rFonts w:hint="eastAsia" w:ascii="宋体" w:hAnsi="宋体" w:eastAsia="宋体" w:cs="宋体"/>
          <w:kern w:val="0"/>
          <w:sz w:val="24"/>
          <w:szCs w:val="24"/>
        </w:rPr>
        <w:t>kpa～</w:t>
      </w:r>
      <w:r>
        <w:rPr>
          <w:rFonts w:ascii="宋体" w:hAnsi="宋体" w:eastAsia="宋体" w:cs="宋体"/>
          <w:kern w:val="0"/>
          <w:sz w:val="24"/>
          <w:szCs w:val="24"/>
        </w:rPr>
        <w:t>20</w:t>
      </w:r>
      <w:r>
        <w:rPr>
          <w:rFonts w:hint="eastAsia" w:ascii="宋体" w:hAnsi="宋体" w:eastAsia="宋体" w:cs="宋体"/>
          <w:kern w:val="0"/>
          <w:sz w:val="24"/>
          <w:szCs w:val="24"/>
        </w:rPr>
        <w:t>kpa之间。</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12.蓄电池完全充电后，再以0.3I10充电160小时，外观应无明显变形及渗液。</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13.蓄电池在1小时率放电情况下。蓄电池间的连接电压降应≤5mV。</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14.在环境温度不超过30℃条件下浮充运行，12V系列蓄电池浮充设计寿命不低于</w:t>
      </w:r>
      <w:r>
        <w:rPr>
          <w:rFonts w:ascii="宋体" w:hAnsi="宋体" w:eastAsia="宋体" w:cs="宋体"/>
          <w:kern w:val="0"/>
          <w:sz w:val="24"/>
          <w:szCs w:val="24"/>
        </w:rPr>
        <w:t>5</w:t>
      </w:r>
      <w:r>
        <w:rPr>
          <w:rFonts w:hint="eastAsia" w:ascii="宋体" w:hAnsi="宋体" w:eastAsia="宋体" w:cs="宋体"/>
          <w:kern w:val="0"/>
          <w:sz w:val="24"/>
          <w:szCs w:val="24"/>
        </w:rPr>
        <w:t>年。</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15.单体电压为12V的蓄电池开路电压，最高与最低差值应不大于50mV。</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16.蓄电池进入浮充状态24小时后，各蓄电池之间的端电压应不大于</w:t>
      </w:r>
      <w:r>
        <w:rPr>
          <w:rFonts w:ascii="宋体" w:hAnsi="宋体" w:eastAsia="宋体" w:cs="宋体"/>
          <w:kern w:val="0"/>
          <w:sz w:val="24"/>
          <w:szCs w:val="24"/>
        </w:rPr>
        <w:t>5</w:t>
      </w:r>
      <w:r>
        <w:rPr>
          <w:rFonts w:hint="eastAsia" w:ascii="宋体" w:hAnsi="宋体" w:eastAsia="宋体" w:cs="宋体"/>
          <w:kern w:val="0"/>
          <w:sz w:val="24"/>
          <w:szCs w:val="24"/>
        </w:rPr>
        <w:t>0mV(12V系列）。</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17.蓄电池在充电过程中，遇有明火，内部应不引燃，不引爆。</w:t>
      </w:r>
    </w:p>
    <w:p>
      <w:pPr>
        <w:widowControl/>
        <w:spacing w:line="420" w:lineRule="atLeast"/>
        <w:jc w:val="left"/>
      </w:pPr>
      <w:r>
        <w:rPr>
          <w:rFonts w:hint="eastAsia" w:ascii="宋体" w:hAnsi="宋体" w:eastAsia="宋体" w:cs="宋体"/>
          <w:kern w:val="0"/>
          <w:sz w:val="24"/>
          <w:szCs w:val="24"/>
        </w:rPr>
        <w:t>18.容量：</w:t>
      </w:r>
      <w:r>
        <w:rPr>
          <w:rFonts w:ascii="宋体" w:hAnsi="宋体" w:eastAsia="宋体" w:cs="宋体"/>
          <w:kern w:val="0"/>
          <w:sz w:val="24"/>
          <w:szCs w:val="24"/>
        </w:rPr>
        <w:t>12V17AH</w:t>
      </w:r>
      <w:r>
        <w:rPr>
          <w:rFonts w:hint="eastAsia" w:ascii="宋体" w:hAnsi="宋体" w:eastAsia="宋体" w:cs="宋体"/>
          <w:kern w:val="0"/>
          <w:sz w:val="24"/>
          <w:szCs w:val="24"/>
        </w:rPr>
        <w:t>、1</w:t>
      </w:r>
      <w:r>
        <w:rPr>
          <w:rFonts w:ascii="宋体" w:hAnsi="宋体" w:eastAsia="宋体" w:cs="宋体"/>
          <w:kern w:val="0"/>
          <w:sz w:val="24"/>
          <w:szCs w:val="24"/>
        </w:rPr>
        <w:t>2V-65AH</w:t>
      </w:r>
      <w:r>
        <w:rPr>
          <w:rFonts w:hint="eastAsia" w:ascii="宋体" w:hAnsi="宋体" w:eastAsia="宋体" w:cs="宋体"/>
          <w:kern w:val="0"/>
          <w:sz w:val="24"/>
          <w:szCs w:val="24"/>
        </w:rPr>
        <w:t>、</w:t>
      </w:r>
      <w:r>
        <w:rPr>
          <w:rFonts w:ascii="宋体" w:hAnsi="宋体" w:eastAsia="宋体" w:cs="宋体"/>
          <w:kern w:val="0"/>
          <w:sz w:val="24"/>
          <w:szCs w:val="24"/>
        </w:rPr>
        <w:t>12V80AH</w:t>
      </w:r>
      <w:r>
        <w:rPr>
          <w:rFonts w:hint="eastAsia" w:ascii="宋体" w:hAnsi="宋体" w:eastAsia="宋体" w:cs="宋体"/>
          <w:kern w:val="0"/>
          <w:sz w:val="24"/>
          <w:szCs w:val="24"/>
        </w:rPr>
        <w:t>、1</w:t>
      </w:r>
      <w:r>
        <w:rPr>
          <w:rFonts w:ascii="宋体" w:hAnsi="宋体" w:eastAsia="宋体" w:cs="宋体"/>
          <w:kern w:val="0"/>
          <w:sz w:val="24"/>
          <w:szCs w:val="24"/>
        </w:rPr>
        <w:t>2V100AH</w:t>
      </w:r>
      <w:r>
        <w:rPr>
          <w:rFonts w:hint="eastAsia" w:ascii="宋体" w:hAnsi="宋体" w:eastAsia="宋体" w:cs="宋体"/>
          <w:kern w:val="0"/>
          <w:sz w:val="24"/>
          <w:szCs w:val="24"/>
        </w:rPr>
        <w:t>。 类型：阀控式密封铅酸蓄电池；</w:t>
      </w:r>
    </w:p>
    <w:p>
      <w:pPr>
        <w:pStyle w:val="2"/>
        <w:rPr>
          <w:rFonts w:ascii="微软雅黑" w:hAnsi="微软雅黑" w:eastAsia="微软雅黑" w:cs="宋体"/>
          <w:kern w:val="0"/>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870B1"/>
    <w:multiLevelType w:val="singleLevel"/>
    <w:tmpl w:val="4E0870B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0MDE0NGRkYmU4YTE3NWMyZDBmMDUxODdhYjdmYTkifQ=="/>
  </w:docVars>
  <w:rsids>
    <w:rsidRoot w:val="00660D75"/>
    <w:rsid w:val="000051D2"/>
    <w:rsid w:val="000065D8"/>
    <w:rsid w:val="00033225"/>
    <w:rsid w:val="00051AEE"/>
    <w:rsid w:val="00063F73"/>
    <w:rsid w:val="000716FB"/>
    <w:rsid w:val="000815CB"/>
    <w:rsid w:val="00083DB8"/>
    <w:rsid w:val="00084CBB"/>
    <w:rsid w:val="0008750F"/>
    <w:rsid w:val="00091CC6"/>
    <w:rsid w:val="000928FF"/>
    <w:rsid w:val="00097A38"/>
    <w:rsid w:val="000B1B4B"/>
    <w:rsid w:val="000C650F"/>
    <w:rsid w:val="000D0968"/>
    <w:rsid w:val="000D2318"/>
    <w:rsid w:val="000F1072"/>
    <w:rsid w:val="001176EC"/>
    <w:rsid w:val="00120B34"/>
    <w:rsid w:val="001467A3"/>
    <w:rsid w:val="00160DDF"/>
    <w:rsid w:val="00186DC6"/>
    <w:rsid w:val="00192FB6"/>
    <w:rsid w:val="001C0DE5"/>
    <w:rsid w:val="001C4D66"/>
    <w:rsid w:val="001C5D23"/>
    <w:rsid w:val="001D52D2"/>
    <w:rsid w:val="001D7BE3"/>
    <w:rsid w:val="00203E30"/>
    <w:rsid w:val="0021649C"/>
    <w:rsid w:val="00235544"/>
    <w:rsid w:val="002630E2"/>
    <w:rsid w:val="00267734"/>
    <w:rsid w:val="00275AC2"/>
    <w:rsid w:val="00280591"/>
    <w:rsid w:val="00285493"/>
    <w:rsid w:val="0029538E"/>
    <w:rsid w:val="002D23E1"/>
    <w:rsid w:val="002E2A07"/>
    <w:rsid w:val="002F23EE"/>
    <w:rsid w:val="002F54D0"/>
    <w:rsid w:val="003031BA"/>
    <w:rsid w:val="003369D7"/>
    <w:rsid w:val="00353DD4"/>
    <w:rsid w:val="003E61B2"/>
    <w:rsid w:val="00404D05"/>
    <w:rsid w:val="00411C57"/>
    <w:rsid w:val="0047053F"/>
    <w:rsid w:val="004736C8"/>
    <w:rsid w:val="004A4014"/>
    <w:rsid w:val="004A7C58"/>
    <w:rsid w:val="004B55BC"/>
    <w:rsid w:val="004E4021"/>
    <w:rsid w:val="005161CF"/>
    <w:rsid w:val="00542279"/>
    <w:rsid w:val="00566DC9"/>
    <w:rsid w:val="005812C2"/>
    <w:rsid w:val="00584C48"/>
    <w:rsid w:val="005A19A0"/>
    <w:rsid w:val="005B399C"/>
    <w:rsid w:val="005B5A95"/>
    <w:rsid w:val="005C461C"/>
    <w:rsid w:val="005C6D79"/>
    <w:rsid w:val="005E0F1B"/>
    <w:rsid w:val="005E164F"/>
    <w:rsid w:val="00603A08"/>
    <w:rsid w:val="00621E87"/>
    <w:rsid w:val="00645D94"/>
    <w:rsid w:val="00660D75"/>
    <w:rsid w:val="00666BB6"/>
    <w:rsid w:val="00683715"/>
    <w:rsid w:val="00690783"/>
    <w:rsid w:val="006A4971"/>
    <w:rsid w:val="006B7A44"/>
    <w:rsid w:val="006D1CD9"/>
    <w:rsid w:val="006D3847"/>
    <w:rsid w:val="006D4908"/>
    <w:rsid w:val="0074624B"/>
    <w:rsid w:val="007736CB"/>
    <w:rsid w:val="00777854"/>
    <w:rsid w:val="00780289"/>
    <w:rsid w:val="00784839"/>
    <w:rsid w:val="007931EC"/>
    <w:rsid w:val="007D6643"/>
    <w:rsid w:val="0082456C"/>
    <w:rsid w:val="00825B51"/>
    <w:rsid w:val="00836719"/>
    <w:rsid w:val="00851A37"/>
    <w:rsid w:val="008625F0"/>
    <w:rsid w:val="00874CC2"/>
    <w:rsid w:val="00891978"/>
    <w:rsid w:val="008961A0"/>
    <w:rsid w:val="008C57FA"/>
    <w:rsid w:val="008D0F2F"/>
    <w:rsid w:val="008E5688"/>
    <w:rsid w:val="008E6E76"/>
    <w:rsid w:val="00902CE2"/>
    <w:rsid w:val="00914028"/>
    <w:rsid w:val="00927730"/>
    <w:rsid w:val="00935720"/>
    <w:rsid w:val="00936073"/>
    <w:rsid w:val="00946C24"/>
    <w:rsid w:val="009757AF"/>
    <w:rsid w:val="00980D03"/>
    <w:rsid w:val="00A00F7F"/>
    <w:rsid w:val="00A06EC7"/>
    <w:rsid w:val="00A2301E"/>
    <w:rsid w:val="00A50861"/>
    <w:rsid w:val="00A52CCD"/>
    <w:rsid w:val="00A55747"/>
    <w:rsid w:val="00A80085"/>
    <w:rsid w:val="00AC5D23"/>
    <w:rsid w:val="00AE75FF"/>
    <w:rsid w:val="00B11322"/>
    <w:rsid w:val="00B17A76"/>
    <w:rsid w:val="00B337CA"/>
    <w:rsid w:val="00B43919"/>
    <w:rsid w:val="00B64EC6"/>
    <w:rsid w:val="00B95A77"/>
    <w:rsid w:val="00BA4A38"/>
    <w:rsid w:val="00BB4661"/>
    <w:rsid w:val="00BB7FAC"/>
    <w:rsid w:val="00C05CDB"/>
    <w:rsid w:val="00C44C98"/>
    <w:rsid w:val="00C45D87"/>
    <w:rsid w:val="00C76F30"/>
    <w:rsid w:val="00CA2269"/>
    <w:rsid w:val="00CA23FC"/>
    <w:rsid w:val="00CA2DD5"/>
    <w:rsid w:val="00CB0469"/>
    <w:rsid w:val="00CC0BD4"/>
    <w:rsid w:val="00CC5372"/>
    <w:rsid w:val="00CD3FAA"/>
    <w:rsid w:val="00D35B4A"/>
    <w:rsid w:val="00D478A5"/>
    <w:rsid w:val="00D63F3B"/>
    <w:rsid w:val="00DB64FC"/>
    <w:rsid w:val="00DC6980"/>
    <w:rsid w:val="00DF0344"/>
    <w:rsid w:val="00E1497B"/>
    <w:rsid w:val="00E2078E"/>
    <w:rsid w:val="00E24CB5"/>
    <w:rsid w:val="00E34646"/>
    <w:rsid w:val="00E51F5E"/>
    <w:rsid w:val="00E57F27"/>
    <w:rsid w:val="00E67B5B"/>
    <w:rsid w:val="00E73171"/>
    <w:rsid w:val="00E90528"/>
    <w:rsid w:val="00ED45A0"/>
    <w:rsid w:val="00EE2C16"/>
    <w:rsid w:val="00EE5C2F"/>
    <w:rsid w:val="00F01391"/>
    <w:rsid w:val="00F56050"/>
    <w:rsid w:val="00F5775F"/>
    <w:rsid w:val="00F60809"/>
    <w:rsid w:val="00F73AB6"/>
    <w:rsid w:val="00F80584"/>
    <w:rsid w:val="00F9136C"/>
    <w:rsid w:val="00F97712"/>
    <w:rsid w:val="00FA5AF6"/>
    <w:rsid w:val="00FC42A5"/>
    <w:rsid w:val="00FC43B0"/>
    <w:rsid w:val="00FE5DF4"/>
    <w:rsid w:val="00FF4817"/>
    <w:rsid w:val="00FF66BB"/>
    <w:rsid w:val="17CF0EF0"/>
    <w:rsid w:val="232F305B"/>
    <w:rsid w:val="2D097B91"/>
    <w:rsid w:val="2FED777D"/>
    <w:rsid w:val="3DA8579C"/>
    <w:rsid w:val="49CB7B08"/>
    <w:rsid w:val="58153258"/>
    <w:rsid w:val="5F143927"/>
    <w:rsid w:val="69E03C41"/>
    <w:rsid w:val="6E564254"/>
    <w:rsid w:val="7A5E6670"/>
    <w:rsid w:val="7E8B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ody Text"/>
    <w:basedOn w:val="1"/>
    <w:link w:val="15"/>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正文文本 Char"/>
    <w:basedOn w:val="11"/>
    <w:link w:val="4"/>
    <w:semiHidden/>
    <w:qFormat/>
    <w:uiPriority w:val="0"/>
    <w:rPr>
      <w:rFonts w:ascii="Calibri" w:hAnsi="Calibri" w:eastAsia="宋体" w:cs="Times New Roman"/>
      <w:kern w:val="0"/>
      <w:sz w:val="24"/>
      <w:szCs w:val="20"/>
    </w:rPr>
  </w:style>
  <w:style w:type="character" w:customStyle="1" w:styleId="16">
    <w:name w:val="标题 2 Char1"/>
    <w:qFormat/>
    <w:uiPriority w:val="0"/>
    <w:rPr>
      <w:rFonts w:hint="default" w:ascii="Arial" w:hAnsi="Arial" w:eastAsia="黑体" w:cs="Times New Roman"/>
      <w:bCs/>
      <w:kern w:val="0"/>
      <w:sz w:val="28"/>
      <w:szCs w:val="32"/>
    </w:rPr>
  </w:style>
  <w:style w:type="character" w:customStyle="1" w:styleId="17">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8203</Words>
  <Characters>9205</Characters>
  <Lines>52</Lines>
  <Paragraphs>14</Paragraphs>
  <TotalTime>22</TotalTime>
  <ScaleCrop>false</ScaleCrop>
  <LinksUpToDate>false</LinksUpToDate>
  <CharactersWithSpaces>9789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2023-04-23T08:54:00Z</dcterms:created>
  <dc:creator>Administrator</dc:creator>
  <cp:lastModifiedBy>H</cp:lastModifiedBy>
  <cp:lastPrinted>2023-05-19T02:18:00Z</cp:lastPrinted>
  <dcterms:modified xsi:type="dcterms:W3CDTF">2023-05-30T01:48:40Z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eyJoZGlkIjoiY2UxYWM5YTdjMzVhNWUzYWI0ZDY1OTRmYjMyOThhOGQifQ==</vt:lpwstr>
  </property>
  <property fmtid="{D5CDD505-2E9C-101B-9397-08002B2CF9AE}" pid="3" name="KSOProductBuildVer">
    <vt:lpwstr>2052-11.1.0.14309</vt:lpwstr>
  </property>
  <property fmtid="{D5CDD505-2E9C-101B-9397-08002B2CF9AE}" pid="4" name="ICV">
    <vt:lpwstr>9D0BC2BDFEDB4DCABAED0830972EA0DE</vt:lpwstr>
  </property>
</Properties>
</file>