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rPr>
          <w:rFonts w:hint="eastAsia" w:ascii="宋体" w:hAnsi="宋体" w:eastAsia="宋体" w:cs="宋体"/>
          <w:sz w:val="38"/>
          <w:szCs w:val="38"/>
          <w:highlight w:val="none"/>
          <w:lang w:eastAsia="zh-CN"/>
        </w:rPr>
      </w:pPr>
      <w:bookmarkStart w:id="1" w:name="_GoBack"/>
      <w:r>
        <w:rPr>
          <w:rFonts w:hint="eastAsia" w:ascii="宋体" w:hAnsi="宋体" w:cs="宋体"/>
          <w:b/>
          <w:bCs/>
          <w:sz w:val="38"/>
          <w:szCs w:val="38"/>
          <w:highlight w:val="none"/>
          <w:lang w:eastAsia="zh-CN"/>
        </w:rPr>
        <w:t>龙杨高速新增ETC门架系统门架式情报板、赣定高速小黄人车型识别系统、寻全高速服务区智慧化改造工程项目</w:t>
      </w:r>
      <w:r>
        <w:rPr>
          <w:rFonts w:hint="eastAsia" w:ascii="宋体" w:hAnsi="宋体" w:eastAsia="宋体" w:cs="宋体"/>
          <w:b/>
          <w:bCs/>
          <w:sz w:val="38"/>
          <w:szCs w:val="38"/>
          <w:highlight w:val="none"/>
        </w:rPr>
        <w:t>施工招标</w:t>
      </w:r>
      <w:r>
        <w:rPr>
          <w:rFonts w:hint="eastAsia" w:ascii="宋体" w:hAnsi="宋体" w:eastAsia="宋体" w:cs="宋体"/>
          <w:b/>
          <w:bCs/>
          <w:sz w:val="38"/>
          <w:szCs w:val="38"/>
          <w:highlight w:val="none"/>
          <w:lang w:eastAsia="zh-CN"/>
        </w:rPr>
        <w:t>关键内容公开</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根据《公路工程建设项目招标投标管理办法》的规定，现对</w:t>
      </w:r>
      <w:r>
        <w:rPr>
          <w:rFonts w:hint="eastAsia" w:ascii="宋体" w:hAnsi="宋体" w:cs="宋体"/>
          <w:color w:val="auto"/>
          <w:sz w:val="24"/>
          <w:szCs w:val="24"/>
          <w:highlight w:val="none"/>
          <w:lang w:eastAsia="zh-CN"/>
        </w:rPr>
        <w:t>龙杨高速新增ETC门架系统门架式情报板、赣定高速小黄人车型识别系统、寻全高速服务区智慧化改造工程项目施工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文件中的关键内容进行公开：</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一、项目概况</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龙杨高速新增ETC门架系统门架式情报板、赣定高速小黄人车型识别系统、寻全高速服务区智慧化改造工程项目施工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二、投标人资格要求</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eastAsia="zh-CN"/>
        </w:rPr>
        <w:t>龙杨高速新增ETC门架系统门架式情报板、赣定高速小黄人车型识别系统、寻全高速服务区智慧化改造工程项目施工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三、评标办法</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本次招标采用</w:t>
      </w:r>
      <w:r>
        <w:rPr>
          <w:rFonts w:hint="eastAsia" w:ascii="宋体" w:hAnsi="宋体" w:cs="宋体"/>
          <w:color w:val="auto"/>
          <w:sz w:val="24"/>
          <w:szCs w:val="24"/>
          <w:highlight w:val="none"/>
          <w:lang w:val="en-US" w:eastAsia="zh-CN"/>
        </w:rPr>
        <w:t>合理低价</w:t>
      </w:r>
      <w:r>
        <w:rPr>
          <w:rFonts w:hint="eastAsia" w:ascii="宋体" w:hAnsi="宋体" w:eastAsia="宋体" w:cs="宋体"/>
          <w:color w:val="auto"/>
          <w:sz w:val="24"/>
          <w:szCs w:val="24"/>
          <w:highlight w:val="none"/>
          <w:lang w:val="en-US" w:eastAsia="zh-CN"/>
        </w:rPr>
        <w:t>法</w:t>
      </w:r>
      <w:r>
        <w:rPr>
          <w:rFonts w:hint="eastAsia" w:ascii="宋体" w:hAnsi="宋体" w:eastAsia="宋体" w:cs="宋体"/>
          <w:color w:val="auto"/>
          <w:sz w:val="24"/>
          <w:szCs w:val="24"/>
          <w:highlight w:val="none"/>
        </w:rPr>
        <w:t>（详见附件）。</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四、联系方式</w:t>
      </w:r>
    </w:p>
    <w:p>
      <w:pPr>
        <w:pStyle w:val="4"/>
        <w:kinsoku w:val="0"/>
        <w:overflowPunct w:val="0"/>
        <w:spacing w:beforeLines="0" w:afterLines="0" w:line="360" w:lineRule="auto"/>
        <w:ind w:left="0" w:firstLine="476" w:firstLineChars="200"/>
        <w:rPr>
          <w:rFonts w:hint="default"/>
          <w:spacing w:val="-1"/>
          <w:sz w:val="24"/>
          <w:szCs w:val="24"/>
          <w:highlight w:val="none"/>
          <w:lang w:eastAsia="zh-CN"/>
        </w:rPr>
      </w:pPr>
      <w:r>
        <w:rPr>
          <w:rFonts w:hint="default"/>
          <w:spacing w:val="-1"/>
          <w:sz w:val="24"/>
          <w:szCs w:val="24"/>
          <w:highlight w:val="none"/>
        </w:rPr>
        <w:t>招标人：</w:t>
      </w:r>
      <w:r>
        <w:rPr>
          <w:rFonts w:hint="eastAsia"/>
          <w:spacing w:val="-1"/>
          <w:sz w:val="24"/>
          <w:szCs w:val="24"/>
          <w:highlight w:val="none"/>
          <w:lang w:eastAsia="zh-CN"/>
        </w:rPr>
        <w:t>赣州交通控股集团有限公司</w:t>
      </w:r>
    </w:p>
    <w:p>
      <w:pPr>
        <w:pStyle w:val="4"/>
        <w:kinsoku w:val="0"/>
        <w:overflowPunct w:val="0"/>
        <w:spacing w:beforeLines="0" w:afterLines="0" w:line="360" w:lineRule="auto"/>
        <w:ind w:left="0" w:firstLine="476" w:firstLineChars="200"/>
        <w:rPr>
          <w:rFonts w:hint="default"/>
          <w:spacing w:val="20"/>
          <w:sz w:val="24"/>
          <w:szCs w:val="24"/>
          <w:highlight w:val="none"/>
        </w:rPr>
      </w:pPr>
      <w:r>
        <w:rPr>
          <w:rFonts w:hint="default"/>
          <w:spacing w:val="-1"/>
          <w:sz w:val="24"/>
          <w:szCs w:val="24"/>
          <w:highlight w:val="none"/>
        </w:rPr>
        <w:t>地</w:t>
      </w:r>
      <w:r>
        <w:rPr>
          <w:rFonts w:hint="default"/>
          <w:sz w:val="24"/>
          <w:szCs w:val="24"/>
          <w:highlight w:val="none"/>
        </w:rPr>
        <w:t xml:space="preserve">   址：江西省赣州市章贡区沙河镇赣州绕城高速赣州东出口</w:t>
      </w:r>
      <w:r>
        <w:rPr>
          <w:rFonts w:hint="default"/>
          <w:spacing w:val="20"/>
          <w:sz w:val="24"/>
          <w:szCs w:val="24"/>
          <w:highlight w:val="none"/>
        </w:rPr>
        <w:t xml:space="preserve"> </w:t>
      </w:r>
    </w:p>
    <w:p>
      <w:pPr>
        <w:pStyle w:val="4"/>
        <w:kinsoku w:val="0"/>
        <w:overflowPunct w:val="0"/>
        <w:spacing w:beforeLines="0" w:afterLines="0" w:line="360" w:lineRule="auto"/>
        <w:ind w:left="0" w:firstLine="476" w:firstLineChars="200"/>
        <w:rPr>
          <w:rFonts w:hint="default"/>
          <w:sz w:val="24"/>
          <w:szCs w:val="24"/>
          <w:highlight w:val="none"/>
        </w:rPr>
      </w:pPr>
      <w:r>
        <w:rPr>
          <w:rFonts w:hint="default"/>
          <w:spacing w:val="-1"/>
          <w:sz w:val="24"/>
          <w:szCs w:val="24"/>
          <w:highlight w:val="none"/>
        </w:rPr>
        <w:t>邮</w:t>
      </w:r>
      <w:r>
        <w:rPr>
          <w:rFonts w:hint="default"/>
          <w:sz w:val="24"/>
          <w:szCs w:val="24"/>
          <w:highlight w:val="none"/>
        </w:rPr>
        <w:t xml:space="preserve"> </w:t>
      </w:r>
      <w:r>
        <w:rPr>
          <w:rFonts w:hint="default"/>
          <w:spacing w:val="120"/>
          <w:sz w:val="24"/>
          <w:szCs w:val="24"/>
          <w:highlight w:val="none"/>
        </w:rPr>
        <w:t xml:space="preserve"> </w:t>
      </w:r>
      <w:r>
        <w:rPr>
          <w:rFonts w:hint="default"/>
          <w:sz w:val="24"/>
          <w:szCs w:val="24"/>
          <w:highlight w:val="none"/>
        </w:rPr>
        <w:t>编：341000</w:t>
      </w:r>
    </w:p>
    <w:p>
      <w:pPr>
        <w:pStyle w:val="4"/>
        <w:kinsoku w:val="0"/>
        <w:overflowPunct w:val="0"/>
        <w:spacing w:beforeLines="0" w:afterLines="0" w:line="360" w:lineRule="auto"/>
        <w:ind w:left="0" w:firstLine="476" w:firstLineChars="200"/>
        <w:rPr>
          <w:rFonts w:hint="default"/>
          <w:sz w:val="24"/>
          <w:szCs w:val="24"/>
          <w:highlight w:val="none"/>
        </w:rPr>
      </w:pPr>
      <w:r>
        <w:rPr>
          <w:rFonts w:hint="default"/>
          <w:spacing w:val="-1"/>
          <w:sz w:val="24"/>
          <w:szCs w:val="24"/>
          <w:highlight w:val="none"/>
        </w:rPr>
        <w:t>联系人：温女士</w:t>
      </w:r>
      <w:r>
        <w:rPr>
          <w:rFonts w:hint="default"/>
          <w:sz w:val="24"/>
          <w:szCs w:val="24"/>
          <w:highlight w:val="none"/>
        </w:rPr>
        <w:t xml:space="preserve"> </w:t>
      </w:r>
    </w:p>
    <w:p>
      <w:pPr>
        <w:pStyle w:val="4"/>
        <w:kinsoku w:val="0"/>
        <w:overflowPunct w:val="0"/>
        <w:spacing w:beforeLines="0" w:afterLines="0" w:line="360" w:lineRule="auto"/>
        <w:ind w:left="0" w:firstLine="476" w:firstLineChars="200"/>
        <w:rPr>
          <w:rFonts w:hint="default"/>
          <w:spacing w:val="20"/>
          <w:sz w:val="24"/>
          <w:szCs w:val="24"/>
          <w:highlight w:val="none"/>
        </w:rPr>
      </w:pPr>
      <w:r>
        <w:rPr>
          <w:rFonts w:hint="default"/>
          <w:spacing w:val="-1"/>
          <w:sz w:val="24"/>
          <w:szCs w:val="24"/>
          <w:highlight w:val="none"/>
        </w:rPr>
        <w:t>电</w:t>
      </w:r>
      <w:r>
        <w:rPr>
          <w:rFonts w:hint="default"/>
          <w:sz w:val="24"/>
          <w:szCs w:val="24"/>
          <w:highlight w:val="none"/>
        </w:rPr>
        <w:t xml:space="preserve">   话：0797-8289692</w:t>
      </w:r>
      <w:r>
        <w:rPr>
          <w:rFonts w:hint="default"/>
          <w:spacing w:val="20"/>
          <w:sz w:val="24"/>
          <w:szCs w:val="24"/>
          <w:highlight w:val="none"/>
        </w:rPr>
        <w:t xml:space="preserve"> </w:t>
      </w:r>
    </w:p>
    <w:p>
      <w:pPr>
        <w:pStyle w:val="4"/>
        <w:kinsoku w:val="0"/>
        <w:overflowPunct w:val="0"/>
        <w:spacing w:beforeLines="0" w:afterLines="0" w:line="360" w:lineRule="auto"/>
        <w:ind w:left="0" w:firstLine="476" w:firstLineChars="200"/>
        <w:rPr>
          <w:rFonts w:hint="default"/>
          <w:sz w:val="24"/>
          <w:szCs w:val="24"/>
          <w:highlight w:val="none"/>
        </w:rPr>
      </w:pPr>
      <w:r>
        <w:rPr>
          <w:rFonts w:hint="default"/>
          <w:spacing w:val="-1"/>
          <w:sz w:val="24"/>
          <w:szCs w:val="24"/>
          <w:highlight w:val="none"/>
        </w:rPr>
        <w:t>传</w:t>
      </w:r>
      <w:r>
        <w:rPr>
          <w:rFonts w:hint="default"/>
          <w:sz w:val="24"/>
          <w:szCs w:val="24"/>
          <w:highlight w:val="none"/>
        </w:rPr>
        <w:t xml:space="preserve">   真：0797-8289692</w:t>
      </w:r>
    </w:p>
    <w:p>
      <w:pPr>
        <w:pStyle w:val="4"/>
        <w:kinsoku w:val="0"/>
        <w:overflowPunct w:val="0"/>
        <w:spacing w:beforeLines="0" w:afterLines="0" w:line="360" w:lineRule="auto"/>
        <w:ind w:left="0" w:firstLine="400" w:firstLineChars="200"/>
        <w:rPr>
          <w:rFonts w:hint="default"/>
          <w:sz w:val="20"/>
          <w:szCs w:val="24"/>
          <w:highlight w:val="none"/>
        </w:rPr>
      </w:pPr>
    </w:p>
    <w:p>
      <w:pPr>
        <w:pStyle w:val="4"/>
        <w:kinsoku w:val="0"/>
        <w:overflowPunct w:val="0"/>
        <w:spacing w:beforeLines="0" w:afterLines="0" w:line="360" w:lineRule="auto"/>
        <w:ind w:left="0" w:firstLine="480" w:firstLineChars="200"/>
        <w:rPr>
          <w:rFonts w:hint="eastAsia" w:eastAsia="宋体"/>
          <w:sz w:val="24"/>
          <w:szCs w:val="24"/>
          <w:highlight w:val="none"/>
          <w:lang w:eastAsia="zh-CN"/>
        </w:rPr>
      </w:pPr>
      <w:r>
        <w:rPr>
          <w:rFonts w:hint="default"/>
          <w:sz w:val="24"/>
          <w:szCs w:val="24"/>
          <w:highlight w:val="none"/>
        </w:rPr>
        <w:t>招标代理机构：</w:t>
      </w:r>
      <w:r>
        <w:rPr>
          <w:rFonts w:hint="eastAsia"/>
          <w:sz w:val="24"/>
          <w:szCs w:val="24"/>
          <w:highlight w:val="none"/>
          <w:lang w:eastAsia="zh-CN"/>
        </w:rPr>
        <w:t>江西省赣南公路勘察设计院有限公司</w:t>
      </w:r>
    </w:p>
    <w:p>
      <w:pPr>
        <w:pStyle w:val="4"/>
        <w:kinsoku w:val="0"/>
        <w:overflowPunct w:val="0"/>
        <w:spacing w:beforeLines="0" w:afterLines="0" w:line="360" w:lineRule="auto"/>
        <w:ind w:left="0" w:firstLine="476" w:firstLineChars="200"/>
        <w:rPr>
          <w:rFonts w:hint="default"/>
          <w:sz w:val="24"/>
          <w:szCs w:val="24"/>
          <w:highlight w:val="none"/>
        </w:rPr>
      </w:pPr>
      <w:r>
        <w:rPr>
          <w:rFonts w:hint="default"/>
          <w:spacing w:val="-1"/>
          <w:sz w:val="24"/>
          <w:szCs w:val="24"/>
          <w:highlight w:val="none"/>
        </w:rPr>
        <w:t>地</w:t>
      </w:r>
      <w:r>
        <w:rPr>
          <w:rFonts w:hint="default"/>
          <w:sz w:val="24"/>
          <w:szCs w:val="24"/>
          <w:highlight w:val="none"/>
        </w:rPr>
        <w:t xml:space="preserve">        址：赣州市章江新区赞贤路</w:t>
      </w:r>
      <w:r>
        <w:rPr>
          <w:rFonts w:hint="default"/>
          <w:spacing w:val="-60"/>
          <w:sz w:val="24"/>
          <w:szCs w:val="24"/>
          <w:highlight w:val="none"/>
        </w:rPr>
        <w:t xml:space="preserve"> </w:t>
      </w:r>
      <w:r>
        <w:rPr>
          <w:rFonts w:hint="default"/>
          <w:sz w:val="24"/>
          <w:szCs w:val="24"/>
          <w:highlight w:val="none"/>
        </w:rPr>
        <w:t>36</w:t>
      </w:r>
      <w:r>
        <w:rPr>
          <w:rFonts w:hint="default"/>
          <w:spacing w:val="-60"/>
          <w:sz w:val="24"/>
          <w:szCs w:val="24"/>
          <w:highlight w:val="none"/>
        </w:rPr>
        <w:t xml:space="preserve"> </w:t>
      </w:r>
      <w:r>
        <w:rPr>
          <w:rFonts w:hint="default"/>
          <w:sz w:val="24"/>
          <w:szCs w:val="24"/>
          <w:highlight w:val="none"/>
        </w:rPr>
        <w:t>号</w:t>
      </w:r>
    </w:p>
    <w:p>
      <w:pPr>
        <w:pStyle w:val="4"/>
        <w:kinsoku w:val="0"/>
        <w:overflowPunct w:val="0"/>
        <w:spacing w:beforeLines="0" w:afterLines="0" w:line="360" w:lineRule="auto"/>
        <w:ind w:left="0" w:firstLine="476" w:firstLineChars="200"/>
        <w:rPr>
          <w:rFonts w:hint="default"/>
          <w:sz w:val="24"/>
          <w:szCs w:val="24"/>
          <w:highlight w:val="none"/>
          <w:lang w:eastAsia="zh-CN"/>
        </w:rPr>
      </w:pPr>
      <w:r>
        <w:rPr>
          <w:rFonts w:hint="default"/>
          <w:spacing w:val="-1"/>
          <w:sz w:val="24"/>
          <w:szCs w:val="24"/>
          <w:highlight w:val="none"/>
        </w:rPr>
        <w:t>联</w:t>
      </w:r>
      <w:r>
        <w:rPr>
          <w:rFonts w:hint="default"/>
          <w:sz w:val="24"/>
          <w:szCs w:val="24"/>
          <w:highlight w:val="none"/>
        </w:rPr>
        <w:t xml:space="preserve"> </w:t>
      </w:r>
      <w:r>
        <w:rPr>
          <w:rFonts w:hint="default"/>
          <w:spacing w:val="120"/>
          <w:sz w:val="24"/>
          <w:szCs w:val="24"/>
          <w:highlight w:val="none"/>
        </w:rPr>
        <w:t xml:space="preserve"> </w:t>
      </w:r>
      <w:r>
        <w:rPr>
          <w:rFonts w:hint="default"/>
          <w:sz w:val="24"/>
          <w:szCs w:val="24"/>
          <w:highlight w:val="none"/>
        </w:rPr>
        <w:t xml:space="preserve">系 </w:t>
      </w:r>
      <w:r>
        <w:rPr>
          <w:rFonts w:hint="default"/>
          <w:sz w:val="24"/>
          <w:szCs w:val="24"/>
          <w:highlight w:val="none"/>
          <w:lang w:val="en-US" w:eastAsia="zh-CN"/>
        </w:rPr>
        <w:t xml:space="preserve">  </w:t>
      </w:r>
      <w:r>
        <w:rPr>
          <w:rFonts w:hint="default"/>
          <w:sz w:val="24"/>
          <w:szCs w:val="24"/>
          <w:highlight w:val="none"/>
        </w:rPr>
        <w:t>人：</w:t>
      </w:r>
      <w:r>
        <w:rPr>
          <w:rFonts w:hint="default"/>
          <w:sz w:val="24"/>
          <w:szCs w:val="24"/>
          <w:highlight w:val="none"/>
          <w:lang w:eastAsia="zh-CN"/>
        </w:rPr>
        <w:t>赖工</w:t>
      </w:r>
    </w:p>
    <w:p>
      <w:pPr>
        <w:pStyle w:val="4"/>
        <w:kinsoku w:val="0"/>
        <w:overflowPunct w:val="0"/>
        <w:spacing w:beforeLines="0" w:afterLines="0" w:line="360" w:lineRule="auto"/>
        <w:ind w:left="0" w:firstLine="476" w:firstLineChars="200"/>
        <w:rPr>
          <w:rFonts w:hint="default"/>
          <w:spacing w:val="20"/>
          <w:sz w:val="24"/>
          <w:szCs w:val="24"/>
          <w:highlight w:val="none"/>
        </w:rPr>
      </w:pPr>
      <w:r>
        <w:rPr>
          <w:rFonts w:hint="default"/>
          <w:spacing w:val="-1"/>
          <w:sz w:val="24"/>
          <w:szCs w:val="24"/>
          <w:highlight w:val="none"/>
        </w:rPr>
        <w:t>电</w:t>
      </w:r>
      <w:r>
        <w:rPr>
          <w:rFonts w:hint="default"/>
          <w:sz w:val="24"/>
          <w:szCs w:val="24"/>
          <w:highlight w:val="none"/>
        </w:rPr>
        <w:t xml:space="preserve">     </w:t>
      </w:r>
      <w:r>
        <w:rPr>
          <w:rFonts w:hint="default"/>
          <w:spacing w:val="120"/>
          <w:sz w:val="24"/>
          <w:szCs w:val="24"/>
          <w:highlight w:val="none"/>
        </w:rPr>
        <w:t xml:space="preserve"> </w:t>
      </w:r>
      <w:r>
        <w:rPr>
          <w:rFonts w:hint="default"/>
          <w:sz w:val="24"/>
          <w:szCs w:val="24"/>
          <w:highlight w:val="none"/>
        </w:rPr>
        <w:t>话： 0797-8088235</w:t>
      </w:r>
      <w:r>
        <w:rPr>
          <w:rFonts w:hint="default"/>
          <w:spacing w:val="20"/>
          <w:sz w:val="24"/>
          <w:szCs w:val="24"/>
          <w:highlight w:val="none"/>
        </w:rPr>
        <w:t xml:space="preserve"> </w:t>
      </w:r>
    </w:p>
    <w:p>
      <w:pPr>
        <w:pStyle w:val="4"/>
        <w:kinsoku w:val="0"/>
        <w:overflowPunct w:val="0"/>
        <w:spacing w:beforeLines="0" w:afterLines="0" w:line="360" w:lineRule="auto"/>
        <w:ind w:left="0" w:firstLine="476" w:firstLineChars="200"/>
        <w:rPr>
          <w:rFonts w:hint="default"/>
          <w:spacing w:val="-1"/>
          <w:sz w:val="24"/>
          <w:szCs w:val="24"/>
          <w:highlight w:val="none"/>
        </w:rPr>
      </w:pPr>
      <w:r>
        <w:rPr>
          <w:rFonts w:hint="default"/>
          <w:spacing w:val="-1"/>
          <w:sz w:val="24"/>
          <w:szCs w:val="24"/>
          <w:highlight w:val="none"/>
        </w:rPr>
        <w:t>电子邮件：</w:t>
      </w:r>
      <w:r>
        <w:rPr>
          <w:rFonts w:hint="default"/>
          <w:spacing w:val="-1"/>
          <w:sz w:val="24"/>
          <w:szCs w:val="24"/>
          <w:highlight w:val="none"/>
        </w:rPr>
        <w:fldChar w:fldCharType="begin"/>
      </w:r>
      <w:r>
        <w:rPr>
          <w:rFonts w:hint="default"/>
          <w:spacing w:val="-1"/>
          <w:sz w:val="24"/>
          <w:szCs w:val="24"/>
          <w:highlight w:val="none"/>
        </w:rPr>
        <w:instrText xml:space="preserve"> HYPERLINK "mailto:gnglkcsjy@163.com" </w:instrText>
      </w:r>
      <w:r>
        <w:rPr>
          <w:rFonts w:hint="default"/>
          <w:spacing w:val="-1"/>
          <w:sz w:val="24"/>
          <w:szCs w:val="24"/>
          <w:highlight w:val="none"/>
        </w:rPr>
        <w:fldChar w:fldCharType="separate"/>
      </w:r>
      <w:r>
        <w:rPr>
          <w:rFonts w:hint="default"/>
          <w:spacing w:val="-1"/>
          <w:sz w:val="24"/>
          <w:szCs w:val="24"/>
          <w:highlight w:val="none"/>
        </w:rPr>
        <w:t>gnglkcsjy@163.com</w:t>
      </w:r>
      <w:r>
        <w:rPr>
          <w:rFonts w:hint="default"/>
          <w:spacing w:val="-1"/>
          <w:sz w:val="24"/>
          <w:szCs w:val="24"/>
          <w:highlight w:val="none"/>
        </w:rPr>
        <w:fldChar w:fldCharType="end"/>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bookmarkStart w:id="0" w:name="_Toc9094"/>
      <w:r>
        <w:rPr>
          <w:rFonts w:hint="eastAsia" w:ascii="宋体" w:hAnsi="宋体" w:eastAsia="宋体" w:cs="宋体"/>
          <w:b/>
          <w:bCs/>
          <w:color w:val="auto"/>
          <w:sz w:val="24"/>
          <w:szCs w:val="24"/>
          <w:highlight w:val="none"/>
          <w:lang w:val="en-US" w:eastAsia="zh-CN"/>
        </w:rPr>
        <w:t>评标办法</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215"/>
        <w:gridCol w:w="7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620" w:type="dxa"/>
            <w:gridSpan w:val="2"/>
            <w:tcBorders>
              <w:top w:val="single" w:color="auto" w:sz="12" w:space="0"/>
              <w:left w:val="single" w:color="auto" w:sz="12" w:space="0"/>
              <w:bottom w:val="single" w:color="auto" w:sz="4" w:space="0"/>
              <w:right w:val="single" w:color="auto" w:sz="4"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center"/>
              <w:rPr>
                <w:rFonts w:hint="default"/>
                <w:b/>
                <w:sz w:val="24"/>
                <w:szCs w:val="24"/>
                <w:highlight w:val="none"/>
              </w:rPr>
            </w:pPr>
            <w:r>
              <w:rPr>
                <w:rFonts w:hint="default" w:ascii="宋体"/>
                <w:b/>
                <w:sz w:val="24"/>
                <w:szCs w:val="24"/>
                <w:highlight w:val="none"/>
              </w:rPr>
              <w:t>条款号</w:t>
            </w:r>
          </w:p>
        </w:tc>
        <w:tc>
          <w:tcPr>
            <w:tcW w:w="7620" w:type="dxa"/>
            <w:tcBorders>
              <w:top w:val="single" w:color="auto" w:sz="12" w:space="0"/>
              <w:left w:val="single" w:color="auto" w:sz="4" w:space="0"/>
              <w:bottom w:val="single" w:color="auto" w:sz="4" w:space="0"/>
              <w:right w:val="single" w:color="auto" w:sz="12" w:space="0"/>
              <w:tl2br w:val="nil"/>
              <w:tr2bl w:val="nil"/>
            </w:tcBorders>
            <w:noWrap w:val="0"/>
            <w:vAlign w:val="center"/>
          </w:tcPr>
          <w:p>
            <w:pPr>
              <w:autoSpaceDE w:val="0"/>
              <w:autoSpaceDN w:val="0"/>
              <w:adjustRightInd w:val="0"/>
              <w:spacing w:beforeLines="0" w:afterLines="0" w:line="400" w:lineRule="atLeast"/>
              <w:jc w:val="center"/>
              <w:rPr>
                <w:rFonts w:hint="default"/>
                <w:b/>
                <w:sz w:val="24"/>
                <w:szCs w:val="24"/>
                <w:highlight w:val="none"/>
              </w:rPr>
            </w:pPr>
            <w:r>
              <w:rPr>
                <w:rFonts w:hint="default" w:ascii="宋体"/>
                <w:b/>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05" w:type="dxa"/>
            <w:tcBorders>
              <w:top w:val="single" w:color="auto" w:sz="4" w:space="0"/>
              <w:left w:val="single" w:color="auto" w:sz="12" w:space="0"/>
              <w:bottom w:val="single" w:color="auto" w:sz="12" w:space="0"/>
              <w:right w:val="single" w:color="auto" w:sz="4" w:space="0"/>
              <w:tl2br w:val="nil"/>
              <w:tr2bl w:val="nil"/>
            </w:tcBorders>
            <w:noWrap w:val="0"/>
            <w:vAlign w:val="center"/>
          </w:tcPr>
          <w:p>
            <w:pPr>
              <w:autoSpaceDE w:val="0"/>
              <w:autoSpaceDN w:val="0"/>
              <w:adjustRightInd w:val="0"/>
              <w:spacing w:beforeLines="0" w:afterLines="0" w:line="400" w:lineRule="atLeast"/>
              <w:jc w:val="center"/>
              <w:rPr>
                <w:rFonts w:hint="default" w:ascii="宋体" w:hAnsi="宋体"/>
                <w:sz w:val="24"/>
                <w:szCs w:val="24"/>
                <w:highlight w:val="none"/>
              </w:rPr>
            </w:pPr>
            <w:r>
              <w:rPr>
                <w:rFonts w:hint="default" w:ascii="宋体" w:hAnsi="宋体"/>
                <w:sz w:val="24"/>
                <w:szCs w:val="24"/>
                <w:highlight w:val="none"/>
              </w:rPr>
              <w:t>1</w:t>
            </w:r>
          </w:p>
        </w:tc>
        <w:tc>
          <w:tcPr>
            <w:tcW w:w="1215" w:type="dxa"/>
            <w:tcBorders>
              <w:top w:val="single" w:color="auto" w:sz="4" w:space="0"/>
              <w:left w:val="single" w:color="auto" w:sz="4" w:space="0"/>
              <w:bottom w:val="single" w:color="auto" w:sz="12" w:space="0"/>
              <w:right w:val="single" w:color="auto" w:sz="4" w:space="0"/>
              <w:tl2br w:val="nil"/>
              <w:tr2bl w:val="nil"/>
            </w:tcBorders>
            <w:noWrap w:val="0"/>
            <w:vAlign w:val="center"/>
          </w:tcPr>
          <w:p>
            <w:pPr>
              <w:autoSpaceDE w:val="0"/>
              <w:autoSpaceDN w:val="0"/>
              <w:adjustRightInd w:val="0"/>
              <w:spacing w:beforeLines="0" w:afterLines="0" w:line="400" w:lineRule="atLeast"/>
              <w:jc w:val="center"/>
              <w:rPr>
                <w:rFonts w:hint="default"/>
                <w:sz w:val="24"/>
                <w:szCs w:val="24"/>
                <w:highlight w:val="none"/>
              </w:rPr>
            </w:pPr>
            <w:r>
              <w:rPr>
                <w:rFonts w:hint="default" w:ascii="宋体"/>
                <w:sz w:val="24"/>
                <w:szCs w:val="24"/>
                <w:highlight w:val="none"/>
              </w:rPr>
              <w:t>评</w:t>
            </w:r>
          </w:p>
          <w:p>
            <w:pPr>
              <w:autoSpaceDE w:val="0"/>
              <w:autoSpaceDN w:val="0"/>
              <w:adjustRightInd w:val="0"/>
              <w:spacing w:beforeLines="0" w:afterLines="0" w:line="400" w:lineRule="atLeast"/>
              <w:jc w:val="center"/>
              <w:rPr>
                <w:rFonts w:hint="default"/>
                <w:sz w:val="24"/>
                <w:szCs w:val="24"/>
                <w:highlight w:val="none"/>
              </w:rPr>
            </w:pPr>
            <w:r>
              <w:rPr>
                <w:rFonts w:hint="default" w:ascii="宋体"/>
                <w:sz w:val="24"/>
                <w:szCs w:val="24"/>
                <w:highlight w:val="none"/>
              </w:rPr>
              <w:t>标</w:t>
            </w:r>
          </w:p>
          <w:p>
            <w:pPr>
              <w:autoSpaceDE w:val="0"/>
              <w:autoSpaceDN w:val="0"/>
              <w:adjustRightInd w:val="0"/>
              <w:spacing w:beforeLines="0" w:afterLines="0" w:line="400" w:lineRule="atLeast"/>
              <w:jc w:val="center"/>
              <w:rPr>
                <w:rFonts w:hint="default"/>
                <w:sz w:val="24"/>
                <w:szCs w:val="24"/>
                <w:highlight w:val="none"/>
              </w:rPr>
            </w:pPr>
            <w:r>
              <w:rPr>
                <w:rFonts w:hint="default" w:ascii="宋体"/>
                <w:sz w:val="24"/>
                <w:szCs w:val="24"/>
                <w:highlight w:val="none"/>
              </w:rPr>
              <w:t>办</w:t>
            </w:r>
          </w:p>
          <w:p>
            <w:pPr>
              <w:autoSpaceDE w:val="0"/>
              <w:autoSpaceDN w:val="0"/>
              <w:adjustRightInd w:val="0"/>
              <w:spacing w:beforeLines="0" w:afterLines="0" w:line="400" w:lineRule="atLeast"/>
              <w:jc w:val="center"/>
              <w:rPr>
                <w:rFonts w:hint="default" w:ascii="宋体" w:hAnsi="宋体"/>
                <w:sz w:val="24"/>
                <w:szCs w:val="24"/>
                <w:highlight w:val="none"/>
              </w:rPr>
            </w:pPr>
            <w:r>
              <w:rPr>
                <w:rFonts w:hint="default" w:ascii="宋体"/>
                <w:sz w:val="24"/>
                <w:szCs w:val="24"/>
                <w:highlight w:val="none"/>
              </w:rPr>
              <w:t>法</w:t>
            </w:r>
          </w:p>
        </w:tc>
        <w:tc>
          <w:tcPr>
            <w:tcW w:w="7620" w:type="dxa"/>
            <w:tcBorders>
              <w:top w:val="single" w:color="auto" w:sz="4" w:space="0"/>
              <w:left w:val="single" w:color="auto" w:sz="4" w:space="0"/>
              <w:bottom w:val="single" w:color="auto" w:sz="12" w:space="0"/>
              <w:right w:val="single" w:color="auto" w:sz="12" w:space="0"/>
              <w:tl2br w:val="nil"/>
              <w:tr2bl w:val="nil"/>
            </w:tcBorders>
            <w:noWrap w:val="0"/>
            <w:vAlign w:val="center"/>
          </w:tcPr>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综合评分相等时，评标委员会依次按照以下优先顺序推荐中标候选人或确定中标人：</w:t>
            </w:r>
          </w:p>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（1）江西省交通运输厅最新发布的信用评价结果中机电序列得分高者优先；</w:t>
            </w:r>
          </w:p>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（2）企业注册基本金较高的投标人优先；</w:t>
            </w:r>
          </w:p>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（3）抽签</w:t>
            </w:r>
            <w:r>
              <w:rPr>
                <w:rFonts w:hint="default" w:ascii="宋体" w:hAnsi="宋体" w:cs="Times New Roman"/>
                <w:sz w:val="24"/>
                <w:szCs w:val="24"/>
                <w:highlight w:val="none"/>
              </w:rPr>
              <w:t>。</w:t>
            </w:r>
          </w:p>
        </w:tc>
      </w:tr>
    </w:tbl>
    <w:p>
      <w:pPr>
        <w:pStyle w:val="9"/>
        <w:jc w:val="center"/>
        <w:rPr>
          <w:rFonts w:hint="default" w:ascii="宋体" w:hAnsi="宋体"/>
          <w:sz w:val="24"/>
          <w:szCs w:val="24"/>
          <w:highlight w:val="none"/>
        </w:rPr>
      </w:pPr>
    </w:p>
    <w:p>
      <w:pPr>
        <w:autoSpaceDE w:val="0"/>
        <w:autoSpaceDN w:val="0"/>
        <w:adjustRightInd w:val="0"/>
        <w:spacing w:beforeLines="0" w:afterLines="0"/>
        <w:jc w:val="center"/>
        <w:rPr>
          <w:rFonts w:hint="default"/>
          <w:sz w:val="24"/>
          <w:szCs w:val="24"/>
          <w:highlight w:val="none"/>
        </w:rPr>
      </w:pPr>
    </w:p>
    <w:tbl>
      <w:tblPr>
        <w:tblStyle w:val="10"/>
        <w:tblW w:w="92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2"/>
        <w:gridCol w:w="785"/>
        <w:gridCol w:w="491"/>
        <w:gridCol w:w="1443"/>
        <w:gridCol w:w="5740"/>
        <w:gridCol w:w="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tblHeader/>
          <w:jc w:val="center"/>
        </w:trPr>
        <w:tc>
          <w:tcPr>
            <w:tcW w:w="1587" w:type="dxa"/>
            <w:gridSpan w:val="2"/>
            <w:tcBorders>
              <w:top w:val="single" w:color="auto" w:sz="12"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条款号</w:t>
            </w:r>
          </w:p>
        </w:tc>
        <w:tc>
          <w:tcPr>
            <w:tcW w:w="1934"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评审因素</w:t>
            </w:r>
          </w:p>
        </w:tc>
        <w:tc>
          <w:tcPr>
            <w:tcW w:w="5740" w:type="dxa"/>
            <w:tcBorders>
              <w:top w:val="single" w:color="auto" w:sz="12"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0" w:leftChars="0" w:firstLine="0" w:firstLineChars="0"/>
              <w:jc w:val="left"/>
              <w:rPr>
                <w:rFonts w:hint="default" w:ascii="宋体" w:hAnsi="宋体"/>
                <w:sz w:val="24"/>
                <w:szCs w:val="24"/>
                <w:highlight w:val="none"/>
              </w:rPr>
            </w:pPr>
            <w:r>
              <w:rPr>
                <w:rFonts w:hint="default" w:ascii="宋体" w:hAnsi="宋体"/>
                <w:sz w:val="24"/>
                <w:szCs w:val="24"/>
                <w:highlight w:val="none"/>
              </w:rPr>
              <w:t>2.1.1</w:t>
            </w:r>
          </w:p>
        </w:tc>
        <w:tc>
          <w:tcPr>
            <w:tcW w:w="7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第</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一</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信</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封</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商</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务</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及</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技</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术</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文</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件</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商</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务</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文</w:t>
            </w:r>
          </w:p>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件</w:t>
            </w:r>
          </w:p>
        </w:tc>
        <w:tc>
          <w:tcPr>
            <w:tcW w:w="491" w:type="dxa"/>
            <w:vMerge w:val="restart"/>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line="480" w:lineRule="exact"/>
              <w:ind w:left="113" w:right="113"/>
              <w:jc w:val="left"/>
              <w:rPr>
                <w:rFonts w:hint="default" w:ascii="宋体" w:hAnsi="宋体"/>
                <w:sz w:val="24"/>
                <w:szCs w:val="24"/>
                <w:highlight w:val="none"/>
              </w:rPr>
            </w:pPr>
            <w:r>
              <w:rPr>
                <w:rFonts w:hint="default" w:ascii="宋体" w:hAnsi="宋体"/>
                <w:sz w:val="24"/>
                <w:szCs w:val="24"/>
                <w:highlight w:val="none"/>
              </w:rPr>
              <w:t>形式评审、资格评审及响应性评审</w:t>
            </w: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文件签字盖章</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符合第二章“投标人须知”第3.7.3项规定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文件填写及组成</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投标保证金</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优先选择次序</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投多个类别的投标人各类别投标文件填写的优先选择次序内容一致，类别和标段名称符合招标文件规定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投标函填写</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按招标文件规定填报了正确的招标人名称、项目名称、类别名称和补遗书编号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营业执照、资质证书和安全生产许可证</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具备有效的营业执照、资质证书和安全生产许可证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资质等级</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财务能力</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类似项目业绩</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信誉</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项目经理和项目总工</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both"/>
              <w:rPr>
                <w:rFonts w:hint="default" w:ascii="宋体" w:hAnsi="宋体"/>
                <w:sz w:val="24"/>
                <w:szCs w:val="24"/>
                <w:highlight w:val="none"/>
              </w:rPr>
            </w:pPr>
            <w:r>
              <w:rPr>
                <w:rFonts w:hint="default" w:ascii="宋体" w:hAnsi="宋体"/>
                <w:sz w:val="24"/>
                <w:szCs w:val="24"/>
                <w:highlight w:val="none"/>
              </w:rPr>
              <w:t>其他要求</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center"/>
              <w:rPr>
                <w:rFonts w:hint="default" w:ascii="宋体" w:hAnsi="宋体"/>
                <w:sz w:val="24"/>
                <w:szCs w:val="24"/>
                <w:highlight w:val="none"/>
              </w:rPr>
            </w:pPr>
            <w:r>
              <w:rPr>
                <w:rFonts w:hint="default" w:ascii="宋体" w:hAnsi="宋体"/>
                <w:sz w:val="24"/>
                <w:szCs w:val="24"/>
                <w:highlight w:val="none"/>
              </w:rPr>
              <w:t>符合第二章“投标人须知”第 1.4.1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工期目标</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质量目标</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材料设备选型</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13"/>
              <w:tabs>
                <w:tab w:val="left" w:pos="4252"/>
              </w:tabs>
              <w:snapToGrid w:val="0"/>
              <w:spacing w:beforeLines="0" w:afterLines="0" w:line="264" w:lineRule="auto"/>
              <w:jc w:val="left"/>
              <w:rPr>
                <w:rFonts w:hint="default" w:ascii="宋体" w:hAnsi="宋体" w:eastAsia="宋体"/>
                <w:sz w:val="24"/>
                <w:szCs w:val="24"/>
                <w:highlight w:val="none"/>
                <w:lang w:eastAsia="zh-CN"/>
              </w:rPr>
            </w:pPr>
            <w:r>
              <w:rPr>
                <w:rFonts w:hint="default" w:ascii="宋体" w:hAnsi="宋体" w:eastAsia="宋体" w:cs="Times New Roman"/>
                <w:sz w:val="24"/>
                <w:szCs w:val="24"/>
                <w:highlight w:val="none"/>
                <w:lang w:val="en-US" w:eastAsia="zh-CN" w:bidi="ar-SA"/>
              </w:rPr>
              <w:t>投标人投标时不得提供主要材料设备品牌选型。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投标函附录数据</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项目经理和项目总工人员选择</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eastAsia="宋体" w:cs="Times New Roman"/>
                <w:sz w:val="24"/>
                <w:szCs w:val="24"/>
                <w:highlight w:val="none"/>
                <w:lang w:val="en-US" w:eastAsia="zh-CN" w:bidi="ar-SA"/>
              </w:rPr>
              <w:t>符合第二章“投标人须知”第3.5.</w:t>
            </w:r>
            <w:r>
              <w:rPr>
                <w:rFonts w:hint="eastAsia" w:ascii="宋体" w:hAnsi="宋体" w:cs="Times New Roman"/>
                <w:sz w:val="24"/>
                <w:szCs w:val="24"/>
                <w:highlight w:val="none"/>
                <w:lang w:val="en-US" w:eastAsia="zh-CN" w:bidi="ar-SA"/>
              </w:rPr>
              <w:t>10</w:t>
            </w:r>
            <w:r>
              <w:rPr>
                <w:rFonts w:hint="default" w:ascii="宋体" w:hAnsi="宋体" w:eastAsia="宋体" w:cs="Times New Roman"/>
                <w:sz w:val="24"/>
                <w:szCs w:val="24"/>
                <w:highlight w:val="none"/>
                <w:lang w:val="en-US" w:eastAsia="zh-CN" w:bidi="ar-SA"/>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分包</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如有分包计划，符合第二章“投标人须知”第</w:t>
            </w:r>
            <w:r>
              <w:rPr>
                <w:rFonts w:hint="default" w:ascii="宋体" w:hAnsi="宋体"/>
                <w:b/>
                <w:sz w:val="24"/>
                <w:szCs w:val="24"/>
                <w:highlight w:val="none"/>
                <w:u w:val="single"/>
              </w:rPr>
              <w:t>10.3</w:t>
            </w:r>
            <w:r>
              <w:rPr>
                <w:rFonts w:hint="default" w:ascii="宋体" w:hAnsi="宋体"/>
                <w:sz w:val="24"/>
                <w:szCs w:val="24"/>
                <w:highlight w:val="none"/>
              </w:rPr>
              <w:t>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10" w:type="dxa"/>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承诺函</w:t>
            </w:r>
          </w:p>
        </w:tc>
        <w:tc>
          <w:tcPr>
            <w:tcW w:w="5740" w:type="dxa"/>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未对招标文件的承诺函文字说明修改或删除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权利义务符合招标文件规定</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a.投标人应接受招标文件规定的风险划分原则，未提出新的风险划分办法；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120" w:leftChars="50"/>
              <w:jc w:val="left"/>
              <w:rPr>
                <w:rFonts w:hint="default" w:ascii="宋体" w:hAnsi="宋体"/>
                <w:sz w:val="24"/>
                <w:szCs w:val="24"/>
                <w:highlight w:val="none"/>
              </w:rPr>
            </w:pP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pacing w:val="-10"/>
                <w:sz w:val="24"/>
                <w:szCs w:val="24"/>
                <w:highlight w:val="none"/>
              </w:rPr>
            </w:pPr>
            <w:r>
              <w:rPr>
                <w:rFonts w:hint="default" w:ascii="宋体" w:hAnsi="宋体"/>
                <w:spacing w:val="-10"/>
                <w:sz w:val="24"/>
                <w:szCs w:val="24"/>
                <w:highlight w:val="none"/>
              </w:rPr>
              <w:t>b.投标人未增加发包人的责任范围，或减少投标人义务；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120" w:leftChars="50"/>
              <w:jc w:val="left"/>
              <w:rPr>
                <w:rFonts w:hint="default" w:ascii="宋体" w:hAnsi="宋体"/>
                <w:sz w:val="24"/>
                <w:szCs w:val="24"/>
                <w:highlight w:val="none"/>
              </w:rPr>
            </w:pP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c.投标人未提出不同的工程验收、计量、支付办法；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120" w:leftChars="50"/>
              <w:jc w:val="left"/>
              <w:rPr>
                <w:rFonts w:hint="default" w:ascii="宋体" w:hAnsi="宋体"/>
                <w:sz w:val="24"/>
                <w:szCs w:val="24"/>
                <w:highlight w:val="none"/>
              </w:rPr>
            </w:pP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d.投标人对合同纠纷、事故处理办法未提出异议；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120" w:leftChars="50"/>
              <w:jc w:val="left"/>
              <w:rPr>
                <w:rFonts w:hint="default" w:ascii="宋体" w:hAnsi="宋体"/>
                <w:sz w:val="24"/>
                <w:szCs w:val="24"/>
                <w:highlight w:val="none"/>
              </w:rPr>
            </w:pP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e.投标人在投标活动中无欺诈行为；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120" w:leftChars="50"/>
              <w:jc w:val="left"/>
              <w:rPr>
                <w:rFonts w:hint="default" w:ascii="宋体" w:hAnsi="宋体"/>
                <w:sz w:val="24"/>
                <w:szCs w:val="24"/>
                <w:highlight w:val="none"/>
              </w:rPr>
            </w:pP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f.投标人未对合同条款有重要保留；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80" w:lineRule="exact"/>
              <w:ind w:left="120" w:leftChars="50"/>
              <w:jc w:val="left"/>
              <w:rPr>
                <w:rFonts w:hint="default" w:ascii="宋体" w:hAnsi="宋体"/>
                <w:sz w:val="24"/>
                <w:szCs w:val="24"/>
                <w:highlight w:val="none"/>
              </w:rPr>
            </w:pPr>
            <w:r>
              <w:rPr>
                <w:rFonts w:hint="default" w:ascii="宋体" w:hAnsi="宋体"/>
                <w:sz w:val="24"/>
                <w:szCs w:val="24"/>
                <w:highlight w:val="none"/>
              </w:rPr>
              <w:t>其他</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2.1.2</w:t>
            </w:r>
          </w:p>
        </w:tc>
        <w:tc>
          <w:tcPr>
            <w:tcW w:w="7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第</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二</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信</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封</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报</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价</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文</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件</w:t>
            </w:r>
          </w:p>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w:t>
            </w:r>
          </w:p>
        </w:tc>
        <w:tc>
          <w:tcPr>
            <w:tcW w:w="491" w:type="dxa"/>
            <w:vMerge w:val="restart"/>
            <w:tcBorders>
              <w:top w:val="single" w:color="auto" w:sz="6" w:space="0"/>
              <w:left w:val="single" w:color="auto" w:sz="6" w:space="0"/>
              <w:bottom w:val="single" w:color="auto" w:sz="6" w:space="0"/>
              <w:right w:val="single" w:color="auto" w:sz="6" w:space="0"/>
              <w:tl2br w:val="nil"/>
              <w:tr2bl w:val="nil"/>
            </w:tcBorders>
            <w:noWrap w:val="0"/>
            <w:textDirection w:val="tbRlV"/>
            <w:vAlign w:val="center"/>
          </w:tcPr>
          <w:p>
            <w:pPr>
              <w:autoSpaceDE w:val="0"/>
              <w:autoSpaceDN w:val="0"/>
              <w:adjustRightInd w:val="0"/>
              <w:spacing w:beforeLines="0" w:afterLines="0"/>
              <w:ind w:left="113" w:right="113"/>
              <w:jc w:val="center"/>
              <w:rPr>
                <w:rFonts w:hint="default" w:ascii="宋体" w:hAnsi="宋体"/>
                <w:sz w:val="24"/>
                <w:szCs w:val="24"/>
                <w:highlight w:val="none"/>
              </w:rPr>
            </w:pPr>
            <w:r>
              <w:rPr>
                <w:rFonts w:hint="default" w:ascii="宋体" w:hAnsi="宋体"/>
                <w:sz w:val="24"/>
                <w:szCs w:val="24"/>
                <w:highlight w:val="none"/>
              </w:rPr>
              <w:t>初步评审</w:t>
            </w: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文件签字盖章</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80" w:lineRule="exact"/>
              <w:ind w:left="242" w:leftChars="101"/>
              <w:jc w:val="left"/>
              <w:rPr>
                <w:rFonts w:hint="default" w:ascii="宋体" w:hAnsi="宋体"/>
                <w:sz w:val="24"/>
                <w:szCs w:val="24"/>
                <w:highlight w:val="none"/>
              </w:rPr>
            </w:pPr>
            <w:r>
              <w:rPr>
                <w:rFonts w:hint="default" w:ascii="宋体" w:hAnsi="宋体"/>
                <w:sz w:val="24"/>
                <w:szCs w:val="24"/>
                <w:highlight w:val="none"/>
              </w:rPr>
              <w:t>符合第二章“投标人须知”第3.7.3项规定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文件填写及组成</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报价函填写</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按招标文件规定填报了正确的招标人名称、项目名称、标段名称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left"/>
              <w:rPr>
                <w:rFonts w:hint="default" w:ascii="宋体" w:hAnsi="宋体"/>
                <w:sz w:val="24"/>
                <w:szCs w:val="24"/>
                <w:highlight w:val="none"/>
              </w:rPr>
            </w:pPr>
            <w:r>
              <w:rPr>
                <w:rFonts w:hint="default" w:ascii="宋体" w:hAnsi="宋体"/>
                <w:sz w:val="24"/>
                <w:szCs w:val="24"/>
                <w:highlight w:val="none"/>
              </w:rPr>
              <w:t>工程量清单文字说明</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未对工程量清单文字说明修改或删除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4"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0" w:leftChars="0" w:firstLine="0" w:firstLineChars="0"/>
              <w:jc w:val="both"/>
              <w:rPr>
                <w:rFonts w:hint="default" w:ascii="宋体" w:hAnsi="宋体"/>
                <w:sz w:val="24"/>
                <w:szCs w:val="24"/>
                <w:highlight w:val="none"/>
              </w:rPr>
            </w:pPr>
            <w:r>
              <w:rPr>
                <w:rFonts w:hint="default" w:ascii="宋体" w:hAnsi="宋体"/>
                <w:sz w:val="24"/>
                <w:szCs w:val="24"/>
                <w:highlight w:val="none"/>
              </w:rPr>
              <w:t>已标价工程量清单</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default" w:ascii="宋体" w:hAnsi="宋体"/>
                <w:sz w:val="24"/>
                <w:szCs w:val="24"/>
                <w:highlight w:val="none"/>
              </w:rPr>
            </w:pPr>
            <w:r>
              <w:rPr>
                <w:rFonts w:hint="default" w:ascii="宋体" w:hAnsi="宋体"/>
                <w:sz w:val="24"/>
                <w:szCs w:val="24"/>
                <w:highlight w:val="none"/>
              </w:rPr>
              <w:t>未对工程量固化清单电子文件中的数据、格式和运算定义进行修改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ind w:left="120" w:leftChars="50"/>
              <w:jc w:val="center"/>
              <w:rPr>
                <w:rFonts w:hint="default" w:ascii="宋体" w:hAnsi="宋体"/>
                <w:sz w:val="24"/>
                <w:szCs w:val="24"/>
                <w:highlight w:val="none"/>
              </w:rPr>
            </w:pPr>
            <w:r>
              <w:rPr>
                <w:rFonts w:hint="default" w:ascii="宋体" w:hAnsi="宋体"/>
                <w:sz w:val="24"/>
                <w:szCs w:val="24"/>
                <w:highlight w:val="none"/>
              </w:rPr>
              <w:t>投标报价</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ind w:left="242" w:leftChars="101"/>
              <w:jc w:val="left"/>
              <w:rPr>
                <w:rFonts w:hint="eastAsia" w:ascii="宋体" w:hAnsi="宋体" w:eastAsia="宋体"/>
                <w:sz w:val="24"/>
                <w:szCs w:val="24"/>
                <w:highlight w:val="none"/>
                <w:lang w:eastAsia="zh-CN"/>
              </w:rPr>
            </w:pPr>
            <w:r>
              <w:rPr>
                <w:rFonts w:hint="default" w:ascii="宋体" w:hAnsi="宋体"/>
                <w:sz w:val="24"/>
                <w:szCs w:val="24"/>
                <w:highlight w:val="none"/>
              </w:rPr>
              <w:t>未超过招标人公布的最高投标限价</w:t>
            </w:r>
            <w:r>
              <w:rPr>
                <w:rFonts w:hint="eastAsia" w:ascii="宋体" w:hAnsi="宋体"/>
                <w:sz w:val="24"/>
                <w:szCs w:val="24"/>
                <w:highlight w:val="none"/>
                <w:lang w:eastAsia="zh-CN"/>
              </w:rPr>
              <w:t>，且每个路段未超过其路段的投标控制价上限。每个路段的投标报价之和应与投标函中的投标报价相同。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80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7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p>
        </w:tc>
        <w:tc>
          <w:tcPr>
            <w:tcW w:w="49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p>
        </w:tc>
        <w:tc>
          <w:tcPr>
            <w:tcW w:w="144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w:t>
            </w:r>
          </w:p>
        </w:tc>
        <w:tc>
          <w:tcPr>
            <w:tcW w:w="5750"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320" w:lineRule="exact"/>
              <w:jc w:val="left"/>
              <w:rPr>
                <w:rFonts w:hint="default" w:ascii="宋体" w:hAnsi="宋体"/>
                <w:sz w:val="24"/>
                <w:szCs w:val="24"/>
                <w:highlight w:val="none"/>
              </w:rPr>
            </w:pPr>
            <w:r>
              <w:rPr>
                <w:rFonts w:hint="default"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99" w:hRule="atLeast"/>
          <w:jc w:val="center"/>
        </w:trPr>
        <w:tc>
          <w:tcPr>
            <w:tcW w:w="1587" w:type="dxa"/>
            <w:gridSpan w:val="2"/>
            <w:tcBorders>
              <w:top w:val="single" w:color="auto" w:sz="8" w:space="0"/>
              <w:left w:val="single" w:color="auto" w:sz="12" w:space="0"/>
              <w:bottom w:val="single" w:color="auto" w:sz="4" w:space="0"/>
              <w:right w:val="single" w:color="auto" w:sz="8"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2.2.1</w:t>
            </w:r>
          </w:p>
        </w:tc>
        <w:tc>
          <w:tcPr>
            <w:tcW w:w="1934" w:type="dxa"/>
            <w:gridSpan w:val="2"/>
            <w:tcBorders>
              <w:top w:val="single" w:color="auto" w:sz="8" w:space="0"/>
              <w:left w:val="single" w:color="auto" w:sz="8" w:space="0"/>
              <w:bottom w:val="single" w:color="auto" w:sz="4" w:space="0"/>
              <w:right w:val="single" w:color="auto" w:sz="8" w:space="0"/>
              <w:tl2br w:val="nil"/>
              <w:tr2bl w:val="nil"/>
            </w:tcBorders>
            <w:noWrap w:val="0"/>
            <w:vAlign w:val="center"/>
          </w:tcPr>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分值构成</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(总分 100 分)</w:t>
            </w:r>
          </w:p>
        </w:tc>
        <w:tc>
          <w:tcPr>
            <w:tcW w:w="5750" w:type="dxa"/>
            <w:gridSpan w:val="2"/>
            <w:tcBorders>
              <w:top w:val="single" w:color="auto" w:sz="8" w:space="0"/>
              <w:left w:val="single" w:color="auto" w:sz="8" w:space="0"/>
              <w:bottom w:val="single" w:color="auto" w:sz="8" w:space="0"/>
              <w:right w:val="single" w:color="auto" w:sz="12" w:space="0"/>
              <w:tl2br w:val="nil"/>
              <w:tr2bl w:val="nil"/>
            </w:tcBorders>
            <w:noWrap w:val="0"/>
            <w:vAlign w:val="center"/>
          </w:tcPr>
          <w:p>
            <w:pPr>
              <w:autoSpaceDE w:val="0"/>
              <w:autoSpaceDN w:val="0"/>
              <w:adjustRightInd w:val="0"/>
              <w:spacing w:beforeLines="0" w:afterLines="0" w:line="320" w:lineRule="exact"/>
              <w:jc w:val="left"/>
              <w:rPr>
                <w:rFonts w:hint="default" w:ascii="宋体" w:hAnsi="宋体"/>
                <w:sz w:val="24"/>
                <w:szCs w:val="24"/>
                <w:highlight w:val="none"/>
              </w:rPr>
            </w:pPr>
            <w:r>
              <w:rPr>
                <w:rFonts w:hint="default" w:ascii="宋体" w:hAnsi="宋体"/>
                <w:sz w:val="24"/>
                <w:szCs w:val="24"/>
                <w:highlight w:val="none"/>
              </w:rPr>
              <w:t>评标价： 100 分</w:t>
            </w:r>
          </w:p>
          <w:p>
            <w:pPr>
              <w:autoSpaceDE w:val="0"/>
              <w:autoSpaceDN w:val="0"/>
              <w:adjustRightInd w:val="0"/>
              <w:spacing w:beforeLines="0" w:afterLines="0" w:line="320" w:lineRule="exact"/>
              <w:jc w:val="left"/>
              <w:rPr>
                <w:rFonts w:hint="default"/>
                <w:sz w:val="24"/>
                <w:szCs w:val="24"/>
                <w:highlight w:val="none"/>
              </w:rPr>
            </w:pPr>
            <w:r>
              <w:rPr>
                <w:rFonts w:hint="default" w:ascii="宋体" w:hAnsi="宋体"/>
                <w:sz w:val="24"/>
                <w:szCs w:val="24"/>
                <w:highlight w:val="none"/>
              </w:rPr>
              <w:t>其他因素分值均为0分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405" w:hRule="atLeast"/>
          <w:jc w:val="center"/>
        </w:trPr>
        <w:tc>
          <w:tcPr>
            <w:tcW w:w="1587"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2.2.2</w:t>
            </w:r>
          </w:p>
        </w:tc>
        <w:tc>
          <w:tcPr>
            <w:tcW w:w="1934"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评标基准价</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计算方法</w:t>
            </w:r>
          </w:p>
        </w:tc>
        <w:tc>
          <w:tcPr>
            <w:tcW w:w="5750" w:type="dxa"/>
            <w:gridSpan w:val="2"/>
            <w:tcBorders>
              <w:top w:val="single" w:color="auto" w:sz="8" w:space="0"/>
              <w:left w:val="single" w:color="auto" w:sz="8" w:space="0"/>
              <w:bottom w:val="single" w:color="auto" w:sz="8" w:space="0"/>
              <w:right w:val="single" w:color="auto" w:sz="12" w:space="0"/>
              <w:tl2br w:val="nil"/>
              <w:tr2bl w:val="nil"/>
            </w:tcBorders>
            <w:noWrap w:val="0"/>
            <w:vAlign w:val="center"/>
          </w:tcPr>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本次招标设定的评标基准价计算方法，在第二信封（报价文件）开标现场，每个标段随机抽取其中的一种作为该标段评标基准价的计算方法。</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评标价E=投标报价函文字报价。</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当采用方法一、二、三时，评标基准价计算时去掉n1个最高评标价和n2个最低评标价。</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①当N&lt;6时，n1、n2均取0；</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②当N≥6时，去掉n1个最高评标价，去掉n2个最低评标价；</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n1在取值区间1～M-1中随机抽取（最小为1），n2在取值区间1～M+1中随机抽取；M=N/4，M向下取整。</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N为某标段第二信封（报价文件）现场开标有效的投标人数量，超过最高投标限价的投标人不参与计算。</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根据上述规则去除n1个最高值和n2个最低值后，其余评标价参与评标基准价的计算，评标基准价保留两位小数，小数点后第三位“四舍五入”。</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※方法一：二次平均法</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对参与评标基准价计算的所有评标价进行第一次平均，对所有小于或等于第一次平均值的评标价（不包括去掉的n2个最低评标价）进行第二次平均，第二次平均值即为评标基准价P。</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※方法二：随机系数法</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评标基准价P＝(Emax-Emin)×K+ Emin</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Emax——去掉n1个最高评标价后的最大值。</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Emin——去掉n2个最低评标价后的最小值。</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K——基准价系数，由在第二信封（报价文件）开标现场随机抽取的X、Y两个系数构成，K=(X+Y/10)/10，其中X、Y各设10个系数，分别为0、1、2、3、4、5、6、7、8、9。</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※方法三：随机权重法</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评标基准价P＝A×K+B×(1-K)</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A——去掉n1个最高评标价后的最大值</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B——参与评标基准价计算的所有评标价的平均值</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K——权重系数，由在第二信封（报价文件）开标现场随机抽取的X、Y两个系数构成，K=(X+Y/10)/10，其中X有4个系数，分别为3、4、5、6；Y有10个系数分别为0、1、2、3、4、5、6、7、8、9。</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w:t>
            </w:r>
            <w:r>
              <w:rPr>
                <w:rFonts w:hint="default" w:ascii="宋体" w:hAnsi="宋体"/>
                <w:sz w:val="24"/>
                <w:szCs w:val="24"/>
                <w:highlight w:val="none"/>
              </w:rPr>
              <w:tab/>
            </w:r>
            <w:r>
              <w:rPr>
                <w:rFonts w:hint="default" w:ascii="宋体" w:hAnsi="宋体"/>
                <w:sz w:val="24"/>
                <w:szCs w:val="24"/>
                <w:highlight w:val="none"/>
              </w:rPr>
              <w:t>方法四：随机低价法（适用于N≥5）</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评标基准价P＝去掉m个最低评标价的最低价</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m——在第二信封（报价文件）开标现场随机抽取，取值范围为n3～n4, 步距为1。</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n3=N×0.2，n4=N×0.7，n3、n4向下取整。</w:t>
            </w:r>
          </w:p>
          <w:p>
            <w:pPr>
              <w:autoSpaceDE w:val="0"/>
              <w:autoSpaceDN w:val="0"/>
              <w:adjustRightInd w:val="0"/>
              <w:spacing w:beforeLines="0" w:afterLines="0" w:line="300" w:lineRule="atLeast"/>
              <w:ind w:left="134" w:leftChars="56" w:firstLine="343" w:firstLineChars="143"/>
              <w:jc w:val="left"/>
              <w:rPr>
                <w:rFonts w:hint="default" w:ascii="宋体" w:hAnsi="宋体"/>
                <w:sz w:val="24"/>
                <w:szCs w:val="24"/>
                <w:highlight w:val="none"/>
              </w:rPr>
            </w:pPr>
            <w:r>
              <w:rPr>
                <w:rFonts w:hint="default" w:ascii="宋体" w:hAnsi="宋体"/>
                <w:sz w:val="24"/>
                <w:szCs w:val="24"/>
                <w:highlight w:val="none"/>
              </w:rPr>
              <w:t>评标基准价在整个评审期间保持不变，不随通过第二信封（报价文件）评审的投标人数量发生变化。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87"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2.2.3</w:t>
            </w:r>
          </w:p>
        </w:tc>
        <w:tc>
          <w:tcPr>
            <w:tcW w:w="1934"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480" w:lineRule="exact"/>
              <w:jc w:val="center"/>
              <w:rPr>
                <w:rFonts w:hint="default" w:ascii="宋体" w:hAnsi="宋体"/>
                <w:sz w:val="24"/>
                <w:szCs w:val="24"/>
                <w:highlight w:val="none"/>
              </w:rPr>
            </w:pPr>
            <w:r>
              <w:rPr>
                <w:rFonts w:hint="default" w:ascii="宋体" w:hAnsi="宋体"/>
                <w:sz w:val="24"/>
                <w:szCs w:val="24"/>
                <w:highlight w:val="none"/>
              </w:rPr>
              <w:t>投标报价的偏差率</w:t>
            </w:r>
          </w:p>
          <w:p>
            <w:pPr>
              <w:autoSpaceDE w:val="0"/>
              <w:autoSpaceDN w:val="0"/>
              <w:adjustRightInd w:val="0"/>
              <w:spacing w:beforeLines="0" w:afterLines="0" w:line="480" w:lineRule="exact"/>
              <w:jc w:val="center"/>
              <w:rPr>
                <w:rFonts w:hint="default" w:ascii="宋体" w:hAnsi="宋体"/>
                <w:sz w:val="24"/>
                <w:szCs w:val="24"/>
                <w:highlight w:val="none"/>
              </w:rPr>
            </w:pPr>
            <w:r>
              <w:rPr>
                <w:rFonts w:hint="default" w:ascii="宋体" w:hAnsi="宋体"/>
                <w:sz w:val="24"/>
                <w:szCs w:val="24"/>
                <w:highlight w:val="none"/>
              </w:rPr>
              <w:t>计算公式</w:t>
            </w:r>
          </w:p>
        </w:tc>
        <w:tc>
          <w:tcPr>
            <w:tcW w:w="5750" w:type="dxa"/>
            <w:gridSpan w:val="2"/>
            <w:tcBorders>
              <w:top w:val="single" w:color="auto" w:sz="8" w:space="0"/>
              <w:left w:val="single" w:color="auto" w:sz="8" w:space="0"/>
              <w:bottom w:val="single" w:color="auto" w:sz="8" w:space="0"/>
              <w:right w:val="single" w:color="auto" w:sz="12" w:space="0"/>
              <w:tl2br w:val="nil"/>
              <w:tr2bl w:val="nil"/>
            </w:tcBorders>
            <w:noWrap w:val="0"/>
            <w:vAlign w:val="center"/>
          </w:tcPr>
          <w:p>
            <w:pPr>
              <w:autoSpaceDE w:val="0"/>
              <w:autoSpaceDN w:val="0"/>
              <w:adjustRightInd w:val="0"/>
              <w:spacing w:beforeLines="0" w:afterLines="0" w:line="480" w:lineRule="exact"/>
              <w:ind w:left="113" w:leftChars="47"/>
              <w:jc w:val="left"/>
              <w:rPr>
                <w:rFonts w:hint="default" w:ascii="宋体" w:hAnsi="宋体"/>
                <w:sz w:val="24"/>
                <w:szCs w:val="24"/>
                <w:highlight w:val="none"/>
              </w:rPr>
            </w:pPr>
            <w:r>
              <w:rPr>
                <w:rFonts w:hint="default" w:ascii="宋体" w:hAnsi="宋体"/>
                <w:sz w:val="24"/>
                <w:szCs w:val="24"/>
                <w:highlight w:val="none"/>
              </w:rPr>
              <w:t>偏差率=100%×(投标人投标报价-评标基准价)/评标基准价，偏差率保留小数点后九位，小数点后第十位“四舍五入”。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87"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2.2.4（1）</w:t>
            </w:r>
          </w:p>
        </w:tc>
        <w:tc>
          <w:tcPr>
            <w:tcW w:w="1934"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jc w:val="center"/>
              <w:rPr>
                <w:rFonts w:hint="default"/>
                <w:sz w:val="24"/>
                <w:szCs w:val="24"/>
                <w:highlight w:val="none"/>
              </w:rPr>
            </w:pPr>
            <w:r>
              <w:rPr>
                <w:rFonts w:hint="default" w:ascii="宋体"/>
                <w:sz w:val="24"/>
                <w:szCs w:val="24"/>
                <w:highlight w:val="none"/>
              </w:rPr>
              <w:t>施工组织设计评分标准</w:t>
            </w:r>
          </w:p>
        </w:tc>
        <w:tc>
          <w:tcPr>
            <w:tcW w:w="5750" w:type="dxa"/>
            <w:gridSpan w:val="2"/>
            <w:tcBorders>
              <w:top w:val="single" w:color="auto" w:sz="8" w:space="0"/>
              <w:left w:val="single" w:color="auto" w:sz="8" w:space="0"/>
              <w:bottom w:val="single" w:color="auto" w:sz="8" w:space="0"/>
              <w:right w:val="single" w:color="auto" w:sz="12" w:space="0"/>
              <w:tl2br w:val="nil"/>
              <w:tr2bl w:val="nil"/>
            </w:tcBorders>
            <w:noWrap w:val="0"/>
            <w:vAlign w:val="center"/>
          </w:tcPr>
          <w:p>
            <w:pPr>
              <w:autoSpaceDE w:val="0"/>
              <w:autoSpaceDN w:val="0"/>
              <w:adjustRightInd w:val="0"/>
              <w:spacing w:beforeLines="0" w:afterLines="0"/>
              <w:ind w:left="113" w:leftChars="47"/>
              <w:jc w:val="left"/>
              <w:rPr>
                <w:rFonts w:hint="default" w:ascii="宋体" w:hAnsi="宋体"/>
                <w:sz w:val="24"/>
                <w:szCs w:val="24"/>
                <w:highlight w:val="none"/>
              </w:rPr>
            </w:pPr>
            <w:r>
              <w:rPr>
                <w:rFonts w:hint="default" w:ascii="宋体" w:hAnsi="宋体"/>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87" w:type="dxa"/>
            <w:gridSpan w:val="2"/>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jc w:val="left"/>
              <w:rPr>
                <w:rFonts w:hint="default" w:ascii="宋体" w:hAnsi="宋体"/>
                <w:sz w:val="24"/>
                <w:szCs w:val="24"/>
                <w:highlight w:val="none"/>
              </w:rPr>
            </w:pPr>
            <w:r>
              <w:rPr>
                <w:rFonts w:hint="default" w:ascii="宋体" w:hAnsi="宋体"/>
                <w:sz w:val="24"/>
                <w:szCs w:val="24"/>
                <w:highlight w:val="none"/>
              </w:rPr>
              <w:t>2.2.4（2）</w:t>
            </w:r>
          </w:p>
        </w:tc>
        <w:tc>
          <w:tcPr>
            <w:tcW w:w="1934" w:type="dxa"/>
            <w:gridSpan w:val="2"/>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jc w:val="center"/>
              <w:rPr>
                <w:rFonts w:hint="default" w:ascii="宋体" w:hAnsi="宋体"/>
                <w:sz w:val="24"/>
                <w:szCs w:val="24"/>
                <w:highlight w:val="none"/>
              </w:rPr>
            </w:pPr>
            <w:r>
              <w:rPr>
                <w:rFonts w:hint="default" w:ascii="宋体" w:hAnsi="宋体"/>
                <w:sz w:val="24"/>
                <w:szCs w:val="24"/>
                <w:highlight w:val="none"/>
              </w:rPr>
              <w:t>项目管理机构评分标准</w:t>
            </w:r>
          </w:p>
        </w:tc>
        <w:tc>
          <w:tcPr>
            <w:tcW w:w="5750" w:type="dxa"/>
            <w:gridSpan w:val="2"/>
            <w:tcBorders>
              <w:top w:val="single" w:color="auto" w:sz="8" w:space="0"/>
              <w:left w:val="single" w:color="auto" w:sz="8" w:space="0"/>
              <w:bottom w:val="single" w:color="auto" w:sz="8" w:space="0"/>
              <w:right w:val="single" w:color="auto" w:sz="12" w:space="0"/>
              <w:tl2br w:val="nil"/>
              <w:tr2bl w:val="nil"/>
            </w:tcBorders>
            <w:noWrap w:val="0"/>
            <w:vAlign w:val="center"/>
          </w:tcPr>
          <w:p>
            <w:pPr>
              <w:autoSpaceDE w:val="0"/>
              <w:autoSpaceDN w:val="0"/>
              <w:adjustRightInd w:val="0"/>
              <w:spacing w:beforeLines="0" w:afterLines="0"/>
              <w:ind w:left="113" w:leftChars="47"/>
              <w:jc w:val="left"/>
              <w:rPr>
                <w:rFonts w:hint="default" w:ascii="宋体" w:hAnsi="宋体"/>
                <w:sz w:val="24"/>
                <w:szCs w:val="24"/>
                <w:highlight w:val="none"/>
              </w:rPr>
            </w:pPr>
            <w:r>
              <w:rPr>
                <w:rFonts w:hint="default" w:ascii="宋体" w:hAnsi="宋体"/>
                <w:sz w:val="24"/>
                <w:szCs w:val="24"/>
                <w:highlight w:val="none"/>
              </w:rPr>
              <w:t>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gridAfter w:val="1"/>
          <w:wAfter w:w="10" w:type="dxa"/>
          <w:trHeight w:val="475" w:hRule="atLeast"/>
          <w:jc w:val="center"/>
        </w:trPr>
        <w:tc>
          <w:tcPr>
            <w:tcW w:w="1587" w:type="dxa"/>
            <w:gridSpan w:val="2"/>
            <w:tcBorders>
              <w:top w:val="single" w:color="auto" w:sz="8" w:space="0"/>
              <w:left w:val="single" w:color="auto" w:sz="12" w:space="0"/>
              <w:bottom w:val="single" w:color="auto" w:sz="12" w:space="0"/>
              <w:right w:val="single" w:color="auto" w:sz="8" w:space="0"/>
              <w:tl2br w:val="nil"/>
              <w:tr2bl w:val="nil"/>
            </w:tcBorders>
            <w:noWrap w:val="0"/>
            <w:vAlign w:val="center"/>
          </w:tcPr>
          <w:p>
            <w:pPr>
              <w:autoSpaceDE w:val="0"/>
              <w:autoSpaceDN w:val="0"/>
              <w:adjustRightInd w:val="0"/>
              <w:spacing w:beforeLines="0" w:afterLines="0" w:line="480" w:lineRule="exact"/>
              <w:jc w:val="left"/>
              <w:rPr>
                <w:rFonts w:hint="default" w:ascii="宋体" w:hAnsi="宋体"/>
                <w:sz w:val="24"/>
                <w:szCs w:val="24"/>
                <w:highlight w:val="none"/>
              </w:rPr>
            </w:pPr>
            <w:r>
              <w:rPr>
                <w:rFonts w:hint="default" w:ascii="宋体" w:hAnsi="宋体"/>
                <w:sz w:val="24"/>
                <w:szCs w:val="24"/>
                <w:highlight w:val="none"/>
              </w:rPr>
              <w:t>2.2.4(3)</w:t>
            </w:r>
          </w:p>
        </w:tc>
        <w:tc>
          <w:tcPr>
            <w:tcW w:w="1934" w:type="dxa"/>
            <w:gridSpan w:val="2"/>
            <w:tcBorders>
              <w:top w:val="single" w:color="auto" w:sz="8" w:space="0"/>
              <w:left w:val="single" w:color="auto" w:sz="8" w:space="0"/>
              <w:bottom w:val="single" w:color="auto" w:sz="12" w:space="0"/>
              <w:right w:val="single" w:color="auto" w:sz="8" w:space="0"/>
              <w:tl2br w:val="nil"/>
              <w:tr2bl w:val="nil"/>
            </w:tcBorders>
            <w:noWrap w:val="0"/>
            <w:vAlign w:val="center"/>
          </w:tcPr>
          <w:p>
            <w:pPr>
              <w:autoSpaceDE w:val="0"/>
              <w:autoSpaceDN w:val="0"/>
              <w:adjustRightInd w:val="0"/>
              <w:spacing w:beforeLines="0" w:afterLines="0" w:line="480" w:lineRule="exact"/>
              <w:ind w:left="134" w:leftChars="56"/>
              <w:jc w:val="center"/>
              <w:rPr>
                <w:rFonts w:hint="default" w:ascii="宋体" w:hAnsi="宋体"/>
                <w:sz w:val="24"/>
                <w:szCs w:val="24"/>
                <w:highlight w:val="none"/>
                <w:u w:val="single"/>
              </w:rPr>
            </w:pPr>
            <w:r>
              <w:rPr>
                <w:rFonts w:hint="default" w:ascii="宋体" w:hAnsi="宋体"/>
                <w:sz w:val="24"/>
                <w:szCs w:val="24"/>
                <w:highlight w:val="none"/>
              </w:rPr>
              <w:t>投标报价（100分）</w:t>
            </w:r>
          </w:p>
        </w:tc>
        <w:tc>
          <w:tcPr>
            <w:tcW w:w="5740" w:type="dxa"/>
            <w:tcBorders>
              <w:top w:val="single" w:color="auto" w:sz="8" w:space="0"/>
              <w:left w:val="single" w:color="auto" w:sz="8" w:space="0"/>
              <w:bottom w:val="single" w:color="auto" w:sz="12" w:space="0"/>
              <w:right w:val="single" w:color="auto" w:sz="12" w:space="0"/>
              <w:tl2br w:val="nil"/>
              <w:tr2bl w:val="nil"/>
            </w:tcBorders>
            <w:noWrap w:val="0"/>
            <w:vAlign w:val="center"/>
          </w:tcPr>
          <w:p>
            <w:pPr>
              <w:autoSpaceDE w:val="0"/>
              <w:autoSpaceDN w:val="0"/>
              <w:adjustRightInd w:val="0"/>
              <w:spacing w:beforeLines="0" w:afterLines="0" w:line="276" w:lineRule="auto"/>
              <w:ind w:left="134" w:leftChars="56"/>
              <w:jc w:val="left"/>
              <w:rPr>
                <w:rFonts w:hint="default" w:ascii="宋体" w:hAnsi="宋体"/>
                <w:sz w:val="24"/>
                <w:szCs w:val="24"/>
                <w:highlight w:val="none"/>
              </w:rPr>
            </w:pPr>
            <w:r>
              <w:rPr>
                <w:rFonts w:hint="default" w:ascii="宋体" w:hAnsi="宋体"/>
                <w:sz w:val="24"/>
                <w:szCs w:val="24"/>
                <w:highlight w:val="none"/>
              </w:rPr>
              <w:t>投标人投标报价得分的计算：</w:t>
            </w:r>
          </w:p>
          <w:p>
            <w:pPr>
              <w:autoSpaceDE w:val="0"/>
              <w:autoSpaceDN w:val="0"/>
              <w:adjustRightInd w:val="0"/>
              <w:spacing w:beforeLines="0" w:afterLines="0" w:line="276" w:lineRule="auto"/>
              <w:ind w:firstLine="240" w:firstLineChars="100"/>
              <w:jc w:val="left"/>
              <w:rPr>
                <w:rFonts w:hint="default" w:ascii="宋体" w:hAnsi="宋体"/>
                <w:sz w:val="24"/>
                <w:szCs w:val="24"/>
                <w:highlight w:val="none"/>
              </w:rPr>
            </w:pPr>
            <w:r>
              <w:rPr>
                <w:rFonts w:hint="default" w:ascii="宋体" w:hAnsi="宋体"/>
                <w:sz w:val="24"/>
                <w:szCs w:val="24"/>
                <w:highlight w:val="none"/>
              </w:rPr>
              <w:t>a.如果投标人的投标报价&gt;评标基准价，</w:t>
            </w:r>
          </w:p>
          <w:p>
            <w:pPr>
              <w:autoSpaceDE w:val="0"/>
              <w:autoSpaceDN w:val="0"/>
              <w:adjustRightInd w:val="0"/>
              <w:spacing w:beforeLines="0" w:afterLines="0" w:line="276" w:lineRule="auto"/>
              <w:ind w:left="134" w:leftChars="56"/>
              <w:jc w:val="left"/>
              <w:rPr>
                <w:rFonts w:hint="default" w:ascii="宋体" w:hAnsi="宋体"/>
                <w:sz w:val="24"/>
                <w:szCs w:val="24"/>
                <w:highlight w:val="none"/>
              </w:rPr>
            </w:pPr>
            <w:r>
              <w:rPr>
                <w:rFonts w:hint="default" w:ascii="宋体" w:hAnsi="宋体"/>
                <w:sz w:val="24"/>
                <w:szCs w:val="24"/>
                <w:highlight w:val="none"/>
              </w:rPr>
              <w:t>则投标报价得分＝100－偏差率×100×</w:t>
            </w:r>
            <w:r>
              <w:rPr>
                <w:rFonts w:hint="default" w:ascii="宋体" w:hAnsi="宋体"/>
                <w:sz w:val="24"/>
                <w:szCs w:val="24"/>
                <w:highlight w:val="none"/>
                <w:u w:val="single"/>
              </w:rPr>
              <w:t>E1</w:t>
            </w:r>
            <w:r>
              <w:rPr>
                <w:rFonts w:hint="default" w:ascii="宋体" w:hAnsi="宋体"/>
                <w:sz w:val="24"/>
                <w:szCs w:val="24"/>
                <w:highlight w:val="none"/>
              </w:rPr>
              <w:t>；</w:t>
            </w:r>
          </w:p>
          <w:p>
            <w:pPr>
              <w:autoSpaceDE w:val="0"/>
              <w:autoSpaceDN w:val="0"/>
              <w:adjustRightInd w:val="0"/>
              <w:spacing w:beforeLines="0" w:afterLines="0" w:line="276" w:lineRule="auto"/>
              <w:ind w:firstLine="240" w:firstLineChars="100"/>
              <w:jc w:val="left"/>
              <w:rPr>
                <w:rFonts w:hint="default" w:ascii="宋体" w:hAnsi="宋体"/>
                <w:sz w:val="24"/>
                <w:szCs w:val="24"/>
                <w:highlight w:val="none"/>
              </w:rPr>
            </w:pPr>
            <w:r>
              <w:rPr>
                <w:rFonts w:hint="default" w:ascii="宋体" w:hAnsi="宋体"/>
                <w:sz w:val="24"/>
                <w:szCs w:val="24"/>
                <w:highlight w:val="none"/>
              </w:rPr>
              <w:t>b.如果投标人的投标报价≤评标基准价，</w:t>
            </w:r>
          </w:p>
          <w:p>
            <w:pPr>
              <w:autoSpaceDE w:val="0"/>
              <w:autoSpaceDN w:val="0"/>
              <w:adjustRightInd w:val="0"/>
              <w:spacing w:beforeLines="0" w:afterLines="0" w:line="276" w:lineRule="auto"/>
              <w:ind w:left="134" w:leftChars="56"/>
              <w:jc w:val="left"/>
              <w:rPr>
                <w:rFonts w:hint="default" w:ascii="宋体" w:hAnsi="宋体"/>
                <w:sz w:val="24"/>
                <w:szCs w:val="24"/>
                <w:highlight w:val="none"/>
              </w:rPr>
            </w:pPr>
            <w:r>
              <w:rPr>
                <w:rFonts w:hint="default" w:ascii="宋体" w:hAnsi="宋体"/>
                <w:sz w:val="24"/>
                <w:szCs w:val="24"/>
                <w:highlight w:val="none"/>
              </w:rPr>
              <w:t>则投标报价得分＝100＋偏差率×100×</w:t>
            </w:r>
            <w:r>
              <w:rPr>
                <w:rFonts w:hint="default" w:ascii="宋体" w:hAnsi="宋体"/>
                <w:sz w:val="24"/>
                <w:szCs w:val="24"/>
                <w:highlight w:val="none"/>
                <w:u w:val="single"/>
              </w:rPr>
              <w:t>E2</w:t>
            </w:r>
            <w:r>
              <w:rPr>
                <w:rFonts w:hint="default" w:ascii="宋体" w:hAnsi="宋体"/>
                <w:sz w:val="24"/>
                <w:szCs w:val="24"/>
                <w:highlight w:val="none"/>
              </w:rPr>
              <w:t>。</w:t>
            </w:r>
          </w:p>
          <w:p>
            <w:pPr>
              <w:autoSpaceDE w:val="0"/>
              <w:autoSpaceDN w:val="0"/>
              <w:adjustRightInd w:val="0"/>
              <w:spacing w:beforeLines="0" w:afterLines="0" w:line="276" w:lineRule="auto"/>
              <w:ind w:firstLine="480" w:firstLineChars="200"/>
              <w:jc w:val="left"/>
              <w:rPr>
                <w:rFonts w:hint="default" w:ascii="宋体" w:hAnsi="宋体"/>
                <w:sz w:val="24"/>
                <w:szCs w:val="24"/>
                <w:highlight w:val="none"/>
              </w:rPr>
            </w:pPr>
            <w:r>
              <w:rPr>
                <w:rFonts w:hint="default" w:ascii="宋体" w:hAnsi="宋体"/>
                <w:sz w:val="24"/>
                <w:szCs w:val="24"/>
                <w:highlight w:val="none"/>
              </w:rPr>
              <w:t>本项目E1=</w:t>
            </w:r>
            <w:r>
              <w:rPr>
                <w:rFonts w:hint="default" w:ascii="宋体" w:hAnsi="宋体"/>
                <w:sz w:val="24"/>
                <w:szCs w:val="24"/>
                <w:highlight w:val="none"/>
                <w:u w:val="single"/>
              </w:rPr>
              <w:t xml:space="preserve"> 1.5  </w:t>
            </w:r>
            <w:r>
              <w:rPr>
                <w:rFonts w:hint="default" w:ascii="宋体" w:hAnsi="宋体"/>
                <w:sz w:val="24"/>
                <w:szCs w:val="24"/>
                <w:highlight w:val="none"/>
              </w:rPr>
              <w:t>；E2=</w:t>
            </w:r>
            <w:r>
              <w:rPr>
                <w:rFonts w:hint="default" w:ascii="宋体" w:hAnsi="宋体"/>
                <w:sz w:val="24"/>
                <w:szCs w:val="24"/>
                <w:highlight w:val="none"/>
                <w:u w:val="single"/>
              </w:rPr>
              <w:t xml:space="preserve"> 1 </w:t>
            </w:r>
            <w:r>
              <w:rPr>
                <w:rFonts w:hint="default" w:ascii="宋体" w:hAnsi="宋体"/>
                <w:sz w:val="24"/>
                <w:szCs w:val="24"/>
                <w:highlight w:val="none"/>
              </w:rPr>
              <w:t>。</w:t>
            </w:r>
          </w:p>
          <w:p>
            <w:pPr>
              <w:autoSpaceDE w:val="0"/>
              <w:autoSpaceDN w:val="0"/>
              <w:adjustRightInd w:val="0"/>
              <w:spacing w:beforeLines="0" w:afterLines="0" w:line="276" w:lineRule="auto"/>
              <w:ind w:firstLine="240" w:firstLineChars="100"/>
              <w:jc w:val="left"/>
              <w:rPr>
                <w:rFonts w:hint="default" w:ascii="宋体" w:hAnsi="宋体"/>
                <w:sz w:val="24"/>
                <w:szCs w:val="24"/>
                <w:highlight w:val="none"/>
              </w:rPr>
            </w:pPr>
            <w:r>
              <w:rPr>
                <w:rFonts w:hint="default" w:ascii="宋体" w:hAnsi="宋体"/>
                <w:sz w:val="24"/>
                <w:szCs w:val="24"/>
                <w:highlight w:val="none"/>
              </w:rPr>
              <w:t>其中：E1是投标报价每高于评标基准价一个百分点的扣分值；E2是投标报价每低于评标基准价一个百分点的扣分值。招标人可依据招标项目具体特点和实际需要设置E1、E2，但E1应大于E2。</w:t>
            </w:r>
          </w:p>
          <w:p>
            <w:pPr>
              <w:autoSpaceDE w:val="0"/>
              <w:autoSpaceDN w:val="0"/>
              <w:adjustRightInd w:val="0"/>
              <w:spacing w:beforeLines="0" w:afterLines="0" w:line="276" w:lineRule="auto"/>
              <w:ind w:firstLine="240" w:firstLineChars="100"/>
              <w:jc w:val="left"/>
              <w:rPr>
                <w:rFonts w:hint="default" w:ascii="宋体" w:hAnsi="宋体"/>
                <w:sz w:val="24"/>
                <w:szCs w:val="24"/>
                <w:highlight w:val="none"/>
              </w:rPr>
            </w:pPr>
            <w:r>
              <w:rPr>
                <w:rFonts w:hint="default" w:ascii="宋体" w:hAnsi="宋体"/>
                <w:sz w:val="24"/>
                <w:szCs w:val="24"/>
                <w:highlight w:val="none"/>
              </w:rPr>
              <w:t>所有评分分值计算保留小数点九位，小数点后第十位“四舍五入”。</w:t>
            </w:r>
          </w:p>
        </w:tc>
      </w:tr>
    </w:tbl>
    <w:p>
      <w:pPr>
        <w:autoSpaceDE w:val="0"/>
        <w:autoSpaceDN w:val="0"/>
        <w:adjustRightInd w:val="0"/>
        <w:spacing w:beforeLines="0" w:afterLines="0"/>
        <w:jc w:val="center"/>
        <w:rPr>
          <w:rFonts w:hint="default"/>
          <w:sz w:val="24"/>
          <w:szCs w:val="24"/>
          <w:highlight w:val="none"/>
        </w:rPr>
      </w:pPr>
    </w:p>
    <w:p>
      <w:pPr>
        <w:pStyle w:val="2"/>
        <w:rPr>
          <w:rFonts w:hint="default"/>
          <w:sz w:val="24"/>
          <w:szCs w:val="24"/>
          <w:highlight w:val="none"/>
        </w:rPr>
      </w:pPr>
    </w:p>
    <w:p>
      <w:pPr>
        <w:rPr>
          <w:rFonts w:hint="default"/>
          <w:sz w:val="24"/>
          <w:szCs w:val="24"/>
          <w:highlight w:val="none"/>
        </w:rPr>
      </w:pPr>
    </w:p>
    <w:p>
      <w:pPr>
        <w:pStyle w:val="2"/>
        <w:rPr>
          <w:rFonts w:hint="default"/>
          <w:sz w:val="24"/>
          <w:szCs w:val="24"/>
          <w:highlight w:val="none"/>
        </w:rPr>
      </w:pPr>
    </w:p>
    <w:p>
      <w:pPr>
        <w:rPr>
          <w:rFonts w:hint="default"/>
          <w:sz w:val="24"/>
          <w:szCs w:val="24"/>
          <w:highlight w:val="none"/>
        </w:rPr>
      </w:pPr>
    </w:p>
    <w:p>
      <w:pPr>
        <w:pStyle w:val="2"/>
        <w:rPr>
          <w:rFonts w:hint="default"/>
          <w:sz w:val="24"/>
          <w:szCs w:val="24"/>
          <w:highlight w:val="none"/>
        </w:rPr>
      </w:pPr>
    </w:p>
    <w:p>
      <w:pPr>
        <w:rPr>
          <w:rFonts w:hint="default"/>
          <w:sz w:val="24"/>
          <w:szCs w:val="24"/>
          <w:highlight w:val="none"/>
        </w:rPr>
      </w:pPr>
    </w:p>
    <w:p>
      <w:pPr>
        <w:pStyle w:val="2"/>
        <w:rPr>
          <w:rFonts w:hint="default"/>
          <w:highlight w:val="none"/>
        </w:rPr>
      </w:pPr>
    </w:p>
    <w:tbl>
      <w:tblPr>
        <w:tblStyle w:val="10"/>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907"/>
        <w:gridCol w:w="7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blHeader/>
          <w:jc w:val="center"/>
        </w:trPr>
        <w:tc>
          <w:tcPr>
            <w:tcW w:w="1596" w:type="dxa"/>
            <w:gridSpan w:val="2"/>
            <w:tcBorders>
              <w:top w:val="single" w:color="auto" w:sz="12"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atLeast"/>
              <w:jc w:val="center"/>
              <w:rPr>
                <w:rFonts w:hint="default" w:ascii="宋体" w:hAnsi="宋体"/>
                <w:b/>
                <w:sz w:val="24"/>
                <w:szCs w:val="24"/>
                <w:highlight w:val="none"/>
              </w:rPr>
            </w:pPr>
            <w:r>
              <w:rPr>
                <w:rFonts w:hint="default" w:ascii="宋体" w:hAnsi="宋体"/>
                <w:b/>
                <w:sz w:val="24"/>
                <w:szCs w:val="24"/>
                <w:highlight w:val="none"/>
              </w:rPr>
              <w:t>条款号</w:t>
            </w:r>
          </w:p>
        </w:tc>
        <w:tc>
          <w:tcPr>
            <w:tcW w:w="7914" w:type="dxa"/>
            <w:tcBorders>
              <w:top w:val="single" w:color="auto" w:sz="12" w:space="0"/>
              <w:left w:val="single" w:color="auto" w:sz="6" w:space="0"/>
              <w:bottom w:val="single" w:color="auto" w:sz="6" w:space="0"/>
              <w:right w:val="single" w:color="auto" w:sz="12" w:space="0"/>
              <w:tl2br w:val="nil"/>
              <w:tr2bl w:val="nil"/>
            </w:tcBorders>
            <w:noWrap w:val="0"/>
            <w:vAlign w:val="center"/>
          </w:tcPr>
          <w:p>
            <w:pPr>
              <w:autoSpaceDE w:val="0"/>
              <w:autoSpaceDN w:val="0"/>
              <w:adjustRightInd w:val="0"/>
              <w:spacing w:beforeLines="0" w:afterLines="0" w:line="400" w:lineRule="atLeast"/>
              <w:jc w:val="center"/>
              <w:rPr>
                <w:rFonts w:hint="default" w:ascii="宋体" w:hAnsi="宋体"/>
                <w:b/>
                <w:sz w:val="24"/>
                <w:szCs w:val="24"/>
                <w:highlight w:val="none"/>
              </w:rPr>
            </w:pPr>
            <w:r>
              <w:rPr>
                <w:rFonts w:hint="default" w:ascii="宋体" w:hAnsi="宋体"/>
                <w:b/>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5" w:hRule="atLeast"/>
          <w:jc w:val="center"/>
        </w:trPr>
        <w:tc>
          <w:tcPr>
            <w:tcW w:w="689" w:type="dxa"/>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ascii="宋体" w:hAnsi="宋体"/>
                <w:sz w:val="24"/>
                <w:szCs w:val="24"/>
                <w:highlight w:val="none"/>
              </w:rPr>
            </w:pPr>
            <w:r>
              <w:rPr>
                <w:rFonts w:hint="default" w:ascii="宋体" w:hAnsi="宋体"/>
                <w:sz w:val="24"/>
                <w:szCs w:val="24"/>
                <w:highlight w:val="none"/>
              </w:rPr>
              <w:t>3.1</w:t>
            </w:r>
          </w:p>
        </w:tc>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第一信</w:t>
            </w:r>
          </w:p>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封（商</w:t>
            </w:r>
          </w:p>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务及技</w:t>
            </w:r>
          </w:p>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术文件</w:t>
            </w:r>
          </w:p>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）初步</w:t>
            </w:r>
          </w:p>
          <w:p>
            <w:pPr>
              <w:autoSpaceDE w:val="0"/>
              <w:autoSpaceDN w:val="0"/>
              <w:adjustRightInd w:val="0"/>
              <w:spacing w:beforeLines="0" w:afterLines="0" w:line="320" w:lineRule="atLeast"/>
              <w:rPr>
                <w:rFonts w:hint="default" w:ascii="宋体" w:hAnsi="宋体"/>
                <w:sz w:val="24"/>
                <w:szCs w:val="24"/>
                <w:highlight w:val="none"/>
              </w:rPr>
            </w:pPr>
            <w:r>
              <w:rPr>
                <w:rFonts w:hint="default" w:ascii="宋体" w:hAnsi="宋体"/>
                <w:sz w:val="24"/>
                <w:szCs w:val="24"/>
                <w:highlight w:val="none"/>
              </w:rPr>
              <w:t>评审</w:t>
            </w:r>
          </w:p>
        </w:tc>
        <w:tc>
          <w:tcPr>
            <w:tcW w:w="7914" w:type="dxa"/>
            <w:tcBorders>
              <w:top w:val="single" w:color="auto" w:sz="6" w:space="0"/>
              <w:left w:val="single" w:color="auto" w:sz="6" w:space="0"/>
              <w:bottom w:val="single" w:color="auto" w:sz="6" w:space="0"/>
              <w:right w:val="single" w:color="auto" w:sz="12" w:space="0"/>
              <w:tl2br w:val="nil"/>
              <w:tr2bl w:val="nil"/>
            </w:tcBorders>
            <w:noWrap w:val="0"/>
            <w:vAlign w:val="top"/>
          </w:tcPr>
          <w:p>
            <w:pPr>
              <w:autoSpaceDE w:val="0"/>
              <w:autoSpaceDN w:val="0"/>
              <w:adjustRightInd w:val="0"/>
              <w:spacing w:beforeLines="0" w:afterLines="0"/>
              <w:jc w:val="left"/>
              <w:rPr>
                <w:rFonts w:hint="eastAsia" w:ascii="黑体" w:hAnsi="黑体" w:eastAsia="黑体"/>
                <w:sz w:val="24"/>
                <w:szCs w:val="24"/>
                <w:highlight w:val="none"/>
              </w:rPr>
            </w:pPr>
            <w:r>
              <w:rPr>
                <w:rFonts w:hint="eastAsia" w:ascii="黑体" w:hAnsi="黑体" w:eastAsia="黑体"/>
                <w:sz w:val="24"/>
                <w:szCs w:val="24"/>
                <w:highlight w:val="none"/>
              </w:rPr>
              <w:t>3.1第一信封（商务及技术文件）初步评审</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评标委员会可以要求投标人提交第二章“投标人须知”第3.5.1项至第3.5.5项规定的有关证明和证件的原件，以便核验。评标委员会依据本章第2.1.1项规定的标准对投标文件第一信封（商务及技术文件）进行评审。有一项不符合评审标准的，由评标委员会否决其投标。</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被否决投标的投标文件第一信封（商务及技术文件）不进入下一步的第一信封（商务及技术文件）详细评审。</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评标委员会根据第一信封（商务及技术文件）初步评审结果确定通过和不通过第一信封（商务及技术文件）初步评审的投标人名单。</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投标人有以下情形之一的，由评标委员会否决其投标：</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（1）第二章“投标人须知”第 1.4.3 项规定的任何一种情形的；</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（2）串通投标或弄虚作假或有其他违法行为的；</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（3）不按评标委员会要求澄清、说明或补正的。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9" w:type="dxa"/>
            <w:tcBorders>
              <w:top w:val="single" w:color="auto" w:sz="6" w:space="0"/>
              <w:left w:val="single" w:color="auto" w:sz="12"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20" w:lineRule="atLeast"/>
              <w:ind w:left="0" w:leftChars="0" w:firstLine="0" w:firstLineChars="0"/>
              <w:jc w:val="both"/>
              <w:rPr>
                <w:rFonts w:hint="default" w:ascii="宋体" w:hAnsi="宋体"/>
                <w:sz w:val="24"/>
                <w:szCs w:val="24"/>
                <w:highlight w:val="none"/>
              </w:rPr>
            </w:pPr>
            <w:r>
              <w:rPr>
                <w:rFonts w:hint="default" w:ascii="宋体" w:hAnsi="宋体"/>
                <w:sz w:val="24"/>
                <w:szCs w:val="24"/>
                <w:highlight w:val="none"/>
              </w:rPr>
              <w:t>3.2</w:t>
            </w:r>
          </w:p>
        </w:tc>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第一信</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封（商</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务及技</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术文件）详</w:t>
            </w:r>
          </w:p>
          <w:p>
            <w:pPr>
              <w:autoSpaceDE w:val="0"/>
              <w:autoSpaceDN w:val="0"/>
              <w:adjustRightInd w:val="0"/>
              <w:spacing w:beforeLines="0" w:afterLines="0" w:line="320" w:lineRule="exact"/>
              <w:jc w:val="center"/>
              <w:rPr>
                <w:rFonts w:hint="default" w:ascii="宋体" w:hAnsi="宋体"/>
                <w:sz w:val="24"/>
                <w:szCs w:val="24"/>
                <w:highlight w:val="none"/>
              </w:rPr>
            </w:pPr>
            <w:r>
              <w:rPr>
                <w:rFonts w:hint="default" w:ascii="宋体" w:hAnsi="宋体"/>
                <w:sz w:val="24"/>
                <w:szCs w:val="24"/>
                <w:highlight w:val="none"/>
              </w:rPr>
              <w:t>细评审</w:t>
            </w:r>
          </w:p>
        </w:tc>
        <w:tc>
          <w:tcPr>
            <w:tcW w:w="7914" w:type="dxa"/>
            <w:tcBorders>
              <w:top w:val="single" w:color="auto" w:sz="6" w:space="0"/>
              <w:left w:val="single" w:color="auto" w:sz="6" w:space="0"/>
              <w:bottom w:val="single" w:color="auto" w:sz="6" w:space="0"/>
              <w:right w:val="single" w:color="auto" w:sz="12" w:space="0"/>
              <w:tl2br w:val="nil"/>
              <w:tr2bl w:val="nil"/>
            </w:tcBorders>
            <w:noWrap w:val="0"/>
            <w:vAlign w:val="top"/>
          </w:tcPr>
          <w:p>
            <w:pPr>
              <w:autoSpaceDE w:val="0"/>
              <w:autoSpaceDN w:val="0"/>
              <w:adjustRightInd w:val="0"/>
              <w:spacing w:beforeLines="0" w:afterLines="0" w:line="340" w:lineRule="exact"/>
              <w:jc w:val="left"/>
              <w:rPr>
                <w:rFonts w:hint="eastAsia" w:ascii="黑体" w:hAnsi="黑体" w:eastAsia="黑体"/>
                <w:sz w:val="24"/>
                <w:szCs w:val="24"/>
                <w:highlight w:val="none"/>
              </w:rPr>
            </w:pPr>
            <w:r>
              <w:rPr>
                <w:rFonts w:hint="eastAsia" w:ascii="黑体" w:hAnsi="黑体" w:eastAsia="黑体"/>
                <w:sz w:val="24"/>
                <w:szCs w:val="24"/>
                <w:highlight w:val="none"/>
              </w:rPr>
              <w:t>3.2第一信封（ 商务及技术文件）详细评审</w:t>
            </w:r>
          </w:p>
          <w:p>
            <w:pPr>
              <w:autoSpaceDE w:val="0"/>
              <w:autoSpaceDN w:val="0"/>
              <w:adjustRightInd w:val="0"/>
              <w:spacing w:beforeLines="0" w:afterLines="0" w:line="34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6" w:hRule="atLeast"/>
          <w:jc w:val="center"/>
        </w:trPr>
        <w:tc>
          <w:tcPr>
            <w:tcW w:w="689" w:type="dxa"/>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sz w:val="24"/>
                <w:szCs w:val="24"/>
                <w:highlight w:val="none"/>
              </w:rPr>
            </w:pPr>
            <w:r>
              <w:rPr>
                <w:rFonts w:hint="default" w:ascii="宋体" w:hAnsi="宋体"/>
                <w:sz w:val="24"/>
                <w:szCs w:val="24"/>
                <w:highlight w:val="none"/>
              </w:rPr>
              <w:t>3.3</w:t>
            </w:r>
          </w:p>
        </w:tc>
        <w:tc>
          <w:tcPr>
            <w:tcW w:w="907" w:type="dxa"/>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第二信</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封（报</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价文件）初</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步评审</w:t>
            </w:r>
          </w:p>
        </w:tc>
        <w:tc>
          <w:tcPr>
            <w:tcW w:w="7914" w:type="dxa"/>
            <w:tcBorders>
              <w:top w:val="single" w:color="auto" w:sz="8" w:space="0"/>
              <w:left w:val="single" w:color="auto" w:sz="8" w:space="0"/>
              <w:bottom w:val="single" w:color="auto" w:sz="8" w:space="0"/>
              <w:right w:val="single" w:color="auto" w:sz="12" w:space="0"/>
              <w:tl2br w:val="nil"/>
              <w:tr2bl w:val="nil"/>
            </w:tcBorders>
            <w:noWrap w:val="0"/>
            <w:vAlign w:val="top"/>
          </w:tcPr>
          <w:p>
            <w:pPr>
              <w:autoSpaceDE w:val="0"/>
              <w:autoSpaceDN w:val="0"/>
              <w:adjustRightInd w:val="0"/>
              <w:spacing w:beforeLines="0" w:afterLines="0"/>
              <w:jc w:val="left"/>
              <w:rPr>
                <w:rFonts w:hint="eastAsia" w:ascii="黑体" w:hAnsi="黑体" w:eastAsia="黑体"/>
                <w:sz w:val="24"/>
                <w:szCs w:val="24"/>
                <w:highlight w:val="none"/>
              </w:rPr>
            </w:pPr>
            <w:r>
              <w:rPr>
                <w:rFonts w:hint="eastAsia" w:ascii="黑体" w:hAnsi="黑体" w:eastAsia="黑体"/>
                <w:sz w:val="24"/>
                <w:szCs w:val="24"/>
                <w:highlight w:val="none"/>
              </w:rPr>
              <w:t>3.3第二信封（报价文件）初步评审</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评标委员会依据本章第2.1.2项规定的标准对通过第一信封（商务及技术文件）评审、经第二信封（报价文件）开标现场确认有效的投标文件第二信封（报价文件）进行评审。有一项不符合评审标准的，由评标委员会否决其投标。</w:t>
            </w:r>
          </w:p>
          <w:p>
            <w:pPr>
              <w:autoSpaceDE w:val="0"/>
              <w:autoSpaceDN w:val="0"/>
              <w:adjustRightInd w:val="0"/>
              <w:spacing w:beforeLines="0" w:afterLines="0" w:line="42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被否决投标的投标文件第二信封（报价文件）不进入下一步的第二信封（报价文件）详细评审。</w:t>
            </w:r>
          </w:p>
          <w:p>
            <w:pPr>
              <w:autoSpaceDE w:val="0"/>
              <w:autoSpaceDN w:val="0"/>
              <w:adjustRightInd w:val="0"/>
              <w:spacing w:beforeLines="0" w:afterLines="0" w:line="420" w:lineRule="exact"/>
              <w:ind w:firstLine="480" w:firstLineChars="200"/>
              <w:jc w:val="left"/>
              <w:rPr>
                <w:rFonts w:hint="default"/>
                <w:sz w:val="24"/>
                <w:szCs w:val="24"/>
                <w:highlight w:val="none"/>
              </w:rPr>
            </w:pPr>
            <w:r>
              <w:rPr>
                <w:rFonts w:hint="default" w:ascii="宋体" w:hAnsi="宋体"/>
                <w:sz w:val="24"/>
                <w:szCs w:val="24"/>
                <w:highlight w:val="none"/>
              </w:rPr>
              <w:t>评标委员会根据第二信封（报价文件）初步评审结果确定通过和不通过第二信封（报价文件）初步评审的投标人名单。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68" w:hRule="atLeast"/>
          <w:jc w:val="center"/>
        </w:trPr>
        <w:tc>
          <w:tcPr>
            <w:tcW w:w="689" w:type="dxa"/>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sz w:val="24"/>
                <w:szCs w:val="24"/>
                <w:highlight w:val="none"/>
              </w:rPr>
            </w:pPr>
            <w:r>
              <w:rPr>
                <w:rFonts w:hint="default" w:ascii="宋体" w:hAnsi="宋体"/>
                <w:sz w:val="24"/>
                <w:szCs w:val="24"/>
                <w:highlight w:val="none"/>
              </w:rPr>
              <w:t>3.4</w:t>
            </w:r>
          </w:p>
        </w:tc>
        <w:tc>
          <w:tcPr>
            <w:tcW w:w="907" w:type="dxa"/>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第</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二</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信</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封</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报</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价</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文</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件</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详</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细</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评</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审</w:t>
            </w:r>
          </w:p>
        </w:tc>
        <w:tc>
          <w:tcPr>
            <w:tcW w:w="7914" w:type="dxa"/>
            <w:tcBorders>
              <w:top w:val="single" w:color="auto" w:sz="8" w:space="0"/>
              <w:left w:val="single" w:color="auto" w:sz="8" w:space="0"/>
              <w:bottom w:val="single" w:color="auto" w:sz="8" w:space="0"/>
              <w:right w:val="single" w:color="auto" w:sz="12" w:space="0"/>
              <w:tl2br w:val="nil"/>
              <w:tr2bl w:val="nil"/>
            </w:tcBorders>
            <w:noWrap w:val="0"/>
            <w:vAlign w:val="top"/>
          </w:tcPr>
          <w:p>
            <w:pPr>
              <w:autoSpaceDE w:val="0"/>
              <w:autoSpaceDN w:val="0"/>
              <w:adjustRightInd w:val="0"/>
              <w:spacing w:beforeLines="0" w:afterLines="0"/>
              <w:jc w:val="left"/>
              <w:rPr>
                <w:rFonts w:hint="eastAsia" w:ascii="黑体" w:hAnsi="黑体" w:eastAsia="黑体"/>
                <w:sz w:val="24"/>
                <w:szCs w:val="24"/>
                <w:highlight w:val="none"/>
              </w:rPr>
            </w:pPr>
            <w:r>
              <w:rPr>
                <w:rFonts w:hint="eastAsia" w:ascii="黑体" w:hAnsi="黑体" w:eastAsia="黑体"/>
                <w:sz w:val="24"/>
                <w:szCs w:val="24"/>
                <w:highlight w:val="none"/>
              </w:rPr>
              <w:t>3.4详细评审</w:t>
            </w:r>
          </w:p>
          <w:p>
            <w:pPr>
              <w:autoSpaceDE w:val="0"/>
              <w:autoSpaceDN w:val="0"/>
              <w:adjustRightInd w:val="0"/>
              <w:spacing w:beforeLines="0" w:afterLines="0" w:line="400" w:lineRule="atLeast"/>
              <w:ind w:firstLine="480" w:firstLineChars="200"/>
              <w:jc w:val="left"/>
              <w:rPr>
                <w:rFonts w:hint="default" w:ascii="宋体" w:hAnsi="宋体"/>
                <w:sz w:val="24"/>
                <w:szCs w:val="24"/>
                <w:highlight w:val="none"/>
              </w:rPr>
            </w:pPr>
            <w:r>
              <w:rPr>
                <w:rFonts w:hint="default" w:ascii="宋体" w:hAnsi="宋体"/>
                <w:sz w:val="24"/>
                <w:szCs w:val="24"/>
                <w:highlight w:val="none"/>
              </w:rPr>
              <w:t>3.4.1评标委员会依据本章第2.2款规定的量化因素和分值标准，对通过第二信封（报价文件）初步评审的投标文件第二信封（报价文件）进行详细评审, 并计算出投标人得分。</w:t>
            </w:r>
          </w:p>
          <w:p>
            <w:pPr>
              <w:autoSpaceDE w:val="0"/>
              <w:autoSpaceDN w:val="0"/>
              <w:adjustRightInd w:val="0"/>
              <w:spacing w:beforeLines="0" w:afterLines="0" w:line="40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（1）按本章第2.2.4（1）目规定的评审因素和分值对施工组织设计计算出得分S1；</w:t>
            </w:r>
          </w:p>
          <w:p>
            <w:pPr>
              <w:autoSpaceDE w:val="0"/>
              <w:autoSpaceDN w:val="0"/>
              <w:adjustRightInd w:val="0"/>
              <w:spacing w:beforeLines="0" w:afterLines="0" w:line="40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（2）按本章第2.2.4（2）目规定的评审因素和分值对项目管理机构计算出得分S2；</w:t>
            </w:r>
          </w:p>
          <w:p>
            <w:pPr>
              <w:autoSpaceDE w:val="0"/>
              <w:autoSpaceDN w:val="0"/>
              <w:adjustRightInd w:val="0"/>
              <w:spacing w:beforeLines="0" w:afterLines="0" w:line="40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（3）按本章第2.2.4（3）目规定的评审因素和分值对投标报价计算出得分S3；</w:t>
            </w:r>
          </w:p>
          <w:p>
            <w:pPr>
              <w:autoSpaceDE w:val="0"/>
              <w:autoSpaceDN w:val="0"/>
              <w:adjustRightInd w:val="0"/>
              <w:spacing w:beforeLines="0" w:afterLines="0" w:line="400" w:lineRule="atLeast"/>
              <w:ind w:firstLine="480" w:firstLineChars="200"/>
              <w:jc w:val="left"/>
              <w:rPr>
                <w:rFonts w:hint="default" w:ascii="宋体" w:hAnsi="宋体"/>
                <w:sz w:val="24"/>
                <w:szCs w:val="24"/>
                <w:highlight w:val="none"/>
              </w:rPr>
            </w:pPr>
            <w:r>
              <w:rPr>
                <w:rFonts w:hint="default" w:ascii="宋体" w:hAnsi="宋体"/>
                <w:sz w:val="24"/>
                <w:szCs w:val="24"/>
                <w:highlight w:val="none"/>
              </w:rPr>
              <w:t>（4）按本章第2.2.4（4）目规定的评审因素和分值对其他部分计算出得分S4。</w:t>
            </w:r>
          </w:p>
          <w:p>
            <w:pPr>
              <w:autoSpaceDE w:val="0"/>
              <w:autoSpaceDN w:val="0"/>
              <w:adjustRightInd w:val="0"/>
              <w:spacing w:beforeLines="0" w:afterLines="0" w:line="400" w:lineRule="atLeast"/>
              <w:ind w:firstLine="480" w:firstLineChars="200"/>
              <w:jc w:val="left"/>
              <w:rPr>
                <w:rFonts w:hint="default"/>
                <w:sz w:val="24"/>
                <w:szCs w:val="24"/>
                <w:highlight w:val="none"/>
              </w:rPr>
            </w:pPr>
            <w:r>
              <w:rPr>
                <w:rFonts w:hint="default" w:ascii="宋体" w:hAnsi="宋体"/>
                <w:sz w:val="24"/>
                <w:szCs w:val="24"/>
                <w:highlight w:val="none"/>
              </w:rPr>
              <w:t>（5）投标人得分S=S1+S2+S3+S4。</w:t>
            </w:r>
          </w:p>
          <w:p>
            <w:pPr>
              <w:autoSpaceDE w:val="0"/>
              <w:autoSpaceDN w:val="0"/>
              <w:adjustRightInd w:val="0"/>
              <w:spacing w:beforeLines="0" w:afterLines="0" w:line="400" w:lineRule="atLeast"/>
              <w:ind w:firstLine="480" w:firstLineChars="200"/>
              <w:jc w:val="left"/>
              <w:rPr>
                <w:rFonts w:hint="default"/>
                <w:sz w:val="24"/>
                <w:szCs w:val="24"/>
                <w:highlight w:val="none"/>
              </w:rPr>
            </w:pPr>
            <w:r>
              <w:rPr>
                <w:rFonts w:hint="default" w:ascii="宋体" w:hAnsi="宋体"/>
                <w:sz w:val="24"/>
                <w:szCs w:val="24"/>
                <w:highlight w:val="none"/>
              </w:rPr>
              <w:t>3.4.2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并否决其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0" w:hRule="atLeast"/>
          <w:jc w:val="center"/>
        </w:trPr>
        <w:tc>
          <w:tcPr>
            <w:tcW w:w="689" w:type="dxa"/>
            <w:tcBorders>
              <w:top w:val="single" w:color="auto" w:sz="8" w:space="0"/>
              <w:left w:val="single" w:color="auto" w:sz="12"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sz w:val="24"/>
                <w:szCs w:val="24"/>
                <w:highlight w:val="none"/>
              </w:rPr>
            </w:pPr>
            <w:r>
              <w:rPr>
                <w:rFonts w:hint="default" w:ascii="宋体" w:hAnsi="宋体"/>
                <w:sz w:val="24"/>
                <w:szCs w:val="24"/>
                <w:highlight w:val="none"/>
              </w:rPr>
              <w:t>3.5</w:t>
            </w:r>
          </w:p>
        </w:tc>
        <w:tc>
          <w:tcPr>
            <w:tcW w:w="907" w:type="dxa"/>
            <w:tcBorders>
              <w:top w:val="single" w:color="auto" w:sz="8" w:space="0"/>
              <w:left w:val="single" w:color="auto" w:sz="8" w:space="0"/>
              <w:bottom w:val="single" w:color="auto" w:sz="8" w:space="0"/>
              <w:right w:val="single" w:color="auto" w:sz="8" w:space="0"/>
              <w:tl2br w:val="nil"/>
              <w:tr2bl w:val="nil"/>
            </w:tcBorders>
            <w:noWrap w:val="0"/>
            <w:vAlign w:val="center"/>
          </w:tcPr>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投</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标</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文</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件</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的</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澄</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清</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和</w:t>
            </w:r>
          </w:p>
          <w:p>
            <w:pPr>
              <w:autoSpaceDE w:val="0"/>
              <w:autoSpaceDN w:val="0"/>
              <w:adjustRightInd w:val="0"/>
              <w:spacing w:beforeLines="0" w:afterLines="0" w:line="320" w:lineRule="atLeast"/>
              <w:jc w:val="center"/>
              <w:rPr>
                <w:rFonts w:hint="default" w:ascii="宋体" w:hAnsi="宋体"/>
                <w:sz w:val="24"/>
                <w:szCs w:val="24"/>
                <w:highlight w:val="none"/>
              </w:rPr>
            </w:pPr>
            <w:r>
              <w:rPr>
                <w:rFonts w:hint="default" w:ascii="宋体" w:hAnsi="宋体"/>
                <w:sz w:val="24"/>
                <w:szCs w:val="24"/>
                <w:highlight w:val="none"/>
              </w:rPr>
              <w:t>补</w:t>
            </w:r>
          </w:p>
          <w:p>
            <w:pPr>
              <w:autoSpaceDE w:val="0"/>
              <w:autoSpaceDN w:val="0"/>
              <w:adjustRightInd w:val="0"/>
              <w:spacing w:beforeLines="0" w:afterLines="0" w:line="320" w:lineRule="atLeast"/>
              <w:jc w:val="center"/>
              <w:rPr>
                <w:rFonts w:hint="default"/>
                <w:sz w:val="24"/>
                <w:szCs w:val="24"/>
                <w:highlight w:val="none"/>
              </w:rPr>
            </w:pPr>
            <w:r>
              <w:rPr>
                <w:rFonts w:hint="default" w:ascii="宋体" w:hAnsi="宋体"/>
                <w:sz w:val="24"/>
                <w:szCs w:val="24"/>
                <w:highlight w:val="none"/>
              </w:rPr>
              <w:t>正</w:t>
            </w:r>
          </w:p>
        </w:tc>
        <w:tc>
          <w:tcPr>
            <w:tcW w:w="7914" w:type="dxa"/>
            <w:tcBorders>
              <w:top w:val="single" w:color="auto" w:sz="8" w:space="0"/>
              <w:left w:val="single" w:color="auto" w:sz="8" w:space="0"/>
              <w:bottom w:val="single" w:color="auto" w:sz="8" w:space="0"/>
              <w:right w:val="single" w:color="auto" w:sz="12" w:space="0"/>
              <w:tl2br w:val="nil"/>
              <w:tr2bl w:val="nil"/>
            </w:tcBorders>
            <w:noWrap w:val="0"/>
            <w:vAlign w:val="top"/>
          </w:tcPr>
          <w:p>
            <w:pPr>
              <w:autoSpaceDE w:val="0"/>
              <w:autoSpaceDN w:val="0"/>
              <w:adjustRightInd w:val="0"/>
              <w:spacing w:beforeLines="0" w:afterLines="0" w:line="480" w:lineRule="exact"/>
              <w:jc w:val="left"/>
              <w:rPr>
                <w:rFonts w:hint="eastAsia" w:ascii="黑体" w:hAnsi="黑体" w:eastAsia="黑体"/>
                <w:sz w:val="24"/>
                <w:szCs w:val="24"/>
                <w:highlight w:val="none"/>
              </w:rPr>
            </w:pPr>
            <w:r>
              <w:rPr>
                <w:rFonts w:hint="eastAsia" w:ascii="黑体" w:hAnsi="黑体" w:eastAsia="黑体"/>
                <w:sz w:val="24"/>
                <w:szCs w:val="24"/>
                <w:highlight w:val="none"/>
              </w:rPr>
              <w:t>3.5  投标文件的澄清和补正</w:t>
            </w:r>
          </w:p>
          <w:p>
            <w:pPr>
              <w:autoSpaceDE w:val="0"/>
              <w:autoSpaceDN w:val="0"/>
              <w:adjustRightIn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3.5.1在评标过程中，评标委员会可以书面形式要求投标人对所提交投标文件中不明确的内容进行书面澄清或说明，或者对细微偏差进行补正。评标委员会不接受投标人主动提出的澄清、说明或补正。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3.5.2 澄清、说明和补正不得改变投标文件的实质性内容。投标人的书面澄清、说明和补正属于投标文件的组成部分。</w:t>
            </w:r>
          </w:p>
          <w:p>
            <w:pPr>
              <w:autoSpaceDE w:val="0"/>
              <w:autoSpaceDN w:val="0"/>
              <w:adjustRightIn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3.5.3 评标委员会对投标人提交的澄清、说明或补正有疑问的，可以要求投标人进一步澄清、说明或补正，直至满足评标委员会的要求。</w:t>
            </w:r>
          </w:p>
          <w:p>
            <w:pPr>
              <w:autoSpaceDE w:val="0"/>
              <w:autoSpaceDN w:val="0"/>
              <w:adjustRightInd w:val="0"/>
              <w:spacing w:beforeLines="0" w:afterLines="0" w:line="480" w:lineRule="exact"/>
              <w:ind w:firstLine="480" w:firstLineChars="200"/>
              <w:jc w:val="left"/>
              <w:rPr>
                <w:rFonts w:hint="default"/>
                <w:sz w:val="24"/>
                <w:szCs w:val="24"/>
                <w:highlight w:val="none"/>
              </w:rPr>
            </w:pPr>
            <w:r>
              <w:rPr>
                <w:rFonts w:hint="default" w:ascii="宋体" w:hAnsi="宋体"/>
                <w:sz w:val="24"/>
                <w:szCs w:val="24"/>
                <w:highlight w:val="none"/>
              </w:rPr>
              <w:t>3.5.4 凡超出招标文件规定的或给发包人带来未曾要求的利益的变化、偏差或其他因素在评标时不予考虑。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37" w:hRule="atLeast"/>
          <w:jc w:val="center"/>
        </w:trPr>
        <w:tc>
          <w:tcPr>
            <w:tcW w:w="689" w:type="dxa"/>
            <w:tcBorders>
              <w:top w:val="single" w:color="auto" w:sz="8" w:space="0"/>
              <w:left w:val="single" w:color="auto" w:sz="12" w:space="0"/>
              <w:bottom w:val="single" w:color="auto" w:sz="12" w:space="0"/>
              <w:right w:val="single" w:color="auto" w:sz="8"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sz w:val="24"/>
                <w:szCs w:val="24"/>
                <w:highlight w:val="none"/>
              </w:rPr>
            </w:pPr>
            <w:r>
              <w:rPr>
                <w:rFonts w:hint="default" w:ascii="宋体" w:hAnsi="宋体"/>
                <w:sz w:val="24"/>
                <w:szCs w:val="24"/>
                <w:highlight w:val="none"/>
              </w:rPr>
              <w:t>3.6</w:t>
            </w:r>
          </w:p>
        </w:tc>
        <w:tc>
          <w:tcPr>
            <w:tcW w:w="907" w:type="dxa"/>
            <w:tcBorders>
              <w:top w:val="single" w:color="auto" w:sz="8" w:space="0"/>
              <w:left w:val="single" w:color="auto" w:sz="8" w:space="0"/>
              <w:bottom w:val="single" w:color="auto" w:sz="12" w:space="0"/>
              <w:right w:val="single" w:color="auto" w:sz="8" w:space="0"/>
              <w:tl2br w:val="nil"/>
              <w:tr2bl w:val="nil"/>
            </w:tcBorders>
            <w:noWrap w:val="0"/>
            <w:vAlign w:val="center"/>
          </w:tcPr>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评</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标</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结</w:t>
            </w:r>
          </w:p>
          <w:p>
            <w:pPr>
              <w:autoSpaceDE w:val="0"/>
              <w:autoSpaceDN w:val="0"/>
              <w:adjustRightInd w:val="0"/>
              <w:spacing w:beforeLines="0" w:afterLines="0" w:line="320" w:lineRule="atLeast"/>
              <w:jc w:val="center"/>
              <w:rPr>
                <w:rFonts w:hint="default"/>
                <w:sz w:val="24"/>
                <w:szCs w:val="24"/>
                <w:highlight w:val="none"/>
              </w:rPr>
            </w:pPr>
            <w:r>
              <w:rPr>
                <w:rFonts w:hint="default" w:ascii="宋体"/>
                <w:sz w:val="24"/>
                <w:szCs w:val="24"/>
                <w:highlight w:val="none"/>
              </w:rPr>
              <w:t>果</w:t>
            </w:r>
          </w:p>
        </w:tc>
        <w:tc>
          <w:tcPr>
            <w:tcW w:w="7914" w:type="dxa"/>
            <w:tcBorders>
              <w:top w:val="single" w:color="auto" w:sz="8" w:space="0"/>
              <w:left w:val="single" w:color="auto" w:sz="8" w:space="0"/>
              <w:bottom w:val="single" w:color="auto" w:sz="12" w:space="0"/>
              <w:right w:val="single" w:color="auto" w:sz="12" w:space="0"/>
              <w:tl2br w:val="nil"/>
              <w:tr2bl w:val="nil"/>
            </w:tcBorders>
            <w:noWrap w:val="0"/>
            <w:vAlign w:val="top"/>
          </w:tcPr>
          <w:p>
            <w:pPr>
              <w:autoSpaceDE w:val="0"/>
              <w:autoSpaceDN w:val="0"/>
              <w:adjustRightInd w:val="0"/>
              <w:spacing w:beforeLines="0" w:afterLines="0" w:line="480" w:lineRule="exact"/>
              <w:jc w:val="left"/>
              <w:rPr>
                <w:rFonts w:hint="eastAsia" w:ascii="黑体" w:hAnsi="黑体" w:eastAsia="黑体"/>
                <w:sz w:val="24"/>
                <w:szCs w:val="24"/>
                <w:highlight w:val="none"/>
              </w:rPr>
            </w:pPr>
            <w:r>
              <w:rPr>
                <w:rFonts w:hint="eastAsia" w:ascii="黑体" w:hAnsi="黑体" w:eastAsia="黑体"/>
                <w:sz w:val="24"/>
                <w:szCs w:val="24"/>
                <w:highlight w:val="none"/>
              </w:rPr>
              <w:t>3.6  评标结果</w:t>
            </w:r>
          </w:p>
          <w:p>
            <w:pPr>
              <w:autoSpaceDE w:val="0"/>
              <w:autoSpaceDN w:val="0"/>
              <w:adjustRightIn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3.6.1除第二章“投标人须知”前附表授权直接确定中标人外，评标委员会依据本章第1条规定的标准，按照投标人得分由高到低的顺序推荐中标候选人。</w:t>
            </w:r>
          </w:p>
          <w:p>
            <w:pPr>
              <w:autoSpaceDE w:val="0"/>
              <w:autoSpaceDN w:val="0"/>
              <w:adjustRightInd w:val="0"/>
              <w:spacing w:beforeLines="0" w:afterLines="0" w:line="480" w:lineRule="exact"/>
              <w:ind w:firstLine="480" w:firstLineChars="200"/>
              <w:jc w:val="left"/>
              <w:rPr>
                <w:rFonts w:hint="default"/>
                <w:sz w:val="24"/>
                <w:szCs w:val="24"/>
                <w:highlight w:val="none"/>
              </w:rPr>
            </w:pPr>
            <w:r>
              <w:rPr>
                <w:rFonts w:hint="default" w:ascii="宋体" w:hAnsi="宋体"/>
                <w:sz w:val="24"/>
                <w:szCs w:val="24"/>
                <w:highlight w:val="none"/>
              </w:rPr>
              <w:t>3.6.2 评标委员会完成评标后向招标人提交书面评标报告。</w:t>
            </w:r>
          </w:p>
        </w:tc>
      </w:tr>
      <w:bookmarkEnd w:id="0"/>
    </w:tbl>
    <w:p>
      <w:pPr>
        <w:autoSpaceDE w:val="0"/>
        <w:autoSpaceDN w:val="0"/>
        <w:adjustRightInd w:val="0"/>
        <w:spacing w:beforeLines="0" w:afterLines="0"/>
        <w:jc w:val="center"/>
        <w:rPr>
          <w:rFonts w:hint="default"/>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ViN2M5Y2Y0ZjU3NTg3OTEzNjFhYjRjZTYyYzAifQ=="/>
  </w:docVars>
  <w:rsids>
    <w:rsidRoot w:val="557E1660"/>
    <w:rsid w:val="059041E1"/>
    <w:rsid w:val="106618D1"/>
    <w:rsid w:val="112F2A74"/>
    <w:rsid w:val="2C8868D9"/>
    <w:rsid w:val="3CFA2D1F"/>
    <w:rsid w:val="3F353E9E"/>
    <w:rsid w:val="4989732B"/>
    <w:rsid w:val="557E1660"/>
    <w:rsid w:val="59466E0D"/>
    <w:rsid w:val="6CEE0D79"/>
    <w:rsid w:val="7BA1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unhideWhenUsed/>
    <w:qFormat/>
    <w:uiPriority w:val="1"/>
    <w:pPr>
      <w:autoSpaceDE w:val="0"/>
      <w:autoSpaceDN w:val="0"/>
      <w:adjustRightInd w:val="0"/>
      <w:spacing w:beforeLines="0" w:afterLines="0"/>
      <w:jc w:val="left"/>
      <w:outlineLvl w:val="2"/>
    </w:pPr>
    <w:rPr>
      <w:rFonts w:hint="eastAsia" w:ascii="黑体" w:hAnsi="黑体" w:eastAsia="黑体"/>
      <w:b/>
      <w:sz w:val="4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szCs w:val="24"/>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autoSpaceDE w:val="0"/>
      <w:autoSpaceDN w:val="0"/>
      <w:adjustRightInd w:val="0"/>
      <w:snapToGrid w:val="0"/>
      <w:spacing w:beforeLines="0" w:afterLines="0"/>
      <w:jc w:val="left"/>
    </w:pPr>
    <w:rPr>
      <w:rFonts w:hint="default"/>
      <w:sz w:val="18"/>
      <w:szCs w:val="24"/>
    </w:rPr>
  </w:style>
  <w:style w:type="paragraph" w:styleId="7">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beforeLines="0" w:afterLines="0"/>
      <w:jc w:val="center"/>
    </w:pPr>
    <w:rPr>
      <w:rFonts w:hint="default"/>
      <w:sz w:val="18"/>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5"/>
    <w:qFormat/>
    <w:uiPriority w:val="0"/>
    <w:pPr>
      <w:ind w:firstLine="420"/>
    </w:pPr>
  </w:style>
  <w:style w:type="character" w:styleId="12">
    <w:name w:val="Hyperlink"/>
    <w:basedOn w:val="11"/>
    <w:qFormat/>
    <w:uiPriority w:val="0"/>
    <w:rPr>
      <w:color w:val="0000FF"/>
      <w:u w:val="single"/>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List Paragraph"/>
    <w:basedOn w:val="1"/>
    <w:qFormat/>
    <w:uiPriority w:val="1"/>
    <w:pPr>
      <w:spacing w:before="2"/>
      <w:ind w:left="1474"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3986</Words>
  <Characters>4379</Characters>
  <Lines>0</Lines>
  <Paragraphs>0</Paragraphs>
  <TotalTime>4</TotalTime>
  <ScaleCrop>false</ScaleCrop>
  <LinksUpToDate>false</LinksUpToDate>
  <CharactersWithSpaces>4480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2022-06-15T03:58:00Z</dcterms:created>
  <dc:creator>WPS_1600825042</dc:creator>
  <cp:lastModifiedBy>LDF</cp:lastModifiedBy>
  <dcterms:modified xsi:type="dcterms:W3CDTF">2023-05-22T03:34:44Z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D1FEC840081E48F8BF302EAB8022B9F6</vt:lpwstr>
  </property>
</Properties>
</file>