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6"/>
          <w:szCs w:val="36"/>
          <w:highlight w:val="none"/>
          <w:u w:val="none"/>
          <w:lang w:val="en-US" w:eastAsia="zh-CN"/>
        </w:rPr>
      </w:pPr>
      <w:r>
        <w:rPr>
          <w:rFonts w:hint="eastAsia" w:ascii="黑体" w:hAnsi="宋体" w:eastAsia="黑体" w:cs="Times New Roman"/>
          <w:sz w:val="36"/>
          <w:szCs w:val="36"/>
          <w:highlight w:val="none"/>
          <w:u w:val="none"/>
          <w:lang w:val="en-US" w:eastAsia="zh-CN"/>
        </w:rPr>
        <w:t>寻乌至全南高速公路西延段项目勘察设计、勘察设计监理招标</w:t>
      </w:r>
      <w:r>
        <w:rPr>
          <w:rFonts w:hint="eastAsia" w:ascii="黑体" w:hAnsi="宋体" w:eastAsia="黑体"/>
          <w:sz w:val="36"/>
          <w:szCs w:val="36"/>
          <w:highlight w:val="none"/>
          <w:u w:val="none"/>
          <w:lang w:val="en-US" w:eastAsia="zh-CN"/>
        </w:rPr>
        <w:t>关键内容公开</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0"/>
        <w:textAlignment w:val="auto"/>
        <w:rPr>
          <w:rFonts w:hint="eastAsia" w:ascii="宋体" w:hAnsi="宋体" w:eastAsia="宋体" w:cs="宋体"/>
          <w:color w:val="333333"/>
          <w:sz w:val="24"/>
          <w:szCs w:val="24"/>
          <w:highlight w:val="none"/>
        </w:rPr>
      </w:pP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根据《公路工程建设项目招标投标管理办法》的规定，现对</w:t>
      </w:r>
      <w:r>
        <w:rPr>
          <w:rFonts w:hint="eastAsia" w:ascii="宋体" w:hAnsi="宋体" w:cs="宋体"/>
          <w:color w:val="333333"/>
          <w:sz w:val="24"/>
          <w:szCs w:val="24"/>
          <w:highlight w:val="none"/>
          <w:lang w:eastAsia="zh-CN"/>
        </w:rPr>
        <w:t>寻乌至全南高速公路西延段项目勘察设计、勘察设计监理招标</w:t>
      </w:r>
      <w:r>
        <w:rPr>
          <w:rFonts w:hint="eastAsia" w:ascii="宋体" w:hAnsi="宋体" w:eastAsia="宋体" w:cs="宋体"/>
          <w:color w:val="333333"/>
          <w:sz w:val="24"/>
          <w:szCs w:val="24"/>
          <w:highlight w:val="none"/>
        </w:rPr>
        <w:t>文件中的关键内容进行公开：</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一、项目概况</w:t>
      </w:r>
      <w:bookmarkStart w:id="6" w:name="_GoBack"/>
      <w:bookmarkEnd w:id="6"/>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详见</w:t>
      </w:r>
      <w:r>
        <w:rPr>
          <w:rFonts w:hint="eastAsia" w:ascii="宋体" w:hAnsi="宋体" w:cs="宋体"/>
          <w:color w:val="333333"/>
          <w:sz w:val="24"/>
          <w:szCs w:val="24"/>
          <w:highlight w:val="none"/>
          <w:lang w:eastAsia="zh-CN"/>
        </w:rPr>
        <w:t>寻乌至全南高速公路西延段项目勘察设计、勘察设计监理招标</w:t>
      </w:r>
      <w:r>
        <w:rPr>
          <w:rFonts w:hint="eastAsia" w:ascii="宋体" w:hAnsi="宋体" w:eastAsia="宋体" w:cs="宋体"/>
          <w:color w:val="333333"/>
          <w:sz w:val="24"/>
          <w:szCs w:val="24"/>
          <w:highlight w:val="none"/>
        </w:rPr>
        <w:t>公告。</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二、投标人资格要求</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lang w:val="en-US" w:eastAsia="zh-CN"/>
        </w:rPr>
        <w:t>详见</w:t>
      </w:r>
      <w:r>
        <w:rPr>
          <w:rFonts w:hint="eastAsia" w:ascii="宋体" w:hAnsi="宋体" w:cs="宋体"/>
          <w:color w:val="333333"/>
          <w:sz w:val="24"/>
          <w:szCs w:val="24"/>
          <w:highlight w:val="none"/>
          <w:lang w:eastAsia="zh-CN"/>
        </w:rPr>
        <w:t>寻乌至全南高速公路西延段项目勘察设计、勘察设计监理招标</w:t>
      </w:r>
      <w:r>
        <w:rPr>
          <w:rFonts w:hint="eastAsia" w:ascii="宋体" w:hAnsi="宋体" w:eastAsia="宋体" w:cs="宋体"/>
          <w:color w:val="333333"/>
          <w:sz w:val="24"/>
          <w:szCs w:val="24"/>
          <w:highlight w:val="none"/>
        </w:rPr>
        <w:t>公告。</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三、评标办法</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本次招标采用</w:t>
      </w:r>
      <w:r>
        <w:rPr>
          <w:rFonts w:hint="eastAsia" w:ascii="宋体" w:hAnsi="宋体" w:cs="宋体"/>
          <w:color w:val="333333"/>
          <w:sz w:val="24"/>
          <w:szCs w:val="24"/>
          <w:highlight w:val="none"/>
          <w:lang w:val="en-US" w:eastAsia="zh-CN"/>
        </w:rPr>
        <w:t>综合评估法法</w:t>
      </w:r>
      <w:r>
        <w:rPr>
          <w:rFonts w:hint="eastAsia" w:ascii="宋体" w:hAnsi="宋体" w:eastAsia="宋体" w:cs="宋体"/>
          <w:color w:val="333333"/>
          <w:sz w:val="24"/>
          <w:szCs w:val="24"/>
          <w:highlight w:val="none"/>
        </w:rPr>
        <w:t>（详见附件）。</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textAlignment w:val="auto"/>
        <w:rPr>
          <w:highlight w:val="none"/>
        </w:rPr>
      </w:pPr>
      <w:r>
        <w:rPr>
          <w:rFonts w:hint="eastAsia" w:ascii="宋体" w:hAnsi="宋体" w:eastAsia="宋体" w:cs="宋体"/>
          <w:color w:val="333333"/>
          <w:sz w:val="24"/>
          <w:szCs w:val="24"/>
          <w:highlight w:val="none"/>
        </w:rPr>
        <w:t>四、联系方式</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招标人：</w:t>
      </w:r>
      <w:r>
        <w:rPr>
          <w:rFonts w:hint="eastAsia" w:ascii="宋体" w:hAnsi="宋体" w:cs="宋体"/>
          <w:color w:val="333333"/>
          <w:sz w:val="24"/>
          <w:szCs w:val="24"/>
          <w:highlight w:val="none"/>
          <w:lang w:val="en-US" w:eastAsia="zh-CN"/>
        </w:rPr>
        <w:t>赣州交通控股集团有限公司</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地  址：</w:t>
      </w:r>
      <w:r>
        <w:rPr>
          <w:rFonts w:hint="eastAsia" w:eastAsia="宋体" w:cs="宋体"/>
          <w:color w:val="auto"/>
          <w:sz w:val="24"/>
          <w:highlight w:val="none"/>
          <w:lang w:eastAsia="zh-CN"/>
        </w:rPr>
        <w:t>江西省赣州市章贡区沙河镇赣州绕城高速赣州东出口</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邮  编：341000</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联系人：</w:t>
      </w:r>
      <w:r>
        <w:rPr>
          <w:rFonts w:hint="eastAsia" w:eastAsia="宋体" w:cs="宋体"/>
          <w:color w:val="auto"/>
          <w:sz w:val="24"/>
          <w:szCs w:val="24"/>
          <w:highlight w:val="none"/>
          <w:lang w:eastAsia="zh-CN"/>
        </w:rPr>
        <w:t>温女士</w:t>
      </w:r>
      <w:r>
        <w:rPr>
          <w:rFonts w:hint="default" w:ascii="宋体" w:hAnsi="宋体" w:eastAsia="宋体" w:cs="宋体"/>
          <w:color w:val="333333"/>
          <w:sz w:val="24"/>
          <w:szCs w:val="24"/>
          <w:highlight w:val="none"/>
          <w:lang w:val="en-US" w:eastAsia="zh-CN"/>
        </w:rPr>
        <w:t xml:space="preserve"> </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电  话：</w:t>
      </w:r>
      <w:r>
        <w:rPr>
          <w:rFonts w:hint="eastAsia" w:ascii="宋体" w:hAnsi="宋体" w:eastAsia="宋体" w:cs="宋体"/>
          <w:color w:val="333333"/>
          <w:sz w:val="24"/>
          <w:szCs w:val="24"/>
          <w:highlight w:val="none"/>
          <w:lang w:val="en-US" w:eastAsia="zh-CN"/>
        </w:rPr>
        <w:t>0797-8289692</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eastAsia"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传  真：</w:t>
      </w:r>
      <w:r>
        <w:rPr>
          <w:rFonts w:hint="eastAsia" w:ascii="宋体" w:hAnsi="宋体" w:eastAsia="宋体" w:cs="宋体"/>
          <w:color w:val="333333"/>
          <w:sz w:val="24"/>
          <w:szCs w:val="24"/>
          <w:highlight w:val="none"/>
          <w:lang w:val="en-US" w:eastAsia="zh-CN"/>
        </w:rPr>
        <w:t>0797-8289692</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招标代理机构：</w:t>
      </w:r>
      <w:r>
        <w:rPr>
          <w:rFonts w:hint="eastAsia" w:ascii="宋体" w:hAnsi="宋体" w:cs="宋体"/>
          <w:color w:val="333333"/>
          <w:sz w:val="24"/>
          <w:szCs w:val="24"/>
          <w:highlight w:val="none"/>
          <w:lang w:val="en-US" w:eastAsia="zh-CN"/>
        </w:rPr>
        <w:t>江西宏勋建设集团有限公司</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地     址：</w:t>
      </w:r>
      <w:r>
        <w:rPr>
          <w:rFonts w:hint="eastAsia" w:ascii="宋体" w:hAnsi="宋体" w:cs="宋体"/>
          <w:color w:val="333333"/>
          <w:sz w:val="24"/>
          <w:szCs w:val="24"/>
          <w:highlight w:val="none"/>
          <w:lang w:val="en-US" w:eastAsia="zh-CN"/>
        </w:rPr>
        <w:t>江西省赣州市会昌县麻州镇九州村委会对面</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联  系 人：</w:t>
      </w:r>
      <w:r>
        <w:rPr>
          <w:rFonts w:hint="eastAsia" w:ascii="宋体" w:hAnsi="宋体" w:cs="宋体"/>
          <w:color w:val="333333"/>
          <w:sz w:val="24"/>
          <w:szCs w:val="24"/>
          <w:highlight w:val="none"/>
          <w:lang w:val="en-US" w:eastAsia="zh-CN"/>
        </w:rPr>
        <w:t>池先生</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 xml:space="preserve">电    话： </w:t>
      </w:r>
      <w:r>
        <w:rPr>
          <w:rFonts w:hint="eastAsia" w:ascii="宋体" w:hAnsi="宋体" w:cs="宋体"/>
          <w:color w:val="333333"/>
          <w:sz w:val="24"/>
          <w:szCs w:val="24"/>
          <w:highlight w:val="none"/>
          <w:lang w:val="en-US" w:eastAsia="zh-CN"/>
        </w:rPr>
        <w:t>15083780690</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r>
        <w:rPr>
          <w:rFonts w:hint="default" w:ascii="宋体" w:hAnsi="宋体" w:eastAsia="宋体" w:cs="宋体"/>
          <w:color w:val="333333"/>
          <w:sz w:val="24"/>
          <w:szCs w:val="24"/>
          <w:highlight w:val="none"/>
          <w:lang w:val="en-US" w:eastAsia="zh-CN"/>
        </w:rPr>
        <w:t>江西省公共资源交易系统（交通平台）技术支持电话：4008503300</w:t>
      </w: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left"/>
        <w:textAlignment w:val="auto"/>
        <w:rPr>
          <w:rFonts w:hint="default" w:ascii="宋体" w:hAnsi="宋体" w:eastAsia="宋体" w:cs="宋体"/>
          <w:color w:val="333333"/>
          <w:sz w:val="24"/>
          <w:szCs w:val="24"/>
          <w:highlight w:val="none"/>
          <w:lang w:val="en-US" w:eastAsia="zh-CN"/>
        </w:rPr>
      </w:pPr>
    </w:p>
    <w:p>
      <w:pPr>
        <w:rPr>
          <w:rFonts w:hint="default" w:ascii="宋体" w:hAnsi="宋体" w:eastAsia="宋体" w:cs="宋体"/>
          <w:color w:val="333333"/>
          <w:sz w:val="24"/>
          <w:szCs w:val="24"/>
          <w:highlight w:val="none"/>
          <w:lang w:val="en-US" w:eastAsia="zh-CN"/>
        </w:rPr>
      </w:pPr>
      <w:r>
        <w:rPr>
          <w:rFonts w:hint="eastAsia" w:ascii="宋体" w:hAnsi="宋体" w:eastAsia="宋体" w:cs="宋体"/>
          <w:color w:val="333333"/>
          <w:sz w:val="24"/>
          <w:szCs w:val="24"/>
          <w:highlight w:val="none"/>
          <w:lang w:val="en-US" w:eastAsia="zh-CN"/>
        </w:rPr>
        <w:br w:type="page"/>
      </w:r>
      <w:r>
        <w:rPr>
          <w:rFonts w:hint="eastAsia" w:ascii="宋体" w:hAnsi="宋体" w:eastAsia="宋体" w:cs="宋体"/>
          <w:color w:val="333333"/>
          <w:sz w:val="24"/>
          <w:szCs w:val="24"/>
          <w:highlight w:val="none"/>
          <w:lang w:val="en-US" w:eastAsia="zh-CN"/>
        </w:rPr>
        <w:t>附件：</w:t>
      </w:r>
      <w:bookmarkStart w:id="0" w:name="_Toc9094"/>
      <w:r>
        <w:rPr>
          <w:rFonts w:hint="eastAsia" w:ascii="Times New Roman" w:hAnsi="Times New Roman" w:eastAsia="黑体"/>
          <w:b w:val="0"/>
          <w:bCs w:val="0"/>
          <w:kern w:val="44"/>
          <w:sz w:val="30"/>
          <w:szCs w:val="24"/>
          <w:highlight w:val="none"/>
          <w:lang w:val="en-US" w:eastAsia="zh-CN"/>
        </w:rPr>
        <w:t>评标办法</w:t>
      </w:r>
    </w:p>
    <w:bookmarkEnd w:id="0"/>
    <w:p>
      <w:pPr>
        <w:pStyle w:val="5"/>
        <w:adjustRightInd w:val="0"/>
        <w:spacing w:before="0" w:after="0" w:line="240" w:lineRule="auto"/>
        <w:contextualSpacing/>
        <w:rPr>
          <w:rFonts w:hint="eastAsia" w:ascii="宋体" w:hAnsi="宋体" w:cs="宋体"/>
        </w:rPr>
      </w:pPr>
      <w:bookmarkStart w:id="1" w:name="_Toc47"/>
      <w:r>
        <w:rPr>
          <w:rFonts w:hint="eastAsia" w:ascii="宋体" w:hAnsi="宋体" w:cs="宋体"/>
        </w:rPr>
        <w:t>评标办法前附表</w:t>
      </w:r>
      <w:bookmarkEnd w:id="1"/>
    </w:p>
    <w:tbl>
      <w:tblPr>
        <w:tblStyle w:val="10"/>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5"/>
        <w:gridCol w:w="843"/>
        <w:gridCol w:w="776"/>
        <w:gridCol w:w="2000"/>
        <w:gridCol w:w="5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2404" w:type="dxa"/>
            <w:gridSpan w:val="3"/>
            <w:noWrap w:val="0"/>
            <w:vAlign w:val="top"/>
          </w:tcPr>
          <w:p>
            <w:pPr>
              <w:pStyle w:val="27"/>
              <w:spacing w:before="130" w:line="250" w:lineRule="exact"/>
              <w:ind w:left="673" w:right="666"/>
              <w:jc w:val="center"/>
              <w:rPr>
                <w:rFonts w:hint="eastAsia" w:ascii="宋体" w:hAnsi="宋体" w:cs="宋体"/>
                <w:b/>
                <w:sz w:val="21"/>
              </w:rPr>
            </w:pPr>
            <w:r>
              <w:rPr>
                <w:rFonts w:hint="eastAsia" w:ascii="宋体" w:hAnsi="宋体" w:cs="宋体"/>
                <w:b/>
                <w:sz w:val="21"/>
              </w:rPr>
              <w:t>条款号</w:t>
            </w:r>
          </w:p>
        </w:tc>
        <w:tc>
          <w:tcPr>
            <w:tcW w:w="7075" w:type="dxa"/>
            <w:gridSpan w:val="2"/>
            <w:noWrap w:val="0"/>
            <w:vAlign w:val="top"/>
          </w:tcPr>
          <w:p>
            <w:pPr>
              <w:pStyle w:val="27"/>
              <w:spacing w:before="130" w:line="250" w:lineRule="exact"/>
              <w:ind w:left="2341" w:right="2329"/>
              <w:jc w:val="center"/>
              <w:rPr>
                <w:rFonts w:hint="eastAsia" w:ascii="宋体" w:hAnsi="宋体" w:cs="宋体"/>
                <w:b/>
                <w:sz w:val="21"/>
              </w:rPr>
            </w:pPr>
            <w:r>
              <w:rPr>
                <w:rFonts w:hint="eastAsia" w:ascii="宋体" w:hAnsi="宋体" w:cs="宋体"/>
                <w:b/>
                <w:sz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1" w:hRule="atLeast"/>
          <w:jc w:val="center"/>
        </w:trPr>
        <w:tc>
          <w:tcPr>
            <w:tcW w:w="785" w:type="dxa"/>
            <w:noWrap w:val="0"/>
            <w:vAlign w:val="top"/>
          </w:tcPr>
          <w:p>
            <w:pPr>
              <w:pStyle w:val="27"/>
              <w:rPr>
                <w:rFonts w:hint="eastAsia" w:ascii="宋体" w:hAnsi="宋体" w:cs="宋体"/>
                <w:b/>
              </w:rPr>
            </w:pPr>
          </w:p>
          <w:p>
            <w:pPr>
              <w:pStyle w:val="27"/>
              <w:rPr>
                <w:rFonts w:hint="eastAsia" w:ascii="宋体" w:hAnsi="宋体" w:cs="宋体"/>
                <w:b/>
              </w:rPr>
            </w:pPr>
          </w:p>
          <w:p>
            <w:pPr>
              <w:pStyle w:val="27"/>
              <w:spacing w:before="187"/>
              <w:ind w:left="7"/>
              <w:jc w:val="center"/>
              <w:rPr>
                <w:rFonts w:hint="eastAsia" w:ascii="宋体" w:hAnsi="宋体" w:cs="宋体"/>
                <w:sz w:val="21"/>
              </w:rPr>
            </w:pPr>
            <w:r>
              <w:rPr>
                <w:rFonts w:hint="eastAsia" w:ascii="宋体" w:hAnsi="宋体" w:cs="宋体"/>
                <w:sz w:val="21"/>
              </w:rPr>
              <w:t>1</w:t>
            </w:r>
          </w:p>
        </w:tc>
        <w:tc>
          <w:tcPr>
            <w:tcW w:w="1619" w:type="dxa"/>
            <w:gridSpan w:val="2"/>
            <w:noWrap w:val="0"/>
            <w:vAlign w:val="top"/>
          </w:tcPr>
          <w:p>
            <w:pPr>
              <w:pStyle w:val="27"/>
              <w:rPr>
                <w:rFonts w:hint="eastAsia" w:ascii="宋体" w:hAnsi="宋体" w:cs="宋体"/>
                <w:b/>
                <w:sz w:val="20"/>
              </w:rPr>
            </w:pPr>
          </w:p>
          <w:p>
            <w:pPr>
              <w:pStyle w:val="27"/>
              <w:rPr>
                <w:rFonts w:hint="eastAsia" w:ascii="宋体" w:hAnsi="宋体" w:cs="宋体"/>
                <w:b/>
                <w:sz w:val="20"/>
              </w:rPr>
            </w:pPr>
          </w:p>
          <w:p>
            <w:pPr>
              <w:pStyle w:val="27"/>
              <w:spacing w:before="10"/>
              <w:rPr>
                <w:rFonts w:hint="eastAsia" w:ascii="宋体" w:hAnsi="宋体" w:cs="宋体"/>
                <w:b/>
                <w:sz w:val="18"/>
              </w:rPr>
            </w:pPr>
          </w:p>
          <w:p>
            <w:pPr>
              <w:pStyle w:val="27"/>
              <w:jc w:val="center"/>
              <w:rPr>
                <w:rFonts w:hint="eastAsia" w:ascii="宋体" w:hAnsi="宋体" w:cs="宋体"/>
                <w:sz w:val="21"/>
              </w:rPr>
            </w:pPr>
            <w:r>
              <w:rPr>
                <w:rFonts w:hint="eastAsia" w:ascii="宋体" w:hAnsi="宋体" w:cs="宋体"/>
                <w:sz w:val="21"/>
              </w:rPr>
              <w:t>评标方法</w:t>
            </w:r>
          </w:p>
        </w:tc>
        <w:tc>
          <w:tcPr>
            <w:tcW w:w="7075" w:type="dxa"/>
            <w:gridSpan w:val="2"/>
            <w:noWrap w:val="0"/>
            <w:vAlign w:val="top"/>
          </w:tcPr>
          <w:p>
            <w:pPr>
              <w:pStyle w:val="27"/>
              <w:spacing w:before="89" w:line="276" w:lineRule="auto"/>
              <w:ind w:left="107" w:right="96" w:firstLine="420"/>
              <w:rPr>
                <w:rFonts w:hint="eastAsia" w:ascii="宋体" w:hAnsi="宋体" w:cs="宋体"/>
                <w:sz w:val="21"/>
                <w:lang w:eastAsia="zh-CN"/>
              </w:rPr>
            </w:pPr>
            <w:r>
              <w:rPr>
                <w:rFonts w:hint="eastAsia" w:ascii="宋体" w:hAnsi="宋体" w:cs="宋体"/>
                <w:sz w:val="21"/>
                <w:lang w:eastAsia="zh-CN"/>
              </w:rPr>
              <w:t>综合评分相等时，评标委员会依次按照以下优先顺序推荐中标候选人或确定中标人：</w:t>
            </w:r>
          </w:p>
          <w:p>
            <w:pPr>
              <w:pStyle w:val="27"/>
              <w:spacing w:line="276" w:lineRule="auto"/>
              <w:ind w:left="220"/>
              <w:rPr>
                <w:rFonts w:hint="eastAsia" w:ascii="宋体" w:hAnsi="宋体" w:cs="宋体"/>
                <w:sz w:val="21"/>
                <w:lang w:eastAsia="zh-CN"/>
              </w:rPr>
            </w:pPr>
            <w:r>
              <w:rPr>
                <w:rFonts w:hint="eastAsia" w:ascii="宋体" w:hAnsi="宋体" w:cs="宋体"/>
                <w:sz w:val="21"/>
                <w:lang w:eastAsia="zh-CN"/>
              </w:rPr>
              <w:t>（1）评标价低的投标人优先；</w:t>
            </w:r>
          </w:p>
          <w:p>
            <w:pPr>
              <w:pStyle w:val="27"/>
              <w:spacing w:line="276" w:lineRule="auto"/>
              <w:ind w:left="220"/>
              <w:rPr>
                <w:rFonts w:hint="eastAsia" w:ascii="宋体" w:hAnsi="宋体" w:cs="宋体"/>
                <w:sz w:val="21"/>
                <w:lang w:eastAsia="zh-CN"/>
              </w:rPr>
            </w:pPr>
            <w:r>
              <w:rPr>
                <w:rFonts w:hint="eastAsia" w:ascii="宋体" w:hAnsi="宋体" w:cs="宋体"/>
                <w:sz w:val="21"/>
                <w:lang w:eastAsia="zh-CN"/>
              </w:rPr>
              <w:t>（2）被</w:t>
            </w:r>
            <w:r>
              <w:rPr>
                <w:rFonts w:hint="eastAsia" w:ascii="宋体" w:hAnsi="宋体" w:cs="宋体"/>
                <w:sz w:val="21"/>
                <w:u w:val="single"/>
                <w:lang w:eastAsia="zh-CN"/>
              </w:rPr>
              <w:t>江西省</w:t>
            </w:r>
            <w:r>
              <w:rPr>
                <w:rFonts w:hint="eastAsia" w:ascii="宋体" w:hAnsi="宋体" w:cs="宋体"/>
                <w:sz w:val="21"/>
                <w:lang w:eastAsia="zh-CN"/>
              </w:rPr>
              <w:t>交通运输主管部门评为较高信用等级的投标人优先；</w:t>
            </w:r>
          </w:p>
          <w:p>
            <w:pPr>
              <w:pStyle w:val="27"/>
              <w:spacing w:line="276" w:lineRule="auto"/>
              <w:ind w:left="220"/>
              <w:rPr>
                <w:rFonts w:hint="eastAsia" w:ascii="宋体" w:hAnsi="宋体" w:cs="宋体"/>
                <w:sz w:val="21"/>
                <w:lang w:eastAsia="zh-CN"/>
              </w:rPr>
            </w:pPr>
            <w:r>
              <w:rPr>
                <w:rFonts w:hint="eastAsia" w:ascii="宋体" w:hAnsi="宋体" w:cs="宋体"/>
                <w:sz w:val="21"/>
                <w:lang w:eastAsia="zh-CN"/>
              </w:rPr>
              <w:t>（3）商务和技术得分较高的投标人优先；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7" w:hRule="atLeast"/>
          <w:tblHeader/>
          <w:jc w:val="center"/>
        </w:trPr>
        <w:tc>
          <w:tcPr>
            <w:tcW w:w="2404" w:type="dxa"/>
            <w:gridSpan w:val="3"/>
            <w:noWrap w:val="0"/>
            <w:vAlign w:val="center"/>
          </w:tcPr>
          <w:p>
            <w:pPr>
              <w:jc w:val="center"/>
              <w:rPr>
                <w:sz w:val="21"/>
              </w:rPr>
            </w:pPr>
            <w:r>
              <w:rPr>
                <w:sz w:val="21"/>
              </w:rPr>
              <w:t>条款号</w:t>
            </w:r>
          </w:p>
        </w:tc>
        <w:tc>
          <w:tcPr>
            <w:tcW w:w="2000" w:type="dxa"/>
            <w:noWrap w:val="0"/>
            <w:vAlign w:val="center"/>
          </w:tcPr>
          <w:p>
            <w:pPr>
              <w:jc w:val="center"/>
              <w:rPr>
                <w:sz w:val="21"/>
              </w:rPr>
            </w:pPr>
            <w:r>
              <w:rPr>
                <w:sz w:val="21"/>
              </w:rPr>
              <w:t>评审因素</w:t>
            </w:r>
          </w:p>
        </w:tc>
        <w:tc>
          <w:tcPr>
            <w:tcW w:w="5075" w:type="dxa"/>
            <w:noWrap w:val="0"/>
            <w:vAlign w:val="center"/>
          </w:tcPr>
          <w:p>
            <w:pPr>
              <w:widowControl w:val="0"/>
              <w:autoSpaceDE w:val="0"/>
              <w:autoSpaceDN w:val="0"/>
              <w:adjustRightInd w:val="0"/>
              <w:snapToGrid w:val="0"/>
              <w:spacing w:before="72" w:beforeLines="30" w:after="72" w:afterLines="30"/>
              <w:ind w:left="63" w:leftChars="30" w:right="63" w:rightChars="30"/>
              <w:jc w:val="center"/>
              <w:rPr>
                <w:sz w:val="21"/>
              </w:rPr>
            </w:pPr>
            <w:r>
              <w:rPr>
                <w:sz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785" w:type="dxa"/>
            <w:vMerge w:val="restart"/>
            <w:noWrap w:val="0"/>
            <w:vAlign w:val="center"/>
          </w:tcPr>
          <w:p>
            <w:pPr>
              <w:jc w:val="center"/>
              <w:rPr>
                <w:rFonts w:hint="eastAsia"/>
                <w:sz w:val="21"/>
              </w:rPr>
            </w:pPr>
            <w:r>
              <w:rPr>
                <w:sz w:val="21"/>
              </w:rPr>
              <w:t>2.1.1</w:t>
            </w:r>
          </w:p>
          <w:p>
            <w:pPr>
              <w:jc w:val="center"/>
              <w:rPr>
                <w:rFonts w:hint="eastAsia"/>
                <w:sz w:val="21"/>
              </w:rPr>
            </w:pPr>
            <w:r>
              <w:rPr>
                <w:rFonts w:hint="eastAsia"/>
                <w:sz w:val="21"/>
              </w:rPr>
              <w:t>2.1.3</w:t>
            </w:r>
          </w:p>
        </w:tc>
        <w:tc>
          <w:tcPr>
            <w:tcW w:w="843" w:type="dxa"/>
            <w:vMerge w:val="restart"/>
            <w:noWrap w:val="0"/>
            <w:vAlign w:val="center"/>
          </w:tcPr>
          <w:p>
            <w:pPr>
              <w:jc w:val="center"/>
              <w:rPr>
                <w:rFonts w:hint="eastAsia"/>
                <w:sz w:val="21"/>
              </w:rPr>
            </w:pPr>
            <w:r>
              <w:rPr>
                <w:rFonts w:hint="eastAsia"/>
                <w:sz w:val="21"/>
              </w:rPr>
              <w:t>第</w:t>
            </w:r>
          </w:p>
          <w:p>
            <w:pPr>
              <w:jc w:val="center"/>
              <w:rPr>
                <w:rFonts w:hint="eastAsia"/>
                <w:sz w:val="21"/>
              </w:rPr>
            </w:pPr>
            <w:r>
              <w:rPr>
                <w:rFonts w:hint="eastAsia"/>
                <w:sz w:val="21"/>
              </w:rPr>
              <w:t>一</w:t>
            </w:r>
          </w:p>
          <w:p>
            <w:pPr>
              <w:jc w:val="center"/>
              <w:rPr>
                <w:rFonts w:hint="eastAsia"/>
                <w:sz w:val="21"/>
              </w:rPr>
            </w:pPr>
            <w:r>
              <w:rPr>
                <w:rFonts w:hint="eastAsia"/>
                <w:sz w:val="21"/>
              </w:rPr>
              <w:t>个</w:t>
            </w:r>
          </w:p>
          <w:p>
            <w:pPr>
              <w:jc w:val="center"/>
              <w:rPr>
                <w:rFonts w:hint="eastAsia"/>
                <w:sz w:val="21"/>
              </w:rPr>
            </w:pPr>
            <w:r>
              <w:rPr>
                <w:rFonts w:hint="eastAsia"/>
                <w:sz w:val="21"/>
              </w:rPr>
              <w:t>信</w:t>
            </w:r>
          </w:p>
          <w:p>
            <w:pPr>
              <w:jc w:val="center"/>
              <w:rPr>
                <w:rFonts w:hint="eastAsia"/>
                <w:sz w:val="21"/>
              </w:rPr>
            </w:pPr>
            <w:r>
              <w:rPr>
                <w:rFonts w:hint="eastAsia"/>
                <w:sz w:val="21"/>
              </w:rPr>
              <w:t>封</w:t>
            </w:r>
          </w:p>
          <w:p>
            <w:pPr>
              <w:jc w:val="center"/>
              <w:rPr>
                <w:rFonts w:hint="eastAsia"/>
                <w:sz w:val="21"/>
              </w:rPr>
            </w:pPr>
            <w:r>
              <w:rPr>
                <w:rFonts w:hint="eastAsia"/>
                <w:sz w:val="21"/>
              </w:rPr>
              <w:t>︵</w:t>
            </w:r>
          </w:p>
          <w:p>
            <w:pPr>
              <w:jc w:val="center"/>
              <w:rPr>
                <w:sz w:val="21"/>
              </w:rPr>
            </w:pPr>
            <w:r>
              <w:rPr>
                <w:rFonts w:hint="eastAsia"/>
                <w:sz w:val="21"/>
              </w:rPr>
              <w:t>商</w:t>
            </w:r>
          </w:p>
          <w:p>
            <w:pPr>
              <w:jc w:val="center"/>
              <w:rPr>
                <w:rFonts w:hint="eastAsia"/>
                <w:sz w:val="21"/>
              </w:rPr>
            </w:pPr>
            <w:r>
              <w:rPr>
                <w:rFonts w:hint="eastAsia"/>
                <w:sz w:val="21"/>
              </w:rPr>
              <w:t>务</w:t>
            </w:r>
          </w:p>
          <w:p>
            <w:pPr>
              <w:jc w:val="center"/>
              <w:rPr>
                <w:rFonts w:hint="eastAsia"/>
                <w:sz w:val="21"/>
              </w:rPr>
            </w:pPr>
            <w:r>
              <w:rPr>
                <w:rFonts w:hint="eastAsia"/>
                <w:sz w:val="21"/>
              </w:rPr>
              <w:t>及</w:t>
            </w:r>
          </w:p>
          <w:p>
            <w:pPr>
              <w:jc w:val="center"/>
              <w:rPr>
                <w:rFonts w:hint="eastAsia"/>
                <w:sz w:val="21"/>
              </w:rPr>
            </w:pPr>
            <w:r>
              <w:rPr>
                <w:rFonts w:hint="eastAsia"/>
                <w:sz w:val="21"/>
              </w:rPr>
              <w:t>技</w:t>
            </w:r>
          </w:p>
          <w:p>
            <w:pPr>
              <w:jc w:val="center"/>
              <w:rPr>
                <w:sz w:val="21"/>
              </w:rPr>
            </w:pPr>
            <w:r>
              <w:rPr>
                <w:rFonts w:hint="eastAsia"/>
                <w:sz w:val="21"/>
              </w:rPr>
              <w:t>术</w:t>
            </w:r>
          </w:p>
          <w:p>
            <w:pPr>
              <w:jc w:val="center"/>
              <w:rPr>
                <w:sz w:val="21"/>
              </w:rPr>
            </w:pPr>
            <w:r>
              <w:rPr>
                <w:rFonts w:hint="eastAsia"/>
                <w:sz w:val="21"/>
              </w:rPr>
              <w:t>文</w:t>
            </w:r>
          </w:p>
          <w:p>
            <w:pPr>
              <w:jc w:val="center"/>
              <w:rPr>
                <w:rFonts w:hint="eastAsia"/>
                <w:sz w:val="21"/>
              </w:rPr>
            </w:pPr>
            <w:r>
              <w:rPr>
                <w:rFonts w:hint="eastAsia"/>
                <w:sz w:val="21"/>
              </w:rPr>
              <w:t>件</w:t>
            </w:r>
          </w:p>
          <w:p>
            <w:pPr>
              <w:jc w:val="center"/>
              <w:rPr>
                <w:rFonts w:hint="eastAsia"/>
                <w:sz w:val="21"/>
              </w:rPr>
            </w:pPr>
            <w:r>
              <w:rPr>
                <w:rFonts w:hint="eastAsia"/>
                <w:sz w:val="21"/>
              </w:rPr>
              <w:t>︶</w:t>
            </w:r>
          </w:p>
        </w:tc>
        <w:tc>
          <w:tcPr>
            <w:tcW w:w="776" w:type="dxa"/>
            <w:vMerge w:val="restart"/>
            <w:noWrap w:val="0"/>
            <w:textDirection w:val="tbRlV"/>
            <w:vAlign w:val="center"/>
          </w:tcPr>
          <w:p>
            <w:pPr>
              <w:ind w:left="420"/>
              <w:jc w:val="center"/>
              <w:rPr>
                <w:rFonts w:hint="eastAsia"/>
                <w:sz w:val="21"/>
              </w:rPr>
            </w:pPr>
            <w:r>
              <w:rPr>
                <w:rFonts w:hint="eastAsia"/>
                <w:sz w:val="21"/>
              </w:rPr>
              <w:t>形式评审与响应性评审标准</w:t>
            </w:r>
          </w:p>
        </w:tc>
        <w:tc>
          <w:tcPr>
            <w:tcW w:w="2000" w:type="dxa"/>
            <w:noWrap w:val="0"/>
            <w:vAlign w:val="center"/>
          </w:tcPr>
          <w:p>
            <w:pPr>
              <w:jc w:val="center"/>
              <w:rPr>
                <w:sz w:val="21"/>
              </w:rPr>
            </w:pPr>
            <w:r>
              <w:rPr>
                <w:sz w:val="21"/>
              </w:rPr>
              <w:t>投标</w:t>
            </w:r>
            <w:r>
              <w:rPr>
                <w:rFonts w:hint="eastAsia"/>
                <w:sz w:val="21"/>
              </w:rPr>
              <w:t>函填写</w:t>
            </w:r>
          </w:p>
        </w:tc>
        <w:tc>
          <w:tcPr>
            <w:tcW w:w="5075" w:type="dxa"/>
            <w:noWrap w:val="0"/>
            <w:vAlign w:val="center"/>
          </w:tcPr>
          <w:p>
            <w:pPr>
              <w:pStyle w:val="27"/>
              <w:autoSpaceDE w:val="0"/>
              <w:autoSpaceDN w:val="0"/>
              <w:adjustRightInd w:val="0"/>
              <w:snapToGrid w:val="0"/>
              <w:spacing w:before="72" w:beforeLines="30" w:after="72" w:afterLines="30"/>
              <w:ind w:left="63" w:leftChars="30" w:right="63" w:rightChars="30"/>
              <w:rPr>
                <w:rFonts w:hint="eastAsia"/>
                <w:sz w:val="21"/>
                <w:lang w:eastAsia="zh-CN"/>
              </w:rPr>
            </w:pPr>
            <w:r>
              <w:rPr>
                <w:rFonts w:hint="eastAsia" w:ascii="宋体" w:hAnsi="宋体" w:cs="宋体"/>
                <w:sz w:val="21"/>
                <w:lang w:val="zh-CN" w:eastAsia="zh-CN" w:bidi="zh-CN"/>
              </w:rPr>
              <w:t>投标函按招标文件规定填报了正确的项目名称、</w:t>
            </w:r>
            <w:r>
              <w:rPr>
                <w:rFonts w:hint="eastAsia" w:ascii="宋体" w:hAnsi="宋体" w:cs="宋体"/>
                <w:sz w:val="21"/>
                <w:lang w:eastAsia="zh-CN" w:bidi="zh-CN"/>
              </w:rPr>
              <w:t>标段号、</w:t>
            </w:r>
            <w:r>
              <w:rPr>
                <w:rFonts w:hint="eastAsia" w:ascii="宋体" w:hAnsi="宋体" w:cs="宋体"/>
                <w:sz w:val="21"/>
                <w:lang w:val="zh-CN" w:eastAsia="zh-CN" w:bidi="zh-CN"/>
              </w:rPr>
              <w:t>补遗书编号（如有）、</w:t>
            </w:r>
            <w:r>
              <w:rPr>
                <w:rFonts w:hint="eastAsia" w:ascii="宋体" w:hAnsi="宋体" w:cs="宋体"/>
                <w:sz w:val="21"/>
                <w:lang w:eastAsia="zh-CN" w:bidi="zh-CN"/>
              </w:rPr>
              <w:t>勘察设计服务期限</w:t>
            </w:r>
            <w:r>
              <w:rPr>
                <w:rFonts w:hint="eastAsia" w:ascii="宋体" w:hAnsi="宋体" w:cs="宋体"/>
                <w:sz w:val="21"/>
                <w:lang w:val="zh-CN" w:eastAsia="zh-CN" w:bidi="zh-CN"/>
              </w:rPr>
              <w:t>、工程质量要求及安全目标，投标函附录的所有数据均符合招标文件规定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rPr>
            </w:pPr>
            <w:r>
              <w:rPr>
                <w:sz w:val="21"/>
              </w:rPr>
              <w:t>文件</w:t>
            </w:r>
            <w:r>
              <w:rPr>
                <w:rFonts w:hint="eastAsia"/>
                <w:sz w:val="21"/>
              </w:rPr>
              <w:t>填写及组成</w:t>
            </w:r>
          </w:p>
        </w:tc>
        <w:tc>
          <w:tcPr>
            <w:tcW w:w="5075" w:type="dxa"/>
            <w:noWrap w:val="0"/>
            <w:vAlign w:val="center"/>
          </w:tcPr>
          <w:p>
            <w:pPr>
              <w:widowControl w:val="0"/>
              <w:autoSpaceDE w:val="0"/>
              <w:autoSpaceDN w:val="0"/>
              <w:adjustRightInd w:val="0"/>
              <w:snapToGrid w:val="0"/>
              <w:spacing w:before="72" w:beforeLines="30" w:after="72" w:afterLines="30"/>
              <w:ind w:left="63" w:leftChars="30" w:right="63" w:rightChars="30"/>
              <w:rPr>
                <w:rFonts w:hint="eastAsia" w:ascii="宋体" w:hAnsi="宋体" w:cs="宋体"/>
                <w:sz w:val="21"/>
                <w:szCs w:val="22"/>
                <w:lang w:val="zh-CN" w:bidi="zh-CN"/>
              </w:rPr>
            </w:pPr>
            <w:r>
              <w:rPr>
                <w:rFonts w:hint="eastAsia" w:ascii="宋体" w:hAnsi="宋体" w:cs="宋体"/>
                <w:sz w:val="21"/>
                <w:szCs w:val="22"/>
                <w:lang w:val="zh-CN" w:bidi="zh-CN"/>
              </w:rPr>
              <w:t>投标文件组成齐全完整，没有缺项或缺页，内容均按规定填写。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rPr>
            </w:pPr>
            <w:r>
              <w:rPr>
                <w:rFonts w:hint="eastAsia"/>
                <w:sz w:val="21"/>
              </w:rPr>
              <w:t>文件</w:t>
            </w:r>
            <w:r>
              <w:rPr>
                <w:sz w:val="21"/>
              </w:rPr>
              <w:t>签字盖章</w:t>
            </w:r>
          </w:p>
        </w:tc>
        <w:tc>
          <w:tcPr>
            <w:tcW w:w="5075" w:type="dxa"/>
            <w:noWrap w:val="0"/>
            <w:vAlign w:val="center"/>
          </w:tcPr>
          <w:p>
            <w:pPr>
              <w:widowControl w:val="0"/>
              <w:autoSpaceDE w:val="0"/>
              <w:autoSpaceDN w:val="0"/>
              <w:adjustRightInd w:val="0"/>
              <w:snapToGrid w:val="0"/>
              <w:spacing w:before="72" w:beforeLines="30" w:after="72" w:afterLines="30"/>
              <w:ind w:left="63" w:leftChars="30" w:right="63" w:rightChars="30"/>
              <w:rPr>
                <w:rFonts w:hint="eastAsia" w:ascii="宋体" w:hAnsi="宋体" w:cs="宋体"/>
                <w:sz w:val="21"/>
                <w:szCs w:val="22"/>
                <w:lang w:val="zh-CN" w:bidi="zh-CN"/>
              </w:rPr>
            </w:pPr>
            <w:r>
              <w:rPr>
                <w:rFonts w:hint="eastAsia" w:ascii="宋体" w:hAnsi="宋体" w:cs="宋体"/>
                <w:sz w:val="21"/>
                <w:szCs w:val="21"/>
              </w:rPr>
              <w:t>符合第二章“投标人须知”第3.7.3项规定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rPr>
            </w:pPr>
            <w:r>
              <w:rPr>
                <w:rFonts w:hint="eastAsia"/>
                <w:sz w:val="21"/>
              </w:rPr>
              <w:t>投标保证金</w:t>
            </w:r>
          </w:p>
        </w:tc>
        <w:tc>
          <w:tcPr>
            <w:tcW w:w="5075" w:type="dxa"/>
            <w:noWrap w:val="0"/>
            <w:vAlign w:val="center"/>
          </w:tcPr>
          <w:p>
            <w:pPr>
              <w:widowControl w:val="0"/>
              <w:autoSpaceDE w:val="0"/>
              <w:autoSpaceDN w:val="0"/>
              <w:adjustRightInd w:val="0"/>
              <w:snapToGrid w:val="0"/>
              <w:spacing w:before="72" w:beforeLines="30" w:after="72" w:afterLines="30"/>
              <w:ind w:left="63" w:leftChars="30" w:right="63" w:rightChars="30"/>
              <w:rPr>
                <w:rFonts w:hint="eastAsia" w:ascii="宋体" w:hAnsi="宋体" w:cs="宋体"/>
                <w:sz w:val="21"/>
                <w:szCs w:val="22"/>
                <w:lang w:val="zh-CN" w:bidi="zh-CN"/>
              </w:rPr>
            </w:pPr>
            <w:r>
              <w:rPr>
                <w:rFonts w:hint="eastAsia" w:ascii="宋体" w:hAnsi="宋体" w:cs="宋体"/>
                <w:sz w:val="21"/>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rPr>
                <w:rFonts w:hint="eastAsia"/>
                <w:sz w:val="21"/>
                <w:szCs w:val="21"/>
              </w:rPr>
            </w:pPr>
            <w:r>
              <w:rPr>
                <w:rFonts w:hint="eastAsia" w:ascii="宋体" w:hAnsi="宋体" w:cs="宋体"/>
                <w:sz w:val="21"/>
                <w:szCs w:val="21"/>
                <w:lang w:bidi="ar"/>
              </w:rPr>
              <w:t xml:space="preserve">法定代表人身份证明 </w:t>
            </w:r>
          </w:p>
        </w:tc>
        <w:tc>
          <w:tcPr>
            <w:tcW w:w="5075" w:type="dxa"/>
            <w:noWrap w:val="0"/>
            <w:vAlign w:val="center"/>
          </w:tcPr>
          <w:p>
            <w:pPr>
              <w:rPr>
                <w:rFonts w:hint="eastAsia" w:ascii="宋体" w:hAnsi="宋体" w:cs="宋体"/>
                <w:sz w:val="21"/>
                <w:szCs w:val="21"/>
              </w:rPr>
            </w:pPr>
            <w:r>
              <w:rPr>
                <w:rFonts w:hint="eastAsia" w:ascii="宋体" w:hAnsi="宋体" w:cs="宋体"/>
                <w:sz w:val="21"/>
                <w:szCs w:val="21"/>
                <w:lang w:bidi="ar"/>
              </w:rPr>
              <w:t xml:space="preserve">由法定代表人电子签名并加盖单位电子公章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rFonts w:hint="eastAsia" w:ascii="宋体" w:hAnsi="宋体" w:cs="宋体"/>
                <w:sz w:val="21"/>
                <w:szCs w:val="21"/>
                <w:lang w:bidi="ar"/>
              </w:rPr>
            </w:pPr>
            <w:r>
              <w:rPr>
                <w:rFonts w:hint="eastAsia" w:ascii="宋体" w:hAnsi="宋体" w:cs="宋体"/>
                <w:sz w:val="21"/>
                <w:szCs w:val="21"/>
                <w:lang w:bidi="ar"/>
              </w:rPr>
              <w:t>分包</w:t>
            </w:r>
          </w:p>
        </w:tc>
        <w:tc>
          <w:tcPr>
            <w:tcW w:w="5075" w:type="dxa"/>
            <w:noWrap w:val="0"/>
            <w:vAlign w:val="center"/>
          </w:tcPr>
          <w:p>
            <w:pPr>
              <w:rPr>
                <w:rFonts w:hint="eastAsia" w:ascii="宋体" w:hAnsi="宋体" w:cs="宋体"/>
                <w:sz w:val="21"/>
                <w:szCs w:val="21"/>
                <w:lang w:bidi="ar"/>
              </w:rPr>
            </w:pPr>
            <w:r>
              <w:rPr>
                <w:rFonts w:hint="eastAsia" w:ascii="宋体" w:hAnsi="宋体" w:cs="宋体"/>
                <w:sz w:val="21"/>
                <w:szCs w:val="21"/>
                <w:lang w:bidi="ar"/>
              </w:rPr>
              <w:t xml:space="preserve">如有分包计划，符合第二章“投标人须知”第1.11款规定，且按第六章“投标文件格式”的要求填写了“拟分包项目情况表”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rFonts w:hint="eastAsia"/>
                <w:sz w:val="21"/>
              </w:rPr>
            </w:pPr>
            <w:r>
              <w:rPr>
                <w:rFonts w:hint="eastAsia"/>
                <w:sz w:val="21"/>
              </w:rPr>
              <w:t>投标文件备选方案</w:t>
            </w:r>
          </w:p>
        </w:tc>
        <w:tc>
          <w:tcPr>
            <w:tcW w:w="5075" w:type="dxa"/>
            <w:noWrap w:val="0"/>
            <w:vAlign w:val="center"/>
          </w:tcPr>
          <w:p>
            <w:pPr>
              <w:widowControl w:val="0"/>
              <w:autoSpaceDE w:val="0"/>
              <w:autoSpaceDN w:val="0"/>
              <w:adjustRightInd w:val="0"/>
              <w:snapToGrid w:val="0"/>
              <w:spacing w:before="72" w:beforeLines="30" w:after="72" w:afterLines="30"/>
              <w:ind w:left="63" w:leftChars="30" w:right="63" w:rightChars="30"/>
              <w:rPr>
                <w:rFonts w:hint="eastAsia" w:ascii="宋体" w:hAnsi="宋体" w:cs="宋体"/>
                <w:sz w:val="21"/>
                <w:szCs w:val="22"/>
                <w:lang w:val="zh-CN" w:bidi="zh-CN"/>
              </w:rPr>
            </w:pPr>
            <w:r>
              <w:rPr>
                <w:rFonts w:hint="eastAsia" w:ascii="宋体" w:hAnsi="宋体" w:cs="宋体"/>
                <w:sz w:val="21"/>
                <w:szCs w:val="21"/>
              </w:rPr>
              <w:t>同一投标人同一标段未提交两个以上不同的投标文件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rPr>
            </w:pPr>
            <w:r>
              <w:rPr>
                <w:rFonts w:hint="eastAsia"/>
                <w:sz w:val="21"/>
              </w:rPr>
              <w:t>投标报价</w:t>
            </w:r>
          </w:p>
        </w:tc>
        <w:tc>
          <w:tcPr>
            <w:tcW w:w="5075" w:type="dxa"/>
            <w:noWrap w:val="0"/>
            <w:vAlign w:val="center"/>
          </w:tcPr>
          <w:p>
            <w:pPr>
              <w:widowControl w:val="0"/>
              <w:autoSpaceDE w:val="0"/>
              <w:autoSpaceDN w:val="0"/>
              <w:adjustRightInd w:val="0"/>
              <w:snapToGrid w:val="0"/>
              <w:spacing w:before="72" w:beforeLines="30" w:after="72" w:afterLines="30"/>
              <w:ind w:left="63" w:leftChars="30" w:right="63" w:rightChars="30"/>
              <w:rPr>
                <w:rFonts w:hint="eastAsia" w:ascii="宋体" w:hAnsi="宋体" w:cs="宋体"/>
                <w:sz w:val="21"/>
                <w:szCs w:val="22"/>
                <w:lang w:val="zh-CN" w:bidi="zh-CN"/>
              </w:rPr>
            </w:pPr>
            <w:r>
              <w:rPr>
                <w:rFonts w:hint="eastAsia" w:ascii="宋体" w:hAnsi="宋体" w:cs="宋体"/>
                <w:sz w:val="21"/>
                <w:szCs w:val="21"/>
              </w:rPr>
              <w:t>未出现有关投标报价的内容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rPr>
            </w:pPr>
            <w:r>
              <w:rPr>
                <w:rFonts w:hint="eastAsia"/>
                <w:sz w:val="21"/>
              </w:rPr>
              <w:t>勘察设计服务期限</w:t>
            </w:r>
          </w:p>
        </w:tc>
        <w:tc>
          <w:tcPr>
            <w:tcW w:w="5075" w:type="dxa"/>
            <w:noWrap w:val="0"/>
            <w:vAlign w:val="center"/>
          </w:tcPr>
          <w:p>
            <w:pPr>
              <w:widowControl w:val="0"/>
              <w:autoSpaceDE w:val="0"/>
              <w:autoSpaceDN w:val="0"/>
              <w:adjustRightInd w:val="0"/>
              <w:snapToGrid w:val="0"/>
              <w:spacing w:before="72" w:beforeLines="30" w:after="72" w:afterLines="30"/>
              <w:ind w:left="63" w:leftChars="30" w:right="63" w:rightChars="30"/>
              <w:rPr>
                <w:rFonts w:hint="eastAsia" w:ascii="宋体" w:hAnsi="宋体" w:cs="宋体"/>
                <w:sz w:val="21"/>
                <w:szCs w:val="22"/>
                <w:lang w:val="zh-CN" w:bidi="zh-CN"/>
              </w:rPr>
            </w:pPr>
            <w:r>
              <w:rPr>
                <w:rFonts w:hint="eastAsia" w:ascii="宋体" w:hAnsi="宋体" w:cs="宋体"/>
                <w:sz w:val="21"/>
                <w:szCs w:val="21"/>
              </w:rPr>
              <w:t>符合第二章“投标人须知”第 1.3.2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rFonts w:hint="eastAsia"/>
                <w:sz w:val="21"/>
              </w:rPr>
            </w:pPr>
            <w:r>
              <w:rPr>
                <w:sz w:val="21"/>
              </w:rPr>
              <w:t>质量</w:t>
            </w:r>
            <w:r>
              <w:rPr>
                <w:rFonts w:hint="eastAsia"/>
                <w:sz w:val="21"/>
              </w:rPr>
              <w:t>目标</w:t>
            </w:r>
          </w:p>
        </w:tc>
        <w:tc>
          <w:tcPr>
            <w:tcW w:w="5075" w:type="dxa"/>
            <w:noWrap w:val="0"/>
            <w:vAlign w:val="center"/>
          </w:tcPr>
          <w:p>
            <w:pPr>
              <w:widowControl w:val="0"/>
              <w:autoSpaceDE w:val="0"/>
              <w:autoSpaceDN w:val="0"/>
              <w:adjustRightInd w:val="0"/>
              <w:snapToGrid w:val="0"/>
              <w:spacing w:before="72" w:beforeLines="30" w:after="72" w:afterLines="30"/>
              <w:ind w:left="63" w:leftChars="30" w:right="63" w:rightChars="30"/>
              <w:rPr>
                <w:rFonts w:hint="eastAsia" w:ascii="宋体" w:hAnsi="宋体" w:cs="宋体"/>
                <w:sz w:val="21"/>
                <w:szCs w:val="22"/>
                <w:lang w:val="zh-CN" w:bidi="zh-CN"/>
              </w:rPr>
            </w:pPr>
            <w:r>
              <w:rPr>
                <w:rFonts w:hint="eastAsia" w:ascii="宋体" w:hAnsi="宋体" w:cs="宋体"/>
                <w:sz w:val="21"/>
                <w:szCs w:val="21"/>
              </w:rPr>
              <w:t>符合第二章“投标人须知”第 1.3.3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rPr>
            </w:pPr>
            <w:r>
              <w:rPr>
                <w:rFonts w:hint="eastAsia"/>
                <w:sz w:val="21"/>
              </w:rPr>
              <w:t>安全目标</w:t>
            </w:r>
          </w:p>
        </w:tc>
        <w:tc>
          <w:tcPr>
            <w:tcW w:w="5075" w:type="dxa"/>
            <w:noWrap w:val="0"/>
            <w:vAlign w:val="center"/>
          </w:tcPr>
          <w:p>
            <w:pPr>
              <w:widowControl w:val="0"/>
              <w:autoSpaceDE w:val="0"/>
              <w:autoSpaceDN w:val="0"/>
              <w:adjustRightInd w:val="0"/>
              <w:snapToGrid w:val="0"/>
              <w:spacing w:before="72" w:beforeLines="30" w:after="72" w:afterLines="30"/>
              <w:ind w:left="63" w:leftChars="30" w:right="63" w:rightChars="30"/>
              <w:rPr>
                <w:rFonts w:hint="eastAsia" w:ascii="宋体" w:hAnsi="宋体" w:cs="宋体"/>
                <w:sz w:val="21"/>
                <w:szCs w:val="22"/>
                <w:lang w:val="zh-CN" w:bidi="zh-CN"/>
              </w:rPr>
            </w:pPr>
            <w:r>
              <w:rPr>
                <w:rFonts w:hint="eastAsia" w:ascii="宋体" w:hAnsi="宋体" w:cs="宋体"/>
                <w:sz w:val="21"/>
                <w:szCs w:val="21"/>
              </w:rPr>
              <w:t>符合第二章“投标人须知”第 1.3.4 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rPr>
            </w:pPr>
            <w:r>
              <w:rPr>
                <w:rFonts w:hint="eastAsia"/>
                <w:sz w:val="21"/>
              </w:rPr>
              <w:t>实质性响应</w:t>
            </w:r>
          </w:p>
        </w:tc>
        <w:tc>
          <w:tcPr>
            <w:tcW w:w="5075" w:type="dxa"/>
            <w:noWrap w:val="0"/>
            <w:vAlign w:val="center"/>
          </w:tcPr>
          <w:p>
            <w:pPr>
              <w:widowControl w:val="0"/>
              <w:autoSpaceDE w:val="0"/>
              <w:autoSpaceDN w:val="0"/>
              <w:adjustRightInd w:val="0"/>
              <w:snapToGrid w:val="0"/>
              <w:spacing w:before="72" w:beforeLines="30" w:after="72" w:afterLines="30"/>
              <w:ind w:left="63" w:leftChars="30" w:right="63" w:rightChars="30"/>
              <w:rPr>
                <w:rFonts w:hint="eastAsia" w:ascii="宋体" w:hAnsi="宋体" w:cs="宋体"/>
                <w:sz w:val="21"/>
                <w:szCs w:val="22"/>
                <w:lang w:val="zh-CN" w:bidi="zh-CN"/>
              </w:rPr>
            </w:pPr>
            <w:r>
              <w:rPr>
                <w:rFonts w:hint="eastAsia" w:ascii="宋体" w:hAnsi="宋体" w:cs="宋体"/>
                <w:sz w:val="21"/>
                <w:szCs w:val="21"/>
              </w:rPr>
              <w:t>对招标文件的实质性要求和条件作出响应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2"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rFonts w:hint="eastAsia"/>
                <w:sz w:val="21"/>
              </w:rPr>
            </w:pPr>
            <w:r>
              <w:rPr>
                <w:rFonts w:hint="eastAsia"/>
                <w:sz w:val="21"/>
                <w:szCs w:val="21"/>
              </w:rPr>
              <w:t>权利义务符合招标文件规定</w:t>
            </w:r>
          </w:p>
        </w:tc>
        <w:tc>
          <w:tcPr>
            <w:tcW w:w="5075" w:type="dxa"/>
            <w:noWrap w:val="0"/>
            <w:vAlign w:val="center"/>
          </w:tcPr>
          <w:p>
            <w:pPr>
              <w:widowControl w:val="0"/>
              <w:autoSpaceDE w:val="0"/>
              <w:autoSpaceDN w:val="0"/>
              <w:adjustRightInd w:val="0"/>
              <w:snapToGrid w:val="0"/>
              <w:spacing w:before="72" w:beforeLines="30" w:after="72" w:afterLines="30"/>
              <w:ind w:left="63" w:leftChars="30" w:right="63" w:rightChars="30" w:firstLine="210" w:firstLineChars="100"/>
              <w:rPr>
                <w:rFonts w:hint="eastAsia" w:ascii="宋体" w:hAnsi="宋体" w:cs="宋体"/>
                <w:sz w:val="21"/>
                <w:szCs w:val="21"/>
              </w:rPr>
            </w:pPr>
            <w:r>
              <w:rPr>
                <w:rFonts w:hint="eastAsia" w:ascii="宋体" w:hAnsi="宋体" w:cs="宋体"/>
                <w:sz w:val="21"/>
                <w:szCs w:val="21"/>
              </w:rPr>
              <w:t>a.投标人应接受招标文件规定的风险划分原则，未提出新的风险划分办法；</w:t>
            </w:r>
          </w:p>
          <w:p>
            <w:pPr>
              <w:widowControl w:val="0"/>
              <w:autoSpaceDE w:val="0"/>
              <w:autoSpaceDN w:val="0"/>
              <w:adjustRightInd w:val="0"/>
              <w:snapToGrid w:val="0"/>
              <w:spacing w:before="72" w:beforeLines="30" w:after="72" w:afterLines="30"/>
              <w:ind w:left="63" w:leftChars="30" w:right="63" w:rightChars="30" w:firstLine="210" w:firstLineChars="100"/>
              <w:rPr>
                <w:rFonts w:hint="eastAsia" w:ascii="宋体" w:hAnsi="宋体" w:cs="宋体"/>
                <w:sz w:val="21"/>
                <w:szCs w:val="21"/>
              </w:rPr>
            </w:pPr>
            <w:r>
              <w:rPr>
                <w:rFonts w:hint="eastAsia" w:ascii="宋体" w:hAnsi="宋体" w:cs="宋体"/>
                <w:sz w:val="21"/>
                <w:szCs w:val="21"/>
              </w:rPr>
              <w:t>b.投标人未增加委托人的责任范围，或减少投标人义务；</w:t>
            </w:r>
          </w:p>
          <w:p>
            <w:pPr>
              <w:widowControl w:val="0"/>
              <w:autoSpaceDE w:val="0"/>
              <w:autoSpaceDN w:val="0"/>
              <w:adjustRightInd w:val="0"/>
              <w:snapToGrid w:val="0"/>
              <w:spacing w:before="72" w:beforeLines="30" w:after="72" w:afterLines="30"/>
              <w:ind w:left="63" w:leftChars="30" w:right="63" w:rightChars="30" w:firstLine="210" w:firstLineChars="100"/>
              <w:rPr>
                <w:rFonts w:hint="eastAsia" w:ascii="宋体" w:hAnsi="宋体" w:cs="宋体"/>
                <w:sz w:val="21"/>
                <w:szCs w:val="21"/>
              </w:rPr>
            </w:pPr>
            <w:r>
              <w:rPr>
                <w:rFonts w:hint="eastAsia" w:ascii="宋体" w:hAnsi="宋体" w:cs="宋体"/>
                <w:sz w:val="21"/>
                <w:szCs w:val="21"/>
              </w:rPr>
              <w:t>c.投标人未提出不同的支付办法；</w:t>
            </w:r>
          </w:p>
          <w:p>
            <w:pPr>
              <w:widowControl w:val="0"/>
              <w:autoSpaceDE w:val="0"/>
              <w:autoSpaceDN w:val="0"/>
              <w:adjustRightInd w:val="0"/>
              <w:snapToGrid w:val="0"/>
              <w:spacing w:before="72" w:beforeLines="30" w:after="72" w:afterLines="30"/>
              <w:ind w:left="63" w:leftChars="30" w:right="63" w:rightChars="30" w:firstLine="210" w:firstLineChars="100"/>
              <w:rPr>
                <w:rFonts w:hint="eastAsia" w:ascii="宋体" w:hAnsi="宋体" w:cs="宋体"/>
                <w:sz w:val="21"/>
                <w:szCs w:val="21"/>
              </w:rPr>
            </w:pPr>
            <w:r>
              <w:rPr>
                <w:rFonts w:hint="eastAsia" w:ascii="宋体" w:hAnsi="宋体" w:cs="宋体"/>
                <w:sz w:val="21"/>
                <w:szCs w:val="21"/>
              </w:rPr>
              <w:t>d.投标人对合同纠纷、事故处理办法未提出异议；</w:t>
            </w:r>
          </w:p>
          <w:p>
            <w:pPr>
              <w:widowControl w:val="0"/>
              <w:autoSpaceDE w:val="0"/>
              <w:autoSpaceDN w:val="0"/>
              <w:adjustRightInd w:val="0"/>
              <w:snapToGrid w:val="0"/>
              <w:spacing w:before="72" w:beforeLines="30" w:after="72" w:afterLines="30"/>
              <w:ind w:left="63" w:leftChars="30" w:right="63" w:rightChars="30" w:firstLine="210" w:firstLineChars="100"/>
              <w:rPr>
                <w:rFonts w:hint="eastAsia" w:ascii="宋体" w:hAnsi="宋体" w:cs="宋体"/>
                <w:sz w:val="21"/>
                <w:szCs w:val="21"/>
              </w:rPr>
            </w:pPr>
            <w:r>
              <w:rPr>
                <w:rFonts w:hint="eastAsia" w:ascii="宋体" w:hAnsi="宋体" w:cs="宋体"/>
                <w:sz w:val="21"/>
                <w:szCs w:val="21"/>
              </w:rPr>
              <w:t>e.投标人在投标活动中无欺诈行为；</w:t>
            </w:r>
          </w:p>
          <w:p>
            <w:pPr>
              <w:widowControl w:val="0"/>
              <w:autoSpaceDE w:val="0"/>
              <w:autoSpaceDN w:val="0"/>
              <w:adjustRightInd w:val="0"/>
              <w:snapToGrid w:val="0"/>
              <w:spacing w:before="72" w:beforeLines="30" w:after="72" w:afterLines="30"/>
              <w:ind w:left="63" w:leftChars="30" w:right="63" w:rightChars="30" w:firstLine="210" w:firstLineChars="100"/>
              <w:rPr>
                <w:rFonts w:hint="eastAsia" w:ascii="宋体" w:hAnsi="宋体" w:cs="宋体"/>
                <w:sz w:val="21"/>
                <w:szCs w:val="22"/>
                <w:lang w:val="zh-CN" w:bidi="zh-CN"/>
              </w:rPr>
            </w:pPr>
            <w:r>
              <w:rPr>
                <w:rFonts w:hint="eastAsia" w:ascii="宋体" w:hAnsi="宋体" w:cs="宋体"/>
                <w:sz w:val="21"/>
                <w:szCs w:val="21"/>
              </w:rPr>
              <w:t>f.投标人未对合同条款有重要保留。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szCs w:val="21"/>
              </w:rPr>
            </w:pPr>
            <w:r>
              <w:rPr>
                <w:rFonts w:hint="eastAsia" w:ascii="宋体" w:hAnsi="宋体" w:cs="宋体"/>
                <w:sz w:val="21"/>
                <w:szCs w:val="21"/>
                <w:lang w:bidi="ar"/>
              </w:rPr>
              <w:t>投标人不得存在的情</w:t>
            </w:r>
          </w:p>
          <w:p>
            <w:pPr>
              <w:jc w:val="center"/>
              <w:rPr>
                <w:sz w:val="21"/>
                <w:szCs w:val="21"/>
              </w:rPr>
            </w:pPr>
            <w:r>
              <w:rPr>
                <w:rFonts w:hint="eastAsia" w:ascii="宋体" w:hAnsi="宋体" w:cs="宋体"/>
                <w:sz w:val="21"/>
                <w:szCs w:val="21"/>
                <w:lang w:bidi="ar"/>
              </w:rPr>
              <w:t>形</w:t>
            </w:r>
          </w:p>
          <w:p>
            <w:pPr>
              <w:jc w:val="center"/>
              <w:rPr>
                <w:rFonts w:hint="eastAsia"/>
                <w:sz w:val="21"/>
                <w:szCs w:val="21"/>
              </w:rPr>
            </w:pPr>
          </w:p>
        </w:tc>
        <w:tc>
          <w:tcPr>
            <w:tcW w:w="5075" w:type="dxa"/>
            <w:noWrap w:val="0"/>
            <w:vAlign w:val="center"/>
          </w:tcPr>
          <w:p>
            <w:pPr>
              <w:rPr>
                <w:rFonts w:hint="eastAsia" w:ascii="宋体" w:hAnsi="宋体" w:cs="宋体"/>
                <w:sz w:val="21"/>
                <w:szCs w:val="21"/>
              </w:rPr>
            </w:pPr>
            <w:r>
              <w:rPr>
                <w:rFonts w:hint="eastAsia" w:ascii="宋体" w:hAnsi="宋体" w:cs="宋体"/>
                <w:sz w:val="21"/>
                <w:szCs w:val="21"/>
                <w:lang w:bidi="ar"/>
              </w:rPr>
              <w:t xml:space="preserve">投标人不得存在第二章“投标人须知”第 </w:t>
            </w:r>
            <w:r>
              <w:rPr>
                <w:rFonts w:ascii="Calibri" w:hAnsi="Calibri" w:cs="Calibri"/>
                <w:sz w:val="21"/>
                <w:szCs w:val="21"/>
                <w:lang w:bidi="ar"/>
              </w:rPr>
              <w:t xml:space="preserve">1.4.3 </w:t>
            </w:r>
            <w:r>
              <w:rPr>
                <w:rFonts w:hint="eastAsia" w:ascii="宋体" w:hAnsi="宋体" w:cs="宋体"/>
                <w:sz w:val="21"/>
                <w:szCs w:val="21"/>
                <w:lang w:bidi="ar"/>
              </w:rPr>
              <w:t xml:space="preserve">项或第 </w:t>
            </w:r>
            <w:r>
              <w:rPr>
                <w:rFonts w:ascii="Calibri" w:hAnsi="Calibri" w:cs="Calibri"/>
                <w:sz w:val="21"/>
                <w:szCs w:val="21"/>
                <w:lang w:bidi="ar"/>
              </w:rPr>
              <w:t xml:space="preserve">1.4.4 </w:t>
            </w:r>
            <w:r>
              <w:rPr>
                <w:rFonts w:hint="eastAsia" w:ascii="宋体" w:hAnsi="宋体" w:cs="宋体"/>
                <w:sz w:val="21"/>
                <w:szCs w:val="21"/>
                <w:lang w:bidi="ar"/>
              </w:rPr>
              <w:t>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szCs w:val="21"/>
              </w:rPr>
            </w:pPr>
            <w:r>
              <w:rPr>
                <w:rFonts w:hint="eastAsia" w:ascii="宋体" w:hAnsi="宋体" w:cs="宋体"/>
                <w:sz w:val="21"/>
                <w:szCs w:val="21"/>
                <w:lang w:bidi="ar"/>
              </w:rPr>
              <w:t>采用联合体形式参与</w:t>
            </w:r>
          </w:p>
          <w:p>
            <w:pPr>
              <w:jc w:val="center"/>
              <w:rPr>
                <w:rFonts w:hint="eastAsia"/>
                <w:sz w:val="21"/>
                <w:szCs w:val="21"/>
              </w:rPr>
            </w:pPr>
            <w:r>
              <w:rPr>
                <w:rFonts w:hint="eastAsia" w:ascii="宋体" w:hAnsi="宋体" w:cs="宋体"/>
                <w:sz w:val="21"/>
                <w:szCs w:val="21"/>
                <w:lang w:bidi="ar"/>
              </w:rPr>
              <w:t>投标的投标人</w:t>
            </w:r>
          </w:p>
        </w:tc>
        <w:tc>
          <w:tcPr>
            <w:tcW w:w="5075" w:type="dxa"/>
            <w:noWrap w:val="0"/>
            <w:vAlign w:val="center"/>
          </w:tcPr>
          <w:p>
            <w:pPr>
              <w:rPr>
                <w:rFonts w:hint="eastAsia" w:ascii="宋体" w:hAnsi="宋体" w:cs="宋体"/>
                <w:sz w:val="21"/>
                <w:szCs w:val="21"/>
                <w:lang w:bidi="ar"/>
              </w:rPr>
            </w:pPr>
            <w:r>
              <w:rPr>
                <w:rFonts w:hint="eastAsia" w:ascii="宋体" w:hAnsi="宋体" w:cs="宋体"/>
                <w:sz w:val="21"/>
                <w:szCs w:val="21"/>
                <w:lang w:bidi="ar"/>
              </w:rPr>
              <w:t>投标人以联合体形式投标时，联合体满足招标文件的要求：</w:t>
            </w:r>
          </w:p>
          <w:p>
            <w:pPr>
              <w:numPr>
                <w:ilvl w:val="0"/>
                <w:numId w:val="1"/>
              </w:numPr>
              <w:rPr>
                <w:rFonts w:hint="eastAsia" w:ascii="宋体" w:hAnsi="宋体" w:cs="宋体"/>
                <w:sz w:val="21"/>
                <w:szCs w:val="21"/>
                <w:lang w:bidi="ar"/>
              </w:rPr>
            </w:pPr>
            <w:r>
              <w:rPr>
                <w:rFonts w:hint="eastAsia" w:ascii="宋体" w:hAnsi="宋体" w:cs="宋体"/>
                <w:sz w:val="21"/>
                <w:szCs w:val="21"/>
                <w:lang w:bidi="ar"/>
              </w:rPr>
              <w:t>未进行资格预审的，投标人按照招标文件提供的格式签订了联合体协议书，明确各方承担连带责任，并明确了联合体牵头人；</w:t>
            </w:r>
          </w:p>
          <w:p>
            <w:pPr>
              <w:numPr>
                <w:ilvl w:val="0"/>
                <w:numId w:val="1"/>
              </w:numPr>
              <w:rPr>
                <w:rFonts w:hint="eastAsia" w:ascii="宋体" w:hAnsi="宋体" w:cs="宋体"/>
                <w:sz w:val="21"/>
                <w:szCs w:val="21"/>
                <w:lang w:bidi="ar"/>
              </w:rPr>
            </w:pPr>
            <w:r>
              <w:rPr>
                <w:rFonts w:hint="eastAsia" w:ascii="宋体" w:hAnsi="宋体" w:cs="宋体"/>
                <w:sz w:val="21"/>
                <w:szCs w:val="21"/>
                <w:lang w:bidi="ar"/>
              </w:rPr>
              <w:t>已进行资格预审的，投标人提供了资格预审申请文件中所附的联合体协议书复印件，且通过资格预审后的联合体无成员增减或更换的情况。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rFonts w:hint="eastAsia"/>
                <w:sz w:val="21"/>
                <w:szCs w:val="21"/>
              </w:rPr>
            </w:pPr>
            <w:r>
              <w:rPr>
                <w:rFonts w:hint="eastAsia" w:ascii="宋体" w:hAnsi="宋体" w:cs="宋体"/>
                <w:sz w:val="21"/>
                <w:szCs w:val="21"/>
                <w:lang w:bidi="ar"/>
              </w:rPr>
              <w:t>其他</w:t>
            </w:r>
          </w:p>
        </w:tc>
        <w:tc>
          <w:tcPr>
            <w:tcW w:w="5075" w:type="dxa"/>
            <w:noWrap w:val="0"/>
            <w:vAlign w:val="center"/>
          </w:tcPr>
          <w:p>
            <w:pPr>
              <w:rPr>
                <w:rFonts w:hint="eastAsia" w:ascii="宋体" w:hAnsi="宋体" w:cs="宋体"/>
                <w:sz w:val="21"/>
                <w:szCs w:val="21"/>
              </w:rPr>
            </w:pPr>
            <w:r>
              <w:rPr>
                <w:rFonts w:hint="eastAsia" w:ascii="宋体" w:hAnsi="宋体" w:cs="宋体"/>
                <w:sz w:val="21"/>
                <w:szCs w:val="21"/>
                <w:lang w:bidi="ar"/>
              </w:rPr>
              <w:t xml:space="preserve">投标文件未附有招标人不能接受的条件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785" w:type="dxa"/>
            <w:noWrap w:val="0"/>
            <w:vAlign w:val="center"/>
          </w:tcPr>
          <w:p>
            <w:pPr>
              <w:jc w:val="center"/>
              <w:rPr>
                <w:rFonts w:hint="eastAsia"/>
                <w:sz w:val="21"/>
              </w:rPr>
            </w:pPr>
            <w:r>
              <w:rPr>
                <w:sz w:val="21"/>
              </w:rPr>
              <w:t>2.1.</w:t>
            </w:r>
            <w:r>
              <w:rPr>
                <w:rFonts w:hint="eastAsia"/>
                <w:sz w:val="21"/>
              </w:rPr>
              <w:t>1</w:t>
            </w:r>
          </w:p>
          <w:p>
            <w:pPr>
              <w:jc w:val="center"/>
              <w:rPr>
                <w:rFonts w:hint="eastAsia"/>
                <w:sz w:val="21"/>
              </w:rPr>
            </w:pPr>
            <w:r>
              <w:rPr>
                <w:rFonts w:hint="eastAsia"/>
                <w:sz w:val="21"/>
              </w:rPr>
              <w:t>2.1.3</w:t>
            </w:r>
          </w:p>
        </w:tc>
        <w:tc>
          <w:tcPr>
            <w:tcW w:w="843" w:type="dxa"/>
            <w:vMerge w:val="restart"/>
            <w:noWrap w:val="0"/>
            <w:vAlign w:val="center"/>
          </w:tcPr>
          <w:p>
            <w:pPr>
              <w:jc w:val="center"/>
              <w:rPr>
                <w:rFonts w:hint="eastAsia"/>
                <w:sz w:val="21"/>
              </w:rPr>
            </w:pPr>
            <w:r>
              <w:rPr>
                <w:rFonts w:hint="eastAsia"/>
                <w:sz w:val="21"/>
              </w:rPr>
              <w:t>第</w:t>
            </w:r>
          </w:p>
          <w:p>
            <w:pPr>
              <w:jc w:val="center"/>
              <w:rPr>
                <w:rFonts w:hint="eastAsia"/>
                <w:sz w:val="21"/>
              </w:rPr>
            </w:pPr>
            <w:r>
              <w:rPr>
                <w:rFonts w:hint="eastAsia"/>
                <w:sz w:val="21"/>
              </w:rPr>
              <w:t>二</w:t>
            </w:r>
          </w:p>
          <w:p>
            <w:pPr>
              <w:jc w:val="center"/>
              <w:rPr>
                <w:rFonts w:hint="eastAsia"/>
                <w:sz w:val="21"/>
              </w:rPr>
            </w:pPr>
            <w:r>
              <w:rPr>
                <w:rFonts w:hint="eastAsia"/>
                <w:sz w:val="21"/>
              </w:rPr>
              <w:t>个</w:t>
            </w:r>
          </w:p>
          <w:p>
            <w:pPr>
              <w:jc w:val="center"/>
              <w:rPr>
                <w:rFonts w:hint="eastAsia"/>
                <w:sz w:val="21"/>
              </w:rPr>
            </w:pPr>
            <w:r>
              <w:rPr>
                <w:rFonts w:hint="eastAsia"/>
                <w:sz w:val="21"/>
              </w:rPr>
              <w:t>信</w:t>
            </w:r>
          </w:p>
          <w:p>
            <w:pPr>
              <w:jc w:val="center"/>
              <w:rPr>
                <w:rFonts w:hint="eastAsia"/>
                <w:sz w:val="21"/>
              </w:rPr>
            </w:pPr>
            <w:r>
              <w:rPr>
                <w:rFonts w:hint="eastAsia"/>
                <w:sz w:val="21"/>
              </w:rPr>
              <w:t>封</w:t>
            </w:r>
          </w:p>
          <w:p>
            <w:pPr>
              <w:jc w:val="center"/>
              <w:rPr>
                <w:rFonts w:hint="eastAsia"/>
                <w:sz w:val="21"/>
              </w:rPr>
            </w:pPr>
            <w:r>
              <w:rPr>
                <w:rFonts w:hint="eastAsia"/>
                <w:sz w:val="21"/>
              </w:rPr>
              <w:t>︵</w:t>
            </w:r>
          </w:p>
          <w:p>
            <w:pPr>
              <w:jc w:val="center"/>
              <w:rPr>
                <w:sz w:val="21"/>
              </w:rPr>
            </w:pPr>
            <w:r>
              <w:rPr>
                <w:rFonts w:hint="eastAsia"/>
                <w:sz w:val="21"/>
              </w:rPr>
              <w:t>报</w:t>
            </w:r>
          </w:p>
          <w:p>
            <w:pPr>
              <w:jc w:val="center"/>
              <w:rPr>
                <w:sz w:val="21"/>
              </w:rPr>
            </w:pPr>
            <w:r>
              <w:rPr>
                <w:rFonts w:hint="eastAsia"/>
                <w:sz w:val="21"/>
              </w:rPr>
              <w:t>价</w:t>
            </w:r>
          </w:p>
          <w:p>
            <w:pPr>
              <w:jc w:val="center"/>
              <w:rPr>
                <w:sz w:val="21"/>
              </w:rPr>
            </w:pPr>
            <w:r>
              <w:rPr>
                <w:rFonts w:hint="eastAsia"/>
                <w:sz w:val="21"/>
              </w:rPr>
              <w:t>文</w:t>
            </w:r>
          </w:p>
          <w:p>
            <w:pPr>
              <w:jc w:val="center"/>
              <w:rPr>
                <w:rFonts w:hint="eastAsia"/>
                <w:sz w:val="21"/>
              </w:rPr>
            </w:pPr>
            <w:r>
              <w:rPr>
                <w:rFonts w:hint="eastAsia"/>
                <w:sz w:val="21"/>
              </w:rPr>
              <w:t>件</w:t>
            </w:r>
          </w:p>
          <w:p>
            <w:pPr>
              <w:jc w:val="center"/>
              <w:rPr>
                <w:sz w:val="21"/>
              </w:rPr>
            </w:pPr>
            <w:r>
              <w:rPr>
                <w:rFonts w:hint="eastAsia"/>
                <w:sz w:val="21"/>
              </w:rPr>
              <w:t>︶</w:t>
            </w:r>
          </w:p>
        </w:tc>
        <w:tc>
          <w:tcPr>
            <w:tcW w:w="776" w:type="dxa"/>
            <w:vMerge w:val="continue"/>
            <w:noWrap w:val="0"/>
            <w:textDirection w:val="tbRlV"/>
            <w:vAlign w:val="center"/>
          </w:tcPr>
          <w:p>
            <w:pPr>
              <w:ind w:left="420"/>
              <w:jc w:val="center"/>
              <w:rPr>
                <w:sz w:val="21"/>
              </w:rPr>
            </w:pPr>
          </w:p>
        </w:tc>
        <w:tc>
          <w:tcPr>
            <w:tcW w:w="2000" w:type="dxa"/>
            <w:noWrap w:val="0"/>
            <w:vAlign w:val="center"/>
          </w:tcPr>
          <w:p>
            <w:pPr>
              <w:jc w:val="center"/>
              <w:rPr>
                <w:sz w:val="21"/>
              </w:rPr>
            </w:pPr>
            <w:r>
              <w:rPr>
                <w:rFonts w:hint="eastAsia"/>
                <w:sz w:val="21"/>
                <w:szCs w:val="21"/>
              </w:rPr>
              <w:t>投标</w:t>
            </w:r>
            <w:r>
              <w:rPr>
                <w:rFonts w:hint="eastAsia"/>
                <w:sz w:val="21"/>
              </w:rPr>
              <w:t>函填写</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lang w:val="zh-CN" w:bidi="zh-CN"/>
              </w:rPr>
            </w:pPr>
            <w:r>
              <w:rPr>
                <w:rFonts w:hint="eastAsia" w:ascii="宋体" w:hAnsi="宋体" w:cs="宋体"/>
                <w:sz w:val="21"/>
                <w:szCs w:val="21"/>
              </w:rPr>
              <w:t>按招标文件规定填报了正确的项目名称、标段号、补遗书编号（如有）、投标报价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785" w:type="dxa"/>
            <w:vMerge w:val="restart"/>
            <w:noWrap w:val="0"/>
            <w:vAlign w:val="center"/>
          </w:tcPr>
          <w:p>
            <w:pPr>
              <w:ind w:left="420"/>
              <w:rPr>
                <w:sz w:val="21"/>
              </w:rPr>
            </w:pPr>
          </w:p>
        </w:tc>
        <w:tc>
          <w:tcPr>
            <w:tcW w:w="843" w:type="dxa"/>
            <w:vMerge w:val="continue"/>
            <w:noWrap w:val="0"/>
            <w:vAlign w:val="center"/>
          </w:tcPr>
          <w:p>
            <w:pPr>
              <w:ind w:left="420"/>
              <w:rPr>
                <w:rFonts w:hint="eastAsia"/>
                <w:sz w:val="21"/>
              </w:rPr>
            </w:pPr>
          </w:p>
        </w:tc>
        <w:tc>
          <w:tcPr>
            <w:tcW w:w="776" w:type="dxa"/>
            <w:vMerge w:val="continue"/>
            <w:noWrap w:val="0"/>
            <w:textDirection w:val="tbRlV"/>
            <w:vAlign w:val="center"/>
          </w:tcPr>
          <w:p>
            <w:pPr>
              <w:ind w:left="420"/>
              <w:rPr>
                <w:rFonts w:hint="eastAsia"/>
                <w:sz w:val="21"/>
              </w:rPr>
            </w:pPr>
          </w:p>
        </w:tc>
        <w:tc>
          <w:tcPr>
            <w:tcW w:w="2000" w:type="dxa"/>
            <w:noWrap w:val="0"/>
            <w:vAlign w:val="center"/>
          </w:tcPr>
          <w:p>
            <w:pPr>
              <w:jc w:val="center"/>
              <w:rPr>
                <w:sz w:val="21"/>
              </w:rPr>
            </w:pPr>
            <w:r>
              <w:rPr>
                <w:rFonts w:hint="eastAsia"/>
                <w:sz w:val="21"/>
              </w:rPr>
              <w:t>已标价</w:t>
            </w:r>
            <w:r>
              <w:rPr>
                <w:rFonts w:hint="eastAsia"/>
                <w:sz w:val="21"/>
                <w:szCs w:val="21"/>
              </w:rPr>
              <w:t>报价清单</w:t>
            </w:r>
            <w:r>
              <w:rPr>
                <w:rFonts w:hint="eastAsia"/>
                <w:sz w:val="21"/>
              </w:rPr>
              <w:t>文字说明</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lang w:val="zh-CN" w:bidi="zh-CN"/>
              </w:rPr>
            </w:pPr>
            <w:r>
              <w:rPr>
                <w:rFonts w:hint="eastAsia" w:ascii="宋体" w:hAnsi="宋体" w:cs="宋体"/>
                <w:sz w:val="21"/>
                <w:szCs w:val="21"/>
              </w:rPr>
              <w:t>已标价报价清单文字说明与招标文件规定一致，未进行修改或删除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rPr>
            </w:pPr>
            <w:r>
              <w:rPr>
                <w:sz w:val="21"/>
              </w:rPr>
              <w:t>文件</w:t>
            </w:r>
            <w:r>
              <w:rPr>
                <w:rFonts w:hint="eastAsia"/>
                <w:sz w:val="21"/>
              </w:rPr>
              <w:t>填写及组成</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lang w:val="zh-CN" w:bidi="zh-CN"/>
              </w:rPr>
            </w:pPr>
            <w:r>
              <w:rPr>
                <w:rFonts w:hint="eastAsia" w:ascii="宋体" w:hAnsi="宋体" w:cs="宋体"/>
                <w:sz w:val="21"/>
                <w:szCs w:val="21"/>
              </w:rPr>
              <w:t>组成齐全，没有缺项或缺页，内容均按招标文件规定填写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rPr>
            </w:pPr>
            <w:r>
              <w:rPr>
                <w:rFonts w:hint="eastAsia"/>
                <w:sz w:val="21"/>
              </w:rPr>
              <w:t>文件签字盖章</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lang w:val="zh-CN" w:bidi="zh-CN"/>
              </w:rPr>
            </w:pPr>
            <w:r>
              <w:rPr>
                <w:rFonts w:hint="eastAsia" w:ascii="宋体" w:hAnsi="宋体" w:cs="宋体"/>
                <w:sz w:val="21"/>
                <w:szCs w:val="21"/>
              </w:rPr>
              <w:t>符合第二章“投标人须知”第3.7.3项规定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sz w:val="21"/>
              </w:rPr>
            </w:pPr>
            <w:r>
              <w:rPr>
                <w:rFonts w:hint="eastAsia"/>
                <w:sz w:val="21"/>
              </w:rPr>
              <w:t>投标报价</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lang w:val="zh-CN" w:bidi="zh-CN"/>
              </w:rPr>
            </w:pPr>
            <w:r>
              <w:rPr>
                <w:rFonts w:hint="eastAsia" w:ascii="宋体" w:hAnsi="宋体" w:cs="宋体"/>
                <w:sz w:val="21"/>
                <w:szCs w:val="21"/>
              </w:rPr>
              <w:t>未超过招标人公布的最高投标限价，大写金额能够确定具体数值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jc w:val="center"/>
              <w:rPr>
                <w:rFonts w:hint="eastAsia"/>
                <w:sz w:val="21"/>
              </w:rPr>
            </w:pPr>
            <w:r>
              <w:rPr>
                <w:rFonts w:hint="eastAsia"/>
                <w:sz w:val="21"/>
              </w:rPr>
              <w:t>投标报价唯一性</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rPr>
            </w:pPr>
            <w:r>
              <w:rPr>
                <w:rFonts w:hint="eastAsia" w:ascii="宋体" w:hAnsi="宋体" w:cs="宋体"/>
                <w:sz w:val="21"/>
                <w:szCs w:val="21"/>
              </w:rPr>
              <w:t>同一投标人同一标段未提交两个以上不同的投标报价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785" w:type="dxa"/>
            <w:vMerge w:val="continue"/>
            <w:noWrap w:val="0"/>
            <w:vAlign w:val="center"/>
          </w:tcPr>
          <w:p>
            <w:pPr>
              <w:ind w:left="420"/>
              <w:rPr>
                <w:sz w:val="21"/>
              </w:rPr>
            </w:pPr>
          </w:p>
        </w:tc>
        <w:tc>
          <w:tcPr>
            <w:tcW w:w="843" w:type="dxa"/>
            <w:vMerge w:val="continue"/>
            <w:noWrap w:val="0"/>
            <w:vAlign w:val="center"/>
          </w:tcPr>
          <w:p>
            <w:pPr>
              <w:ind w:left="420"/>
              <w:rPr>
                <w:sz w:val="21"/>
              </w:rPr>
            </w:pPr>
          </w:p>
        </w:tc>
        <w:tc>
          <w:tcPr>
            <w:tcW w:w="776" w:type="dxa"/>
            <w:vMerge w:val="continue"/>
            <w:noWrap w:val="0"/>
            <w:vAlign w:val="center"/>
          </w:tcPr>
          <w:p>
            <w:pPr>
              <w:ind w:left="420"/>
              <w:rPr>
                <w:sz w:val="21"/>
              </w:rPr>
            </w:pPr>
          </w:p>
        </w:tc>
        <w:tc>
          <w:tcPr>
            <w:tcW w:w="2000" w:type="dxa"/>
            <w:noWrap w:val="0"/>
            <w:vAlign w:val="center"/>
          </w:tcPr>
          <w:p>
            <w:pPr>
              <w:rPr>
                <w:rFonts w:hint="eastAsia"/>
                <w:sz w:val="21"/>
              </w:rPr>
            </w:pPr>
            <w:r>
              <w:rPr>
                <w:rFonts w:hint="eastAsia" w:ascii="宋体" w:hAnsi="宋体" w:cs="宋体"/>
                <w:b/>
                <w:bCs/>
                <w:sz w:val="21"/>
                <w:szCs w:val="21"/>
                <w:lang w:bidi="ar"/>
              </w:rPr>
              <w:t>后续服务费报价</w:t>
            </w:r>
          </w:p>
        </w:tc>
        <w:tc>
          <w:tcPr>
            <w:tcW w:w="5075" w:type="dxa"/>
            <w:noWrap w:val="0"/>
            <w:vAlign w:val="center"/>
          </w:tcPr>
          <w:p>
            <w:pPr>
              <w:rPr>
                <w:rFonts w:hint="eastAsia" w:ascii="宋体" w:hAnsi="宋体" w:cs="宋体"/>
                <w:sz w:val="21"/>
                <w:szCs w:val="21"/>
                <w:lang w:val="zh-CN" w:bidi="zh-CN"/>
              </w:rPr>
            </w:pPr>
            <w:r>
              <w:rPr>
                <w:rFonts w:hint="eastAsia" w:ascii="宋体" w:hAnsi="宋体" w:cs="宋体"/>
                <w:b/>
                <w:bCs/>
                <w:sz w:val="21"/>
                <w:szCs w:val="21"/>
                <w:lang w:bidi="ar"/>
              </w:rPr>
              <w:t xml:space="preserve">SJ1标段、SJ2 标段、ZX1标段后续服务费报价不低于投标总价的 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1" w:hRule="atLeast"/>
          <w:jc w:val="center"/>
        </w:trPr>
        <w:tc>
          <w:tcPr>
            <w:tcW w:w="785" w:type="dxa"/>
            <w:vMerge w:val="restart"/>
            <w:noWrap w:val="0"/>
            <w:vAlign w:val="center"/>
          </w:tcPr>
          <w:p>
            <w:pPr>
              <w:jc w:val="center"/>
              <w:rPr>
                <w:sz w:val="21"/>
              </w:rPr>
            </w:pPr>
            <w:r>
              <w:rPr>
                <w:rFonts w:hint="eastAsia"/>
                <w:sz w:val="21"/>
              </w:rPr>
              <w:t>2.1.2</w:t>
            </w:r>
          </w:p>
        </w:tc>
        <w:tc>
          <w:tcPr>
            <w:tcW w:w="843" w:type="dxa"/>
            <w:vMerge w:val="restart"/>
            <w:noWrap w:val="0"/>
            <w:vAlign w:val="center"/>
          </w:tcPr>
          <w:p>
            <w:pPr>
              <w:jc w:val="center"/>
              <w:rPr>
                <w:rFonts w:hint="eastAsia"/>
                <w:sz w:val="21"/>
              </w:rPr>
            </w:pPr>
            <w:r>
              <w:rPr>
                <w:rFonts w:hint="eastAsia"/>
                <w:sz w:val="21"/>
              </w:rPr>
              <w:t>第</w:t>
            </w:r>
          </w:p>
          <w:p>
            <w:pPr>
              <w:jc w:val="center"/>
              <w:rPr>
                <w:rFonts w:hint="eastAsia"/>
                <w:sz w:val="21"/>
              </w:rPr>
            </w:pPr>
            <w:r>
              <w:rPr>
                <w:rFonts w:hint="eastAsia"/>
                <w:sz w:val="21"/>
              </w:rPr>
              <w:t>一</w:t>
            </w:r>
          </w:p>
          <w:p>
            <w:pPr>
              <w:jc w:val="center"/>
              <w:rPr>
                <w:rFonts w:hint="eastAsia"/>
                <w:sz w:val="21"/>
              </w:rPr>
            </w:pPr>
            <w:r>
              <w:rPr>
                <w:rFonts w:hint="eastAsia"/>
                <w:sz w:val="21"/>
              </w:rPr>
              <w:t>个</w:t>
            </w:r>
          </w:p>
          <w:p>
            <w:pPr>
              <w:jc w:val="center"/>
              <w:rPr>
                <w:rFonts w:hint="eastAsia"/>
                <w:sz w:val="21"/>
              </w:rPr>
            </w:pPr>
            <w:r>
              <w:rPr>
                <w:rFonts w:hint="eastAsia"/>
                <w:sz w:val="21"/>
              </w:rPr>
              <w:t>信</w:t>
            </w:r>
          </w:p>
          <w:p>
            <w:pPr>
              <w:jc w:val="center"/>
              <w:rPr>
                <w:rFonts w:hint="eastAsia"/>
                <w:sz w:val="21"/>
              </w:rPr>
            </w:pPr>
            <w:r>
              <w:rPr>
                <w:rFonts w:hint="eastAsia"/>
                <w:sz w:val="21"/>
              </w:rPr>
              <w:t>封</w:t>
            </w:r>
          </w:p>
          <w:p>
            <w:pPr>
              <w:jc w:val="center"/>
              <w:rPr>
                <w:rFonts w:hint="eastAsia"/>
                <w:sz w:val="21"/>
              </w:rPr>
            </w:pPr>
            <w:r>
              <w:rPr>
                <w:rFonts w:hint="eastAsia"/>
                <w:sz w:val="21"/>
              </w:rPr>
              <w:t>︵</w:t>
            </w:r>
          </w:p>
          <w:p>
            <w:pPr>
              <w:jc w:val="center"/>
              <w:rPr>
                <w:sz w:val="21"/>
              </w:rPr>
            </w:pPr>
            <w:r>
              <w:rPr>
                <w:rFonts w:hint="eastAsia"/>
                <w:sz w:val="21"/>
              </w:rPr>
              <w:t>商</w:t>
            </w:r>
          </w:p>
          <w:p>
            <w:pPr>
              <w:jc w:val="center"/>
              <w:rPr>
                <w:rFonts w:hint="eastAsia"/>
                <w:sz w:val="21"/>
              </w:rPr>
            </w:pPr>
            <w:r>
              <w:rPr>
                <w:rFonts w:hint="eastAsia"/>
                <w:sz w:val="21"/>
              </w:rPr>
              <w:t>务</w:t>
            </w:r>
          </w:p>
          <w:p>
            <w:pPr>
              <w:jc w:val="center"/>
              <w:rPr>
                <w:rFonts w:hint="eastAsia"/>
                <w:sz w:val="21"/>
              </w:rPr>
            </w:pPr>
            <w:r>
              <w:rPr>
                <w:rFonts w:hint="eastAsia"/>
                <w:sz w:val="21"/>
              </w:rPr>
              <w:t>及</w:t>
            </w:r>
          </w:p>
          <w:p>
            <w:pPr>
              <w:jc w:val="center"/>
              <w:rPr>
                <w:rFonts w:hint="eastAsia"/>
                <w:sz w:val="21"/>
              </w:rPr>
            </w:pPr>
            <w:r>
              <w:rPr>
                <w:rFonts w:hint="eastAsia"/>
                <w:sz w:val="21"/>
              </w:rPr>
              <w:t>技</w:t>
            </w:r>
          </w:p>
          <w:p>
            <w:pPr>
              <w:jc w:val="center"/>
              <w:rPr>
                <w:sz w:val="21"/>
              </w:rPr>
            </w:pPr>
            <w:r>
              <w:rPr>
                <w:rFonts w:hint="eastAsia"/>
                <w:sz w:val="21"/>
              </w:rPr>
              <w:t>术</w:t>
            </w:r>
          </w:p>
          <w:p>
            <w:pPr>
              <w:jc w:val="center"/>
              <w:rPr>
                <w:sz w:val="21"/>
              </w:rPr>
            </w:pPr>
            <w:r>
              <w:rPr>
                <w:rFonts w:hint="eastAsia"/>
                <w:sz w:val="21"/>
              </w:rPr>
              <w:t>文</w:t>
            </w:r>
          </w:p>
          <w:p>
            <w:pPr>
              <w:jc w:val="center"/>
              <w:rPr>
                <w:rFonts w:hint="eastAsia"/>
                <w:sz w:val="21"/>
              </w:rPr>
            </w:pPr>
            <w:r>
              <w:rPr>
                <w:rFonts w:hint="eastAsia"/>
                <w:sz w:val="21"/>
              </w:rPr>
              <w:t>件</w:t>
            </w:r>
          </w:p>
          <w:p>
            <w:pPr>
              <w:jc w:val="center"/>
              <w:rPr>
                <w:sz w:val="21"/>
              </w:rPr>
            </w:pPr>
            <w:r>
              <w:rPr>
                <w:rFonts w:hint="eastAsia"/>
                <w:sz w:val="21"/>
              </w:rPr>
              <w:t>︶</w:t>
            </w:r>
          </w:p>
        </w:tc>
        <w:tc>
          <w:tcPr>
            <w:tcW w:w="776" w:type="dxa"/>
            <w:vMerge w:val="restart"/>
            <w:noWrap w:val="0"/>
            <w:vAlign w:val="center"/>
          </w:tcPr>
          <w:p>
            <w:pPr>
              <w:jc w:val="center"/>
              <w:rPr>
                <w:rFonts w:hint="eastAsia"/>
                <w:sz w:val="21"/>
              </w:rPr>
            </w:pPr>
            <w:r>
              <w:rPr>
                <w:sz w:val="21"/>
              </w:rPr>
              <w:t>资</w:t>
            </w:r>
          </w:p>
          <w:p>
            <w:pPr>
              <w:jc w:val="center"/>
              <w:rPr>
                <w:rFonts w:hint="eastAsia"/>
                <w:sz w:val="21"/>
              </w:rPr>
            </w:pPr>
            <w:r>
              <w:rPr>
                <w:sz w:val="21"/>
              </w:rPr>
              <w:t>格</w:t>
            </w:r>
          </w:p>
          <w:p>
            <w:pPr>
              <w:jc w:val="center"/>
              <w:rPr>
                <w:rFonts w:hint="eastAsia"/>
                <w:sz w:val="21"/>
              </w:rPr>
            </w:pPr>
            <w:r>
              <w:rPr>
                <w:sz w:val="21"/>
              </w:rPr>
              <w:t>评</w:t>
            </w:r>
          </w:p>
          <w:p>
            <w:pPr>
              <w:jc w:val="center"/>
              <w:rPr>
                <w:rFonts w:hint="eastAsia"/>
                <w:sz w:val="21"/>
              </w:rPr>
            </w:pPr>
            <w:r>
              <w:rPr>
                <w:sz w:val="21"/>
              </w:rPr>
              <w:t>审</w:t>
            </w:r>
          </w:p>
          <w:p>
            <w:pPr>
              <w:jc w:val="center"/>
              <w:rPr>
                <w:rFonts w:hint="eastAsia"/>
                <w:sz w:val="21"/>
              </w:rPr>
            </w:pPr>
            <w:r>
              <w:rPr>
                <w:sz w:val="21"/>
              </w:rPr>
              <w:t>标</w:t>
            </w:r>
          </w:p>
          <w:p>
            <w:pPr>
              <w:jc w:val="center"/>
              <w:rPr>
                <w:sz w:val="21"/>
              </w:rPr>
            </w:pPr>
            <w:r>
              <w:rPr>
                <w:sz w:val="21"/>
              </w:rPr>
              <w:t>准</w:t>
            </w:r>
          </w:p>
        </w:tc>
        <w:tc>
          <w:tcPr>
            <w:tcW w:w="2000" w:type="dxa"/>
            <w:noWrap w:val="0"/>
            <w:vAlign w:val="center"/>
          </w:tcPr>
          <w:p>
            <w:pPr>
              <w:jc w:val="center"/>
              <w:rPr>
                <w:sz w:val="21"/>
              </w:rPr>
            </w:pPr>
            <w:r>
              <w:rPr>
                <w:rFonts w:hint="eastAsia"/>
                <w:sz w:val="21"/>
              </w:rPr>
              <w:t>营业执照、资质证书和基本账户开户许可证</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lang w:val="zh-CN" w:bidi="zh-CN"/>
              </w:rPr>
            </w:pPr>
            <w:r>
              <w:rPr>
                <w:rFonts w:hint="eastAsia" w:ascii="宋体" w:hAnsi="宋体" w:cs="宋体"/>
                <w:sz w:val="21"/>
                <w:szCs w:val="21"/>
              </w:rPr>
              <w:t>具备有效的营业执照、资质证书和基本账户开户许可证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rPr>
                <w:rFonts w:hint="eastAsia"/>
                <w:sz w:val="21"/>
              </w:rPr>
            </w:pPr>
          </w:p>
        </w:tc>
        <w:tc>
          <w:tcPr>
            <w:tcW w:w="843" w:type="dxa"/>
            <w:vMerge w:val="continue"/>
            <w:noWrap w:val="0"/>
            <w:vAlign w:val="center"/>
          </w:tcPr>
          <w:p>
            <w:pPr>
              <w:jc w:val="center"/>
              <w:rPr>
                <w:rFonts w:hint="eastAsia"/>
                <w:sz w:val="21"/>
              </w:rPr>
            </w:pPr>
          </w:p>
        </w:tc>
        <w:tc>
          <w:tcPr>
            <w:tcW w:w="776" w:type="dxa"/>
            <w:vMerge w:val="continue"/>
            <w:noWrap w:val="0"/>
            <w:vAlign w:val="center"/>
          </w:tcPr>
          <w:p>
            <w:pPr>
              <w:jc w:val="center"/>
              <w:rPr>
                <w:sz w:val="21"/>
              </w:rPr>
            </w:pPr>
          </w:p>
        </w:tc>
        <w:tc>
          <w:tcPr>
            <w:tcW w:w="2000" w:type="dxa"/>
            <w:noWrap w:val="0"/>
            <w:vAlign w:val="center"/>
          </w:tcPr>
          <w:p>
            <w:pPr>
              <w:jc w:val="center"/>
              <w:rPr>
                <w:sz w:val="21"/>
              </w:rPr>
            </w:pPr>
            <w:r>
              <w:rPr>
                <w:sz w:val="21"/>
              </w:rPr>
              <w:t>资质等级</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lang w:val="zh-CN" w:bidi="zh-CN"/>
              </w:rPr>
            </w:pPr>
            <w:r>
              <w:rPr>
                <w:rFonts w:hint="eastAsia" w:ascii="宋体" w:hAnsi="宋体" w:cs="宋体"/>
                <w:sz w:val="21"/>
                <w:szCs w:val="21"/>
              </w:rPr>
              <w:t>符合第二章“投标人须知”第 1.4.1 项“资质要求”的规定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jc w:val="center"/>
        </w:trPr>
        <w:tc>
          <w:tcPr>
            <w:tcW w:w="785" w:type="dxa"/>
            <w:vMerge w:val="continue"/>
            <w:noWrap w:val="0"/>
            <w:vAlign w:val="center"/>
          </w:tcPr>
          <w:p>
            <w:pPr>
              <w:rPr>
                <w:rFonts w:hint="eastAsia"/>
                <w:sz w:val="21"/>
              </w:rPr>
            </w:pPr>
          </w:p>
        </w:tc>
        <w:tc>
          <w:tcPr>
            <w:tcW w:w="843" w:type="dxa"/>
            <w:vMerge w:val="continue"/>
            <w:noWrap w:val="0"/>
            <w:vAlign w:val="center"/>
          </w:tcPr>
          <w:p>
            <w:pPr>
              <w:jc w:val="center"/>
              <w:rPr>
                <w:rFonts w:hint="eastAsia"/>
                <w:sz w:val="21"/>
              </w:rPr>
            </w:pPr>
          </w:p>
        </w:tc>
        <w:tc>
          <w:tcPr>
            <w:tcW w:w="776" w:type="dxa"/>
            <w:vMerge w:val="continue"/>
            <w:noWrap w:val="0"/>
            <w:vAlign w:val="center"/>
          </w:tcPr>
          <w:p>
            <w:pPr>
              <w:jc w:val="center"/>
              <w:rPr>
                <w:sz w:val="21"/>
              </w:rPr>
            </w:pPr>
          </w:p>
        </w:tc>
        <w:tc>
          <w:tcPr>
            <w:tcW w:w="2000" w:type="dxa"/>
            <w:noWrap w:val="0"/>
            <w:vAlign w:val="center"/>
          </w:tcPr>
          <w:p>
            <w:pPr>
              <w:jc w:val="center"/>
              <w:rPr>
                <w:sz w:val="21"/>
              </w:rPr>
            </w:pPr>
            <w:r>
              <w:rPr>
                <w:rFonts w:hint="eastAsia"/>
                <w:sz w:val="21"/>
              </w:rPr>
              <w:t>财务状况</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rPr>
            </w:pPr>
            <w:r>
              <w:rPr>
                <w:rFonts w:hint="eastAsia" w:ascii="宋体" w:hAnsi="宋体" w:cs="宋体"/>
                <w:sz w:val="21"/>
                <w:szCs w:val="21"/>
              </w:rPr>
              <w:t>符合第二章“投标人须知”第 1.4.1 项“财务要求”的规定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rPr>
                <w:rFonts w:hint="eastAsia"/>
                <w:sz w:val="21"/>
              </w:rPr>
            </w:pPr>
          </w:p>
        </w:tc>
        <w:tc>
          <w:tcPr>
            <w:tcW w:w="843" w:type="dxa"/>
            <w:vMerge w:val="continue"/>
            <w:noWrap w:val="0"/>
            <w:vAlign w:val="center"/>
          </w:tcPr>
          <w:p>
            <w:pPr>
              <w:jc w:val="center"/>
              <w:rPr>
                <w:rFonts w:hint="eastAsia"/>
                <w:sz w:val="21"/>
              </w:rPr>
            </w:pPr>
          </w:p>
        </w:tc>
        <w:tc>
          <w:tcPr>
            <w:tcW w:w="776" w:type="dxa"/>
            <w:vMerge w:val="continue"/>
            <w:noWrap w:val="0"/>
            <w:vAlign w:val="center"/>
          </w:tcPr>
          <w:p>
            <w:pPr>
              <w:jc w:val="center"/>
              <w:rPr>
                <w:sz w:val="21"/>
              </w:rPr>
            </w:pPr>
          </w:p>
        </w:tc>
        <w:tc>
          <w:tcPr>
            <w:tcW w:w="2000" w:type="dxa"/>
            <w:noWrap w:val="0"/>
            <w:vAlign w:val="center"/>
          </w:tcPr>
          <w:p>
            <w:pPr>
              <w:jc w:val="center"/>
              <w:rPr>
                <w:sz w:val="21"/>
              </w:rPr>
            </w:pPr>
            <w:r>
              <w:rPr>
                <w:sz w:val="21"/>
              </w:rPr>
              <w:t>类似项目业绩</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lang w:val="zh-CN" w:bidi="zh-CN"/>
              </w:rPr>
            </w:pPr>
            <w:r>
              <w:rPr>
                <w:rFonts w:hint="eastAsia" w:ascii="宋体" w:hAnsi="宋体" w:cs="宋体"/>
                <w:sz w:val="21"/>
                <w:szCs w:val="21"/>
              </w:rPr>
              <w:t>符合第二章“投标人须知”第 1.4.1 项“业绩要求”的规定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rPr>
                <w:rFonts w:hint="eastAsia"/>
                <w:sz w:val="21"/>
              </w:rPr>
            </w:pPr>
          </w:p>
        </w:tc>
        <w:tc>
          <w:tcPr>
            <w:tcW w:w="843" w:type="dxa"/>
            <w:vMerge w:val="continue"/>
            <w:noWrap w:val="0"/>
            <w:vAlign w:val="center"/>
          </w:tcPr>
          <w:p>
            <w:pPr>
              <w:jc w:val="center"/>
              <w:rPr>
                <w:rFonts w:hint="eastAsia"/>
                <w:sz w:val="21"/>
              </w:rPr>
            </w:pPr>
          </w:p>
        </w:tc>
        <w:tc>
          <w:tcPr>
            <w:tcW w:w="776" w:type="dxa"/>
            <w:vMerge w:val="continue"/>
            <w:noWrap w:val="0"/>
            <w:vAlign w:val="center"/>
          </w:tcPr>
          <w:p>
            <w:pPr>
              <w:jc w:val="center"/>
              <w:rPr>
                <w:sz w:val="21"/>
              </w:rPr>
            </w:pPr>
          </w:p>
        </w:tc>
        <w:tc>
          <w:tcPr>
            <w:tcW w:w="2000" w:type="dxa"/>
            <w:noWrap w:val="0"/>
            <w:vAlign w:val="center"/>
          </w:tcPr>
          <w:p>
            <w:pPr>
              <w:jc w:val="center"/>
              <w:rPr>
                <w:sz w:val="21"/>
              </w:rPr>
            </w:pPr>
            <w:r>
              <w:rPr>
                <w:sz w:val="21"/>
              </w:rPr>
              <w:t>信誉</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lang w:val="zh-CN" w:bidi="zh-CN"/>
              </w:rPr>
            </w:pPr>
            <w:r>
              <w:rPr>
                <w:rFonts w:hint="eastAsia" w:ascii="宋体" w:hAnsi="宋体" w:cs="宋体"/>
                <w:sz w:val="21"/>
                <w:szCs w:val="21"/>
              </w:rPr>
              <w:t>符合第二章“投标人须知”第 1.4.1 项“信誉要求”的规定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785" w:type="dxa"/>
            <w:vMerge w:val="continue"/>
            <w:noWrap w:val="0"/>
            <w:vAlign w:val="center"/>
          </w:tcPr>
          <w:p>
            <w:pPr>
              <w:rPr>
                <w:rFonts w:hint="eastAsia"/>
                <w:sz w:val="21"/>
              </w:rPr>
            </w:pPr>
          </w:p>
        </w:tc>
        <w:tc>
          <w:tcPr>
            <w:tcW w:w="843" w:type="dxa"/>
            <w:vMerge w:val="continue"/>
            <w:noWrap w:val="0"/>
            <w:vAlign w:val="center"/>
          </w:tcPr>
          <w:p>
            <w:pPr>
              <w:jc w:val="center"/>
              <w:rPr>
                <w:rFonts w:hint="eastAsia"/>
                <w:sz w:val="21"/>
              </w:rPr>
            </w:pPr>
          </w:p>
        </w:tc>
        <w:tc>
          <w:tcPr>
            <w:tcW w:w="776" w:type="dxa"/>
            <w:vMerge w:val="continue"/>
            <w:noWrap w:val="0"/>
            <w:vAlign w:val="center"/>
          </w:tcPr>
          <w:p>
            <w:pPr>
              <w:jc w:val="center"/>
              <w:rPr>
                <w:sz w:val="21"/>
              </w:rPr>
            </w:pPr>
          </w:p>
        </w:tc>
        <w:tc>
          <w:tcPr>
            <w:tcW w:w="2000" w:type="dxa"/>
            <w:noWrap w:val="0"/>
            <w:vAlign w:val="center"/>
          </w:tcPr>
          <w:p>
            <w:pPr>
              <w:jc w:val="center"/>
              <w:rPr>
                <w:sz w:val="21"/>
              </w:rPr>
            </w:pPr>
            <w:r>
              <w:rPr>
                <w:rFonts w:hint="eastAsia"/>
                <w:sz w:val="21"/>
                <w:szCs w:val="21"/>
              </w:rPr>
              <w:t>项目负责人资格</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sz w:val="21"/>
              </w:rPr>
            </w:pPr>
            <w:r>
              <w:rPr>
                <w:rFonts w:hint="eastAsia" w:ascii="宋体" w:hAnsi="宋体" w:cs="宋体"/>
                <w:sz w:val="21"/>
                <w:szCs w:val="21"/>
              </w:rPr>
              <w:t>符合第二章“投标人须知”第 1.4.1 项“项目负责人资格”的规定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rPr>
                <w:rFonts w:hint="eastAsia"/>
                <w:sz w:val="21"/>
              </w:rPr>
            </w:pPr>
          </w:p>
        </w:tc>
        <w:tc>
          <w:tcPr>
            <w:tcW w:w="843" w:type="dxa"/>
            <w:vMerge w:val="continue"/>
            <w:noWrap w:val="0"/>
            <w:vAlign w:val="center"/>
          </w:tcPr>
          <w:p>
            <w:pPr>
              <w:jc w:val="center"/>
              <w:rPr>
                <w:rFonts w:hint="eastAsia"/>
                <w:sz w:val="21"/>
              </w:rPr>
            </w:pPr>
          </w:p>
        </w:tc>
        <w:tc>
          <w:tcPr>
            <w:tcW w:w="776" w:type="dxa"/>
            <w:vMerge w:val="continue"/>
            <w:noWrap w:val="0"/>
            <w:vAlign w:val="center"/>
          </w:tcPr>
          <w:p>
            <w:pPr>
              <w:jc w:val="center"/>
              <w:rPr>
                <w:sz w:val="21"/>
              </w:rPr>
            </w:pPr>
          </w:p>
        </w:tc>
        <w:tc>
          <w:tcPr>
            <w:tcW w:w="2000" w:type="dxa"/>
            <w:noWrap w:val="0"/>
            <w:vAlign w:val="center"/>
          </w:tcPr>
          <w:p>
            <w:pPr>
              <w:rPr>
                <w:sz w:val="21"/>
              </w:rPr>
            </w:pPr>
            <w:r>
              <w:rPr>
                <w:rFonts w:hint="eastAsia" w:ascii="宋体" w:hAnsi="宋体" w:cs="宋体"/>
                <w:sz w:val="21"/>
                <w:szCs w:val="21"/>
                <w:lang w:bidi="ar"/>
              </w:rPr>
              <w:t>投标人必须符合的情形</w:t>
            </w:r>
            <w:r>
              <w:rPr>
                <w:rFonts w:hint="eastAsia" w:ascii="宋体" w:hAnsi="宋体" w:cs="宋体"/>
                <w:b/>
                <w:bCs/>
                <w:sz w:val="21"/>
                <w:szCs w:val="21"/>
                <w:lang w:bidi="ar"/>
              </w:rPr>
              <w:t xml:space="preserve"> </w:t>
            </w:r>
          </w:p>
        </w:tc>
        <w:tc>
          <w:tcPr>
            <w:tcW w:w="5075" w:type="dxa"/>
            <w:noWrap w:val="0"/>
            <w:vAlign w:val="center"/>
          </w:tcPr>
          <w:p>
            <w:pPr>
              <w:rPr>
                <w:sz w:val="21"/>
              </w:rPr>
            </w:pPr>
            <w:r>
              <w:rPr>
                <w:rFonts w:hint="eastAsia" w:ascii="宋体" w:hAnsi="宋体" w:cs="宋体"/>
                <w:sz w:val="21"/>
                <w:szCs w:val="21"/>
                <w:lang w:bidi="ar"/>
              </w:rPr>
              <w:t>符合第二章</w:t>
            </w:r>
            <w:r>
              <w:rPr>
                <w:rFonts w:ascii="Calibri" w:hAnsi="Calibri" w:cs="Calibri"/>
                <w:sz w:val="21"/>
                <w:szCs w:val="21"/>
                <w:lang w:bidi="ar"/>
              </w:rPr>
              <w:t>“</w:t>
            </w:r>
            <w:r>
              <w:rPr>
                <w:rFonts w:hint="eastAsia" w:ascii="宋体" w:hAnsi="宋体" w:cs="宋体"/>
                <w:sz w:val="21"/>
                <w:szCs w:val="21"/>
                <w:lang w:bidi="ar"/>
              </w:rPr>
              <w:t>投标人须知</w:t>
            </w:r>
            <w:r>
              <w:rPr>
                <w:rFonts w:ascii="Calibri" w:hAnsi="Calibri" w:cs="Calibri"/>
                <w:sz w:val="21"/>
                <w:szCs w:val="21"/>
                <w:lang w:bidi="ar"/>
              </w:rPr>
              <w:t>”</w:t>
            </w:r>
            <w:r>
              <w:rPr>
                <w:rFonts w:hint="eastAsia" w:ascii="宋体" w:hAnsi="宋体" w:cs="宋体"/>
                <w:sz w:val="21"/>
                <w:szCs w:val="21"/>
                <w:lang w:bidi="ar"/>
              </w:rPr>
              <w:t xml:space="preserve">第 </w:t>
            </w:r>
            <w:r>
              <w:rPr>
                <w:rFonts w:ascii="Calibri" w:hAnsi="Calibri" w:cs="Calibri"/>
                <w:sz w:val="21"/>
                <w:szCs w:val="21"/>
                <w:lang w:bidi="ar"/>
              </w:rPr>
              <w:t xml:space="preserve">3.5.1 </w:t>
            </w:r>
            <w:r>
              <w:rPr>
                <w:rFonts w:hint="eastAsia" w:ascii="宋体" w:hAnsi="宋体" w:cs="宋体"/>
                <w:sz w:val="21"/>
                <w:szCs w:val="21"/>
                <w:lang w:bidi="ar"/>
              </w:rPr>
              <w:t>项“投标人基本情况表”的规定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rPr>
                <w:rFonts w:hint="eastAsia"/>
                <w:sz w:val="21"/>
              </w:rPr>
            </w:pPr>
          </w:p>
        </w:tc>
        <w:tc>
          <w:tcPr>
            <w:tcW w:w="843" w:type="dxa"/>
            <w:vMerge w:val="continue"/>
            <w:noWrap w:val="0"/>
            <w:vAlign w:val="center"/>
          </w:tcPr>
          <w:p>
            <w:pPr>
              <w:jc w:val="center"/>
              <w:rPr>
                <w:rFonts w:hint="eastAsia"/>
                <w:sz w:val="21"/>
              </w:rPr>
            </w:pPr>
          </w:p>
        </w:tc>
        <w:tc>
          <w:tcPr>
            <w:tcW w:w="776" w:type="dxa"/>
            <w:vMerge w:val="continue"/>
            <w:noWrap w:val="0"/>
            <w:vAlign w:val="center"/>
          </w:tcPr>
          <w:p>
            <w:pPr>
              <w:jc w:val="center"/>
              <w:rPr>
                <w:sz w:val="21"/>
              </w:rPr>
            </w:pPr>
          </w:p>
        </w:tc>
        <w:tc>
          <w:tcPr>
            <w:tcW w:w="2000" w:type="dxa"/>
            <w:noWrap w:val="0"/>
            <w:vAlign w:val="center"/>
          </w:tcPr>
          <w:p>
            <w:pPr>
              <w:jc w:val="center"/>
              <w:rPr>
                <w:kern w:val="2"/>
                <w:sz w:val="21"/>
                <w:szCs w:val="21"/>
              </w:rPr>
            </w:pPr>
            <w:r>
              <w:rPr>
                <w:sz w:val="21"/>
              </w:rPr>
              <w:t>其他要求</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kern w:val="2"/>
                <w:sz w:val="21"/>
                <w:szCs w:val="21"/>
              </w:rPr>
            </w:pPr>
            <w:r>
              <w:rPr>
                <w:rFonts w:hint="eastAsia" w:ascii="宋体" w:hAnsi="宋体" w:cs="宋体"/>
                <w:sz w:val="21"/>
                <w:szCs w:val="21"/>
              </w:rPr>
              <w:t>符合第二章“投标人须知”第 1.4.1 项“其他要求”的规定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7" w:hRule="atLeast"/>
          <w:jc w:val="center"/>
        </w:trPr>
        <w:tc>
          <w:tcPr>
            <w:tcW w:w="785" w:type="dxa"/>
            <w:vMerge w:val="continue"/>
            <w:noWrap w:val="0"/>
            <w:vAlign w:val="center"/>
          </w:tcPr>
          <w:p>
            <w:pPr>
              <w:rPr>
                <w:rFonts w:hint="eastAsia"/>
                <w:sz w:val="21"/>
              </w:rPr>
            </w:pPr>
          </w:p>
        </w:tc>
        <w:tc>
          <w:tcPr>
            <w:tcW w:w="843" w:type="dxa"/>
            <w:vMerge w:val="continue"/>
            <w:noWrap w:val="0"/>
            <w:vAlign w:val="center"/>
          </w:tcPr>
          <w:p>
            <w:pPr>
              <w:jc w:val="center"/>
              <w:rPr>
                <w:rFonts w:hint="eastAsia"/>
                <w:sz w:val="21"/>
              </w:rPr>
            </w:pPr>
          </w:p>
        </w:tc>
        <w:tc>
          <w:tcPr>
            <w:tcW w:w="776" w:type="dxa"/>
            <w:vMerge w:val="continue"/>
            <w:noWrap w:val="0"/>
            <w:vAlign w:val="center"/>
          </w:tcPr>
          <w:p>
            <w:pPr>
              <w:jc w:val="center"/>
              <w:rPr>
                <w:sz w:val="21"/>
              </w:rPr>
            </w:pPr>
          </w:p>
        </w:tc>
        <w:tc>
          <w:tcPr>
            <w:tcW w:w="2000" w:type="dxa"/>
            <w:noWrap w:val="0"/>
            <w:vAlign w:val="center"/>
          </w:tcPr>
          <w:p>
            <w:pPr>
              <w:rPr>
                <w:sz w:val="21"/>
              </w:rPr>
            </w:pPr>
            <w:r>
              <w:rPr>
                <w:rFonts w:hint="eastAsia" w:ascii="宋体" w:hAnsi="宋体" w:cs="宋体"/>
                <w:sz w:val="21"/>
                <w:szCs w:val="21"/>
                <w:lang w:bidi="ar"/>
              </w:rPr>
              <w:t>采用联合体的投标人</w:t>
            </w:r>
          </w:p>
        </w:tc>
        <w:tc>
          <w:tcPr>
            <w:tcW w:w="5075" w:type="dxa"/>
            <w:noWrap w:val="0"/>
            <w:vAlign w:val="center"/>
          </w:tcPr>
          <w:p>
            <w:pPr>
              <w:rPr>
                <w:rFonts w:hint="eastAsia" w:ascii="宋体" w:hAnsi="宋体" w:cs="宋体"/>
                <w:sz w:val="21"/>
                <w:szCs w:val="21"/>
              </w:rPr>
            </w:pPr>
            <w:r>
              <w:rPr>
                <w:rFonts w:hint="eastAsia" w:ascii="宋体" w:hAnsi="宋体" w:cs="宋体"/>
                <w:sz w:val="21"/>
                <w:szCs w:val="21"/>
                <w:lang w:bidi="ar"/>
              </w:rPr>
              <w:t>以联合体形式参与投标的，联合体各方均未再以自己的名义单独或参加其他联合体在同一标段中投标；独立参与投标的，投标人未同时参加联合体在同一标段中投标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85" w:type="dxa"/>
            <w:vMerge w:val="continue"/>
            <w:noWrap w:val="0"/>
            <w:vAlign w:val="center"/>
          </w:tcPr>
          <w:p>
            <w:pPr>
              <w:rPr>
                <w:rFonts w:hint="eastAsia"/>
                <w:sz w:val="21"/>
              </w:rPr>
            </w:pPr>
          </w:p>
        </w:tc>
        <w:tc>
          <w:tcPr>
            <w:tcW w:w="843" w:type="dxa"/>
            <w:vMerge w:val="continue"/>
            <w:noWrap w:val="0"/>
            <w:vAlign w:val="center"/>
          </w:tcPr>
          <w:p>
            <w:pPr>
              <w:jc w:val="center"/>
              <w:rPr>
                <w:rFonts w:hint="eastAsia"/>
                <w:sz w:val="21"/>
              </w:rPr>
            </w:pPr>
          </w:p>
        </w:tc>
        <w:tc>
          <w:tcPr>
            <w:tcW w:w="776" w:type="dxa"/>
            <w:vMerge w:val="continue"/>
            <w:noWrap w:val="0"/>
            <w:vAlign w:val="center"/>
          </w:tcPr>
          <w:p>
            <w:pPr>
              <w:jc w:val="center"/>
              <w:rPr>
                <w:sz w:val="21"/>
              </w:rPr>
            </w:pPr>
          </w:p>
        </w:tc>
        <w:tc>
          <w:tcPr>
            <w:tcW w:w="2000" w:type="dxa"/>
            <w:noWrap w:val="0"/>
            <w:vAlign w:val="center"/>
          </w:tcPr>
          <w:p>
            <w:pPr>
              <w:jc w:val="center"/>
              <w:rPr>
                <w:rFonts w:ascii="宋体" w:hAnsi="宋体" w:cs="宋体"/>
                <w:sz w:val="21"/>
                <w:szCs w:val="22"/>
                <w:lang w:val="zh-CN" w:bidi="zh-CN"/>
              </w:rPr>
            </w:pPr>
            <w:r>
              <w:rPr>
                <w:rFonts w:hint="eastAsia"/>
                <w:sz w:val="21"/>
              </w:rPr>
              <w:t>投标人不得存在的情形</w:t>
            </w:r>
          </w:p>
        </w:tc>
        <w:tc>
          <w:tcPr>
            <w:tcW w:w="5075" w:type="dxa"/>
            <w:noWrap w:val="0"/>
            <w:vAlign w:val="center"/>
          </w:tcPr>
          <w:p>
            <w:pPr>
              <w:widowControl w:val="0"/>
              <w:autoSpaceDE w:val="0"/>
              <w:autoSpaceDN w:val="0"/>
              <w:adjustRightInd w:val="0"/>
              <w:snapToGrid w:val="0"/>
              <w:spacing w:before="6" w:after="72" w:afterLines="30"/>
              <w:ind w:left="63" w:leftChars="30" w:right="63" w:rightChars="30"/>
              <w:rPr>
                <w:rFonts w:hint="eastAsia" w:ascii="宋体" w:hAnsi="宋体" w:cs="宋体"/>
                <w:sz w:val="21"/>
                <w:szCs w:val="21"/>
                <w:lang w:val="zh-CN" w:bidi="zh-CN"/>
              </w:rPr>
            </w:pPr>
            <w:r>
              <w:rPr>
                <w:rFonts w:hint="eastAsia" w:ascii="宋体" w:hAnsi="宋体" w:cs="宋体"/>
                <w:sz w:val="21"/>
                <w:szCs w:val="21"/>
              </w:rPr>
              <w:t>投标人不得存在第二章“投标人须知”第1.4.3项或第1.4.4项规定的任何一种情形</w:t>
            </w:r>
          </w:p>
        </w:tc>
      </w:tr>
    </w:tbl>
    <w:p>
      <w:pPr>
        <w:rPr>
          <w:rFonts w:hint="eastAsia"/>
        </w:rPr>
      </w:pPr>
    </w:p>
    <w:p>
      <w:pPr>
        <w:adjustRightInd w:val="0"/>
        <w:contextualSpacing/>
        <w:rPr>
          <w:rFonts w:hint="eastAsia" w:ascii="宋体" w:hAnsi="宋体"/>
          <w:sz w:val="21"/>
        </w:rPr>
      </w:pPr>
    </w:p>
    <w:tbl>
      <w:tblPr>
        <w:tblStyle w:val="10"/>
        <w:tblW w:w="92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79"/>
        <w:gridCol w:w="1556"/>
        <w:gridCol w:w="65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79" w:type="dxa"/>
            <w:noWrap w:val="0"/>
            <w:vAlign w:val="center"/>
          </w:tcPr>
          <w:p>
            <w:pPr>
              <w:adjustRightInd w:val="0"/>
              <w:contextualSpacing/>
              <w:jc w:val="center"/>
              <w:rPr>
                <w:rFonts w:hint="eastAsia" w:ascii="宋体" w:hAnsi="宋体"/>
                <w:b/>
                <w:sz w:val="21"/>
              </w:rPr>
            </w:pPr>
            <w:r>
              <w:rPr>
                <w:rFonts w:hint="eastAsia" w:ascii="宋体" w:hAnsi="宋体"/>
                <w:b/>
                <w:sz w:val="21"/>
              </w:rPr>
              <w:t>条款号</w:t>
            </w:r>
          </w:p>
        </w:tc>
        <w:tc>
          <w:tcPr>
            <w:tcW w:w="1556" w:type="dxa"/>
            <w:noWrap w:val="0"/>
            <w:vAlign w:val="center"/>
          </w:tcPr>
          <w:p>
            <w:pPr>
              <w:adjustRightInd w:val="0"/>
              <w:contextualSpacing/>
              <w:jc w:val="center"/>
              <w:rPr>
                <w:rFonts w:hint="eastAsia" w:ascii="宋体" w:hAnsi="宋体"/>
                <w:b/>
                <w:sz w:val="21"/>
              </w:rPr>
            </w:pPr>
            <w:r>
              <w:rPr>
                <w:rFonts w:hint="eastAsia" w:ascii="宋体" w:hAnsi="宋体"/>
                <w:b/>
                <w:sz w:val="21"/>
              </w:rPr>
              <w:t>条款内容</w:t>
            </w:r>
          </w:p>
        </w:tc>
        <w:tc>
          <w:tcPr>
            <w:tcW w:w="6579" w:type="dxa"/>
            <w:noWrap w:val="0"/>
            <w:vAlign w:val="center"/>
          </w:tcPr>
          <w:p>
            <w:pPr>
              <w:adjustRightInd w:val="0"/>
              <w:contextualSpacing/>
              <w:jc w:val="center"/>
              <w:rPr>
                <w:rFonts w:hint="eastAsia" w:ascii="宋体" w:hAnsi="宋体"/>
                <w:b/>
                <w:sz w:val="21"/>
              </w:rPr>
            </w:pPr>
            <w:r>
              <w:rPr>
                <w:rFonts w:hint="eastAsia" w:ascii="宋体" w:hAnsi="宋体"/>
                <w:b/>
                <w:sz w:val="21"/>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386" w:hRule="atLeast"/>
          <w:jc w:val="center"/>
        </w:trPr>
        <w:tc>
          <w:tcPr>
            <w:tcW w:w="1079" w:type="dxa"/>
            <w:noWrap w:val="0"/>
            <w:vAlign w:val="center"/>
          </w:tcPr>
          <w:p>
            <w:pPr>
              <w:pStyle w:val="2"/>
              <w:spacing w:line="360" w:lineRule="exact"/>
              <w:contextualSpacing/>
              <w:jc w:val="center"/>
              <w:rPr>
                <w:color w:val="auto"/>
                <w:sz w:val="21"/>
                <w:szCs w:val="21"/>
              </w:rPr>
            </w:pPr>
            <w:r>
              <w:rPr>
                <w:color w:val="auto"/>
                <w:sz w:val="21"/>
                <w:szCs w:val="21"/>
              </w:rPr>
              <w:t xml:space="preserve">2.2.1 </w:t>
            </w:r>
          </w:p>
        </w:tc>
        <w:tc>
          <w:tcPr>
            <w:tcW w:w="1556" w:type="dxa"/>
            <w:noWrap w:val="0"/>
            <w:vAlign w:val="center"/>
          </w:tcPr>
          <w:p>
            <w:pPr>
              <w:pStyle w:val="27"/>
              <w:adjustRightInd w:val="0"/>
              <w:spacing w:line="360" w:lineRule="exact"/>
              <w:contextualSpacing/>
              <w:jc w:val="center"/>
              <w:rPr>
                <w:rFonts w:ascii="宋体" w:hAnsi="宋体" w:cs="宋体"/>
                <w:sz w:val="21"/>
                <w:szCs w:val="21"/>
                <w:lang w:eastAsia="zh-CN"/>
              </w:rPr>
            </w:pPr>
            <w:r>
              <w:rPr>
                <w:rFonts w:hint="eastAsia" w:ascii="宋体" w:hAnsi="宋体" w:cs="宋体"/>
                <w:sz w:val="21"/>
                <w:szCs w:val="21"/>
                <w:lang w:eastAsia="zh-CN"/>
              </w:rPr>
              <w:t>分值构成</w:t>
            </w:r>
          </w:p>
          <w:p>
            <w:pPr>
              <w:pStyle w:val="27"/>
              <w:adjustRightInd w:val="0"/>
              <w:spacing w:line="360" w:lineRule="exact"/>
              <w:contextualSpacing/>
              <w:jc w:val="center"/>
              <w:rPr>
                <w:sz w:val="21"/>
                <w:szCs w:val="21"/>
              </w:rPr>
            </w:pPr>
            <w:r>
              <w:rPr>
                <w:rFonts w:hint="eastAsia" w:ascii="宋体" w:hAnsi="宋体" w:cs="宋体"/>
                <w:sz w:val="21"/>
                <w:szCs w:val="21"/>
                <w:lang w:eastAsia="zh-CN"/>
              </w:rPr>
              <w:t>（总分</w:t>
            </w:r>
            <w:r>
              <w:rPr>
                <w:rFonts w:ascii="宋体" w:hAnsi="宋体" w:cs="宋体"/>
                <w:spacing w:val="-51"/>
                <w:sz w:val="21"/>
                <w:szCs w:val="21"/>
                <w:lang w:eastAsia="zh-CN"/>
              </w:rPr>
              <w:t xml:space="preserve"> </w:t>
            </w:r>
            <w:r>
              <w:rPr>
                <w:rFonts w:ascii="宋体" w:hAnsi="宋体"/>
                <w:sz w:val="21"/>
                <w:szCs w:val="21"/>
                <w:lang w:eastAsia="zh-CN"/>
              </w:rPr>
              <w:t>100</w:t>
            </w:r>
            <w:r>
              <w:rPr>
                <w:rFonts w:hint="eastAsia" w:ascii="宋体" w:hAnsi="宋体" w:cs="宋体"/>
                <w:sz w:val="21"/>
                <w:szCs w:val="21"/>
                <w:lang w:eastAsia="zh-CN"/>
              </w:rPr>
              <w:t>分）</w:t>
            </w:r>
          </w:p>
        </w:tc>
        <w:tc>
          <w:tcPr>
            <w:tcW w:w="6579" w:type="dxa"/>
            <w:noWrap w:val="0"/>
            <w:vAlign w:val="top"/>
          </w:tcPr>
          <w:p>
            <w:pPr>
              <w:pStyle w:val="27"/>
              <w:tabs>
                <w:tab w:val="left" w:pos="2626"/>
              </w:tabs>
              <w:adjustRightInd w:val="0"/>
              <w:spacing w:line="360" w:lineRule="exact"/>
              <w:ind w:firstLine="418" w:firstLineChars="200"/>
              <w:contextualSpacing/>
              <w:rPr>
                <w:rFonts w:ascii="宋体" w:hAnsi="宋体" w:cs="宋体"/>
                <w:b/>
                <w:bCs/>
                <w:sz w:val="21"/>
                <w:szCs w:val="21"/>
                <w:lang w:eastAsia="zh-CN"/>
              </w:rPr>
            </w:pPr>
            <w:r>
              <w:rPr>
                <w:rFonts w:hint="eastAsia" w:ascii="宋体" w:hAnsi="宋体" w:cs="宋体"/>
                <w:b/>
                <w:bCs/>
                <w:spacing w:val="-1"/>
                <w:sz w:val="21"/>
                <w:szCs w:val="21"/>
                <w:lang w:eastAsia="zh-CN"/>
              </w:rPr>
              <w:t>第一个信封（商务及技术文件）评分分值构成：</w:t>
            </w:r>
            <w:r>
              <w:rPr>
                <w:rFonts w:ascii="宋体" w:hAnsi="宋体" w:cs="宋体"/>
                <w:b/>
                <w:bCs/>
                <w:sz w:val="21"/>
                <w:szCs w:val="21"/>
                <w:lang w:eastAsia="zh-CN"/>
              </w:rPr>
              <w:t xml:space="preserve"> </w:t>
            </w:r>
          </w:p>
          <w:p>
            <w:pPr>
              <w:pStyle w:val="27"/>
              <w:tabs>
                <w:tab w:val="left" w:pos="2626"/>
              </w:tabs>
              <w:adjustRightInd w:val="0"/>
              <w:ind w:firstLine="412" w:firstLineChars="200"/>
              <w:contextualSpacing/>
              <w:rPr>
                <w:rFonts w:hint="eastAsia" w:ascii="宋体" w:hAnsi="宋体" w:cs="宋体"/>
                <w:spacing w:val="-2"/>
                <w:sz w:val="21"/>
                <w:szCs w:val="21"/>
                <w:lang w:eastAsia="zh-CN"/>
              </w:rPr>
            </w:pPr>
            <w:r>
              <w:rPr>
                <w:rFonts w:hint="eastAsia" w:ascii="宋体" w:hAnsi="宋体" w:cs="宋体"/>
                <w:spacing w:val="-2"/>
                <w:sz w:val="21"/>
                <w:szCs w:val="21"/>
                <w:lang w:eastAsia="zh-CN"/>
              </w:rPr>
              <w:t>技术建议书：</w:t>
            </w:r>
            <w:r>
              <w:rPr>
                <w:rFonts w:hint="eastAsia" w:ascii="宋体" w:hAnsi="宋体" w:cs="宋体"/>
                <w:spacing w:val="-2"/>
                <w:sz w:val="21"/>
                <w:szCs w:val="21"/>
                <w:u w:val="single"/>
                <w:lang w:eastAsia="zh-CN"/>
              </w:rPr>
              <w:t xml:space="preserve"> 45 </w:t>
            </w:r>
            <w:r>
              <w:rPr>
                <w:rFonts w:hint="eastAsia" w:ascii="宋体" w:hAnsi="宋体" w:cs="宋体"/>
                <w:spacing w:val="-2"/>
                <w:sz w:val="21"/>
                <w:szCs w:val="21"/>
                <w:lang w:eastAsia="zh-CN"/>
              </w:rPr>
              <w:t>分</w:t>
            </w:r>
          </w:p>
          <w:p>
            <w:pPr>
              <w:pStyle w:val="27"/>
              <w:tabs>
                <w:tab w:val="left" w:pos="2626"/>
              </w:tabs>
              <w:adjustRightInd w:val="0"/>
              <w:ind w:firstLine="412" w:firstLineChars="200"/>
              <w:contextualSpacing/>
              <w:rPr>
                <w:rFonts w:hint="eastAsia" w:ascii="宋体" w:hAnsi="宋体" w:cs="宋体"/>
                <w:spacing w:val="-2"/>
                <w:sz w:val="21"/>
                <w:szCs w:val="21"/>
                <w:lang w:eastAsia="zh-CN"/>
              </w:rPr>
            </w:pPr>
            <w:r>
              <w:rPr>
                <w:rFonts w:hint="eastAsia" w:ascii="宋体" w:hAnsi="宋体" w:cs="宋体"/>
                <w:spacing w:val="-2"/>
                <w:sz w:val="21"/>
                <w:szCs w:val="21"/>
                <w:lang w:eastAsia="zh-CN"/>
              </w:rPr>
              <w:t>主要人员：</w:t>
            </w:r>
            <w:r>
              <w:rPr>
                <w:rFonts w:hint="eastAsia" w:ascii="宋体" w:hAnsi="宋体" w:cs="宋体"/>
                <w:spacing w:val="-2"/>
                <w:sz w:val="21"/>
                <w:szCs w:val="21"/>
                <w:u w:val="single"/>
                <w:lang w:eastAsia="zh-CN"/>
              </w:rPr>
              <w:t xml:space="preserve">  25 </w:t>
            </w:r>
            <w:r>
              <w:rPr>
                <w:rFonts w:hint="eastAsia" w:ascii="宋体" w:hAnsi="宋体" w:cs="宋体"/>
                <w:spacing w:val="-2"/>
                <w:sz w:val="21"/>
                <w:szCs w:val="21"/>
                <w:lang w:eastAsia="zh-CN"/>
              </w:rPr>
              <w:t>分</w:t>
            </w:r>
          </w:p>
          <w:p>
            <w:pPr>
              <w:pStyle w:val="27"/>
              <w:tabs>
                <w:tab w:val="left" w:pos="2626"/>
              </w:tabs>
              <w:adjustRightInd w:val="0"/>
              <w:ind w:firstLine="412" w:firstLineChars="200"/>
              <w:contextualSpacing/>
              <w:rPr>
                <w:rFonts w:hint="eastAsia" w:ascii="宋体" w:hAnsi="宋体" w:cs="宋体"/>
                <w:spacing w:val="-2"/>
                <w:sz w:val="21"/>
                <w:szCs w:val="21"/>
                <w:lang w:eastAsia="zh-CN"/>
              </w:rPr>
            </w:pPr>
            <w:r>
              <w:rPr>
                <w:rFonts w:hint="eastAsia" w:ascii="宋体" w:hAnsi="宋体" w:cs="宋体"/>
                <w:spacing w:val="-2"/>
                <w:sz w:val="21"/>
                <w:szCs w:val="21"/>
                <w:lang w:eastAsia="zh-CN"/>
              </w:rPr>
              <w:t>技术能力：</w:t>
            </w:r>
            <w:r>
              <w:rPr>
                <w:rFonts w:hint="eastAsia" w:ascii="宋体" w:hAnsi="宋体" w:cs="宋体"/>
                <w:spacing w:val="-2"/>
                <w:sz w:val="21"/>
                <w:szCs w:val="21"/>
                <w:u w:val="single"/>
                <w:lang w:eastAsia="zh-CN"/>
              </w:rPr>
              <w:t xml:space="preserve">  5 </w:t>
            </w:r>
            <w:r>
              <w:rPr>
                <w:rFonts w:hint="eastAsia" w:ascii="宋体" w:hAnsi="宋体" w:cs="宋体"/>
                <w:spacing w:val="-2"/>
                <w:sz w:val="21"/>
                <w:szCs w:val="21"/>
                <w:lang w:eastAsia="zh-CN"/>
              </w:rPr>
              <w:t>分</w:t>
            </w:r>
          </w:p>
          <w:p>
            <w:pPr>
              <w:pStyle w:val="27"/>
              <w:tabs>
                <w:tab w:val="left" w:pos="2626"/>
              </w:tabs>
              <w:adjustRightInd w:val="0"/>
              <w:ind w:firstLine="412" w:firstLineChars="200"/>
              <w:contextualSpacing/>
              <w:rPr>
                <w:rFonts w:hint="eastAsia" w:ascii="宋体" w:hAnsi="宋体" w:cs="宋体"/>
                <w:spacing w:val="-2"/>
                <w:sz w:val="21"/>
                <w:szCs w:val="21"/>
                <w:lang w:eastAsia="zh-CN"/>
              </w:rPr>
            </w:pPr>
            <w:r>
              <w:rPr>
                <w:rFonts w:hint="eastAsia" w:ascii="宋体" w:hAnsi="宋体" w:cs="宋体"/>
                <w:spacing w:val="-2"/>
                <w:sz w:val="21"/>
                <w:szCs w:val="21"/>
                <w:lang w:eastAsia="zh-CN"/>
              </w:rPr>
              <w:t>业    绩：</w:t>
            </w:r>
            <w:r>
              <w:rPr>
                <w:rFonts w:hint="eastAsia" w:ascii="宋体" w:hAnsi="宋体" w:cs="宋体"/>
                <w:spacing w:val="-2"/>
                <w:sz w:val="21"/>
                <w:szCs w:val="21"/>
                <w:u w:val="single"/>
                <w:lang w:eastAsia="zh-CN"/>
              </w:rPr>
              <w:t xml:space="preserve">  10 </w:t>
            </w:r>
            <w:r>
              <w:rPr>
                <w:rFonts w:hint="eastAsia" w:ascii="宋体" w:hAnsi="宋体" w:cs="宋体"/>
                <w:spacing w:val="-2"/>
                <w:sz w:val="21"/>
                <w:szCs w:val="21"/>
                <w:lang w:eastAsia="zh-CN"/>
              </w:rPr>
              <w:t>分</w:t>
            </w:r>
          </w:p>
          <w:p>
            <w:pPr>
              <w:pStyle w:val="27"/>
              <w:tabs>
                <w:tab w:val="left" w:pos="2626"/>
              </w:tabs>
              <w:adjustRightInd w:val="0"/>
              <w:ind w:firstLine="412" w:firstLineChars="200"/>
              <w:contextualSpacing/>
              <w:rPr>
                <w:rFonts w:hint="eastAsia" w:ascii="宋体" w:hAnsi="宋体" w:cs="宋体"/>
                <w:spacing w:val="-2"/>
                <w:sz w:val="21"/>
                <w:szCs w:val="21"/>
                <w:u w:val="single"/>
                <w:lang w:eastAsia="zh-CN"/>
              </w:rPr>
            </w:pPr>
            <w:r>
              <w:rPr>
                <w:rFonts w:hint="eastAsia" w:ascii="宋体" w:hAnsi="宋体" w:cs="宋体"/>
                <w:spacing w:val="-2"/>
                <w:sz w:val="21"/>
                <w:szCs w:val="21"/>
                <w:lang w:eastAsia="zh-CN"/>
              </w:rPr>
              <w:t>履约信誉：</w:t>
            </w:r>
            <w:r>
              <w:rPr>
                <w:rFonts w:hint="eastAsia" w:ascii="宋体" w:hAnsi="宋体" w:cs="宋体"/>
                <w:spacing w:val="-2"/>
                <w:sz w:val="21"/>
                <w:szCs w:val="21"/>
                <w:u w:val="single"/>
                <w:lang w:eastAsia="zh-CN"/>
              </w:rPr>
              <w:t xml:space="preserve">  5 </w:t>
            </w:r>
            <w:r>
              <w:rPr>
                <w:rFonts w:hint="eastAsia" w:ascii="宋体" w:hAnsi="宋体" w:cs="宋体"/>
                <w:spacing w:val="-2"/>
                <w:sz w:val="21"/>
                <w:szCs w:val="21"/>
                <w:lang w:eastAsia="zh-CN"/>
              </w:rPr>
              <w:t>分</w:t>
            </w:r>
          </w:p>
          <w:p>
            <w:pPr>
              <w:pStyle w:val="27"/>
              <w:tabs>
                <w:tab w:val="left" w:pos="2626"/>
              </w:tabs>
              <w:adjustRightInd w:val="0"/>
              <w:ind w:firstLine="412" w:firstLineChars="200"/>
              <w:contextualSpacing/>
              <w:rPr>
                <w:rFonts w:hint="eastAsia" w:ascii="宋体" w:hAnsi="宋体" w:cs="宋体"/>
                <w:spacing w:val="-2"/>
                <w:sz w:val="21"/>
                <w:szCs w:val="21"/>
                <w:lang w:eastAsia="zh-CN"/>
              </w:rPr>
            </w:pPr>
            <w:r>
              <w:rPr>
                <w:rFonts w:ascii="宋体" w:hAnsi="宋体" w:cs="宋体"/>
                <w:spacing w:val="-2"/>
                <w:sz w:val="21"/>
                <w:szCs w:val="21"/>
                <w:lang w:eastAsia="zh-CN"/>
              </w:rPr>
              <w:t xml:space="preserve"> </w:t>
            </w:r>
            <w:r>
              <w:rPr>
                <w:rFonts w:hint="eastAsia" w:ascii="宋体" w:hAnsi="宋体" w:cs="宋体"/>
                <w:b/>
                <w:bCs/>
                <w:spacing w:val="-1"/>
                <w:sz w:val="21"/>
                <w:szCs w:val="21"/>
                <w:lang w:eastAsia="zh-CN"/>
              </w:rPr>
              <w:t>第二个信封（报价文件）评分分值构成：</w:t>
            </w:r>
            <w:r>
              <w:rPr>
                <w:rFonts w:hint="eastAsia" w:ascii="宋体" w:hAnsi="宋体" w:cs="宋体"/>
                <w:spacing w:val="-2"/>
                <w:sz w:val="21"/>
                <w:szCs w:val="21"/>
                <w:lang w:eastAsia="zh-CN"/>
              </w:rPr>
              <w:t xml:space="preserve"> </w:t>
            </w:r>
          </w:p>
          <w:p>
            <w:pPr>
              <w:pStyle w:val="27"/>
              <w:tabs>
                <w:tab w:val="left" w:pos="2626"/>
              </w:tabs>
              <w:adjustRightInd w:val="0"/>
              <w:ind w:firstLine="412" w:firstLineChars="200"/>
              <w:contextualSpacing/>
              <w:rPr>
                <w:rFonts w:hint="eastAsia"/>
                <w:sz w:val="21"/>
                <w:szCs w:val="21"/>
              </w:rPr>
            </w:pPr>
            <w:r>
              <w:rPr>
                <w:rFonts w:hint="eastAsia" w:ascii="宋体" w:hAnsi="宋体" w:cs="宋体"/>
                <w:spacing w:val="-2"/>
                <w:sz w:val="21"/>
                <w:szCs w:val="21"/>
              </w:rPr>
              <w:t xml:space="preserve">评标价： </w:t>
            </w:r>
            <w:r>
              <w:rPr>
                <w:rFonts w:hint="eastAsia" w:ascii="宋体" w:hAnsi="宋体" w:cs="宋体"/>
                <w:spacing w:val="-2"/>
                <w:sz w:val="21"/>
                <w:szCs w:val="21"/>
                <w:u w:val="single"/>
              </w:rPr>
              <w:t xml:space="preserve"> 10 </w:t>
            </w:r>
            <w:r>
              <w:rPr>
                <w:rFonts w:hint="eastAsia" w:ascii="宋体" w:hAnsi="宋体" w:cs="宋体"/>
                <w:spacing w:val="-2"/>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02" w:hRule="atLeast"/>
          <w:jc w:val="center"/>
        </w:trPr>
        <w:tc>
          <w:tcPr>
            <w:tcW w:w="1079" w:type="dxa"/>
            <w:noWrap w:val="0"/>
            <w:vAlign w:val="center"/>
          </w:tcPr>
          <w:p>
            <w:pPr>
              <w:pStyle w:val="2"/>
              <w:spacing w:line="360" w:lineRule="exact"/>
              <w:contextualSpacing/>
              <w:jc w:val="center"/>
              <w:rPr>
                <w:color w:val="auto"/>
                <w:sz w:val="21"/>
                <w:szCs w:val="21"/>
              </w:rPr>
            </w:pPr>
            <w:r>
              <w:rPr>
                <w:color w:val="auto"/>
                <w:sz w:val="21"/>
                <w:szCs w:val="21"/>
              </w:rPr>
              <w:t>2.2.2</w:t>
            </w:r>
          </w:p>
        </w:tc>
        <w:tc>
          <w:tcPr>
            <w:tcW w:w="1556" w:type="dxa"/>
            <w:noWrap w:val="0"/>
            <w:vAlign w:val="center"/>
          </w:tcPr>
          <w:p>
            <w:pPr>
              <w:pStyle w:val="2"/>
              <w:spacing w:line="360" w:lineRule="exact"/>
              <w:contextualSpacing/>
              <w:jc w:val="center"/>
              <w:rPr>
                <w:color w:val="auto"/>
                <w:sz w:val="21"/>
                <w:szCs w:val="21"/>
              </w:rPr>
            </w:pPr>
            <w:r>
              <w:rPr>
                <w:rFonts w:hint="eastAsia"/>
                <w:color w:val="auto"/>
                <w:sz w:val="21"/>
                <w:szCs w:val="21"/>
              </w:rPr>
              <w:t>评标基准价计算方法</w:t>
            </w:r>
          </w:p>
        </w:tc>
        <w:tc>
          <w:tcPr>
            <w:tcW w:w="6579" w:type="dxa"/>
            <w:noWrap w:val="0"/>
            <w:vAlign w:val="center"/>
          </w:tcPr>
          <w:p>
            <w:pPr>
              <w:pStyle w:val="2"/>
              <w:spacing w:line="312" w:lineRule="auto"/>
              <w:ind w:firstLine="420" w:firstLineChars="200"/>
              <w:contextualSpacing/>
              <w:rPr>
                <w:rFonts w:hint="eastAsia"/>
                <w:color w:val="auto"/>
                <w:sz w:val="21"/>
                <w:szCs w:val="21"/>
              </w:rPr>
            </w:pPr>
            <w:r>
              <w:rPr>
                <w:rFonts w:hint="eastAsia"/>
                <w:color w:val="auto"/>
                <w:sz w:val="21"/>
                <w:szCs w:val="21"/>
              </w:rPr>
              <w:t>评标基准价的计算：</w:t>
            </w:r>
          </w:p>
          <w:p>
            <w:pPr>
              <w:pStyle w:val="2"/>
              <w:spacing w:line="312" w:lineRule="auto"/>
              <w:ind w:firstLine="420" w:firstLineChars="200"/>
              <w:contextualSpacing/>
              <w:rPr>
                <w:rFonts w:hint="eastAsia"/>
                <w:color w:val="auto"/>
                <w:sz w:val="21"/>
                <w:szCs w:val="21"/>
              </w:rPr>
            </w:pPr>
            <w:r>
              <w:rPr>
                <w:rFonts w:hint="eastAsia"/>
                <w:color w:val="auto"/>
                <w:sz w:val="21"/>
                <w:szCs w:val="21"/>
              </w:rPr>
              <w:t>在开标现场，招标人将当场计算并宣布评标基准价。</w:t>
            </w:r>
          </w:p>
          <w:p>
            <w:pPr>
              <w:pStyle w:val="2"/>
              <w:spacing w:line="312" w:lineRule="auto"/>
              <w:ind w:firstLine="420" w:firstLineChars="200"/>
              <w:contextualSpacing/>
              <w:rPr>
                <w:rFonts w:hint="eastAsia"/>
                <w:color w:val="auto"/>
                <w:sz w:val="21"/>
                <w:szCs w:val="21"/>
              </w:rPr>
            </w:pPr>
            <w:r>
              <w:rPr>
                <w:rFonts w:hint="eastAsia"/>
                <w:color w:val="auto"/>
                <w:sz w:val="21"/>
                <w:szCs w:val="21"/>
              </w:rPr>
              <w:t>（1）评标价的确定：</w:t>
            </w:r>
          </w:p>
          <w:p>
            <w:pPr>
              <w:pStyle w:val="2"/>
              <w:spacing w:line="312" w:lineRule="auto"/>
              <w:ind w:firstLine="420" w:firstLineChars="200"/>
              <w:contextualSpacing/>
              <w:rPr>
                <w:rFonts w:hint="eastAsia"/>
                <w:color w:val="auto"/>
                <w:sz w:val="21"/>
                <w:szCs w:val="21"/>
              </w:rPr>
            </w:pPr>
            <w:r>
              <w:rPr>
                <w:rFonts w:hint="eastAsia"/>
                <w:color w:val="auto"/>
                <w:sz w:val="21"/>
                <w:szCs w:val="21"/>
              </w:rPr>
              <w:t>评标价=投标函文字报价。</w:t>
            </w:r>
          </w:p>
          <w:p>
            <w:pPr>
              <w:pStyle w:val="2"/>
              <w:spacing w:line="312" w:lineRule="auto"/>
              <w:ind w:firstLine="420" w:firstLineChars="200"/>
              <w:contextualSpacing/>
              <w:rPr>
                <w:rFonts w:hint="eastAsia"/>
                <w:color w:val="auto"/>
                <w:sz w:val="21"/>
                <w:szCs w:val="21"/>
              </w:rPr>
            </w:pPr>
            <w:r>
              <w:rPr>
                <w:rFonts w:hint="eastAsia"/>
                <w:color w:val="auto"/>
                <w:sz w:val="21"/>
                <w:szCs w:val="21"/>
              </w:rPr>
              <w:t>（2）评标价平均值的计算：</w:t>
            </w:r>
          </w:p>
          <w:p>
            <w:pPr>
              <w:pStyle w:val="2"/>
              <w:spacing w:line="312" w:lineRule="auto"/>
              <w:ind w:firstLine="420" w:firstLineChars="200"/>
              <w:contextualSpacing/>
              <w:rPr>
                <w:rFonts w:hint="eastAsia"/>
                <w:color w:val="auto"/>
                <w:sz w:val="21"/>
                <w:szCs w:val="21"/>
              </w:rPr>
            </w:pPr>
            <w:r>
              <w:rPr>
                <w:rFonts w:hint="eastAsia"/>
                <w:color w:val="auto"/>
                <w:sz w:val="21"/>
                <w:szCs w:val="21"/>
              </w:rPr>
              <w:t>按第一信封（商务及技术文件）评审得分由高到低的顺序选取前3名（若不足3名，则选取相应数量），对其第二个信封（报价文件）的评标价作算术平均（根据第二章“投标人须知”第5.2.4项规定在开标现场被宣布为不进入评标基准价计算的投标报价除外），将该平均值作为评标价平均值。</w:t>
            </w:r>
          </w:p>
          <w:p>
            <w:pPr>
              <w:pStyle w:val="2"/>
              <w:spacing w:line="312" w:lineRule="auto"/>
              <w:ind w:firstLine="420" w:firstLineChars="200"/>
              <w:contextualSpacing/>
              <w:rPr>
                <w:rFonts w:hint="eastAsia"/>
                <w:color w:val="auto"/>
                <w:sz w:val="21"/>
                <w:szCs w:val="21"/>
              </w:rPr>
            </w:pPr>
            <w:r>
              <w:rPr>
                <w:rFonts w:hint="eastAsia"/>
                <w:color w:val="auto"/>
                <w:sz w:val="21"/>
                <w:szCs w:val="21"/>
              </w:rPr>
              <w:t>（3）评标基准价的确定：</w:t>
            </w:r>
          </w:p>
          <w:p>
            <w:pPr>
              <w:pStyle w:val="2"/>
              <w:spacing w:line="312" w:lineRule="auto"/>
              <w:ind w:firstLine="420" w:firstLineChars="200"/>
              <w:contextualSpacing/>
              <w:rPr>
                <w:rFonts w:hint="eastAsia"/>
                <w:color w:val="auto"/>
                <w:sz w:val="21"/>
                <w:szCs w:val="21"/>
              </w:rPr>
            </w:pPr>
            <w:r>
              <w:rPr>
                <w:rFonts w:hint="eastAsia"/>
                <w:color w:val="auto"/>
                <w:sz w:val="21"/>
                <w:szCs w:val="21"/>
              </w:rPr>
              <w:t>将评标价平均值直接作为评标基准价。</w:t>
            </w:r>
          </w:p>
          <w:p>
            <w:pPr>
              <w:pStyle w:val="2"/>
              <w:spacing w:line="312" w:lineRule="auto"/>
              <w:ind w:firstLine="420" w:firstLineChars="200"/>
              <w:contextualSpacing/>
              <w:rPr>
                <w:rFonts w:hint="eastAsia"/>
                <w:color w:val="auto"/>
                <w:sz w:val="21"/>
                <w:szCs w:val="21"/>
              </w:rPr>
            </w:pPr>
            <w:r>
              <w:rPr>
                <w:rFonts w:hint="eastAsia"/>
                <w:color w:val="auto"/>
                <w:sz w:val="21"/>
                <w:szCs w:val="21"/>
              </w:rPr>
              <w:t>在评标过程中，评标委员会应对招标人计算的评标基准价进行复核，存在计算错误的应予以修正并在评标报告中作出说明。除此以外，评标基准价在整个评标期间保持不变，不随任何因素发生变化。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12" w:hRule="atLeast"/>
          <w:jc w:val="center"/>
        </w:trPr>
        <w:tc>
          <w:tcPr>
            <w:tcW w:w="1079" w:type="dxa"/>
            <w:noWrap w:val="0"/>
            <w:vAlign w:val="center"/>
          </w:tcPr>
          <w:p>
            <w:pPr>
              <w:pStyle w:val="2"/>
              <w:spacing w:line="360" w:lineRule="exact"/>
              <w:contextualSpacing/>
              <w:jc w:val="center"/>
              <w:rPr>
                <w:color w:val="auto"/>
                <w:sz w:val="21"/>
                <w:szCs w:val="21"/>
              </w:rPr>
            </w:pPr>
            <w:r>
              <w:rPr>
                <w:color w:val="auto"/>
                <w:sz w:val="21"/>
                <w:szCs w:val="21"/>
              </w:rPr>
              <w:t>2.2.3</w:t>
            </w:r>
          </w:p>
        </w:tc>
        <w:tc>
          <w:tcPr>
            <w:tcW w:w="1556" w:type="dxa"/>
            <w:noWrap w:val="0"/>
            <w:vAlign w:val="center"/>
          </w:tcPr>
          <w:p>
            <w:pPr>
              <w:pStyle w:val="2"/>
              <w:spacing w:line="360" w:lineRule="exact"/>
              <w:contextualSpacing/>
              <w:jc w:val="center"/>
              <w:rPr>
                <w:rFonts w:hint="eastAsia"/>
                <w:color w:val="auto"/>
                <w:sz w:val="21"/>
                <w:szCs w:val="21"/>
              </w:rPr>
            </w:pPr>
            <w:r>
              <w:rPr>
                <w:rFonts w:hint="eastAsia"/>
                <w:color w:val="auto"/>
                <w:sz w:val="21"/>
                <w:szCs w:val="21"/>
              </w:rPr>
              <w:t>评标价的偏差率计算公式</w:t>
            </w:r>
          </w:p>
        </w:tc>
        <w:tc>
          <w:tcPr>
            <w:tcW w:w="6579" w:type="dxa"/>
            <w:noWrap w:val="0"/>
            <w:vAlign w:val="center"/>
          </w:tcPr>
          <w:p>
            <w:pPr>
              <w:pStyle w:val="2"/>
              <w:spacing w:line="360" w:lineRule="exact"/>
              <w:contextualSpacing/>
              <w:jc w:val="center"/>
              <w:rPr>
                <w:color w:val="auto"/>
                <w:sz w:val="21"/>
                <w:szCs w:val="21"/>
              </w:rPr>
            </w:pPr>
            <w:r>
              <w:rPr>
                <w:rFonts w:hint="eastAsia"/>
                <w:color w:val="auto"/>
                <w:sz w:val="21"/>
                <w:szCs w:val="21"/>
              </w:rPr>
              <w:t>偏差率</w:t>
            </w:r>
            <w:r>
              <w:rPr>
                <w:color w:val="auto"/>
                <w:sz w:val="21"/>
                <w:szCs w:val="21"/>
              </w:rPr>
              <w:t>=100% ×</w:t>
            </w:r>
            <w:r>
              <w:rPr>
                <w:rFonts w:hint="eastAsia"/>
                <w:color w:val="auto"/>
                <w:sz w:val="21"/>
                <w:szCs w:val="21"/>
              </w:rPr>
              <w:t>（投标人评标价－评标基准价）</w:t>
            </w:r>
            <w:r>
              <w:rPr>
                <w:color w:val="auto"/>
                <w:sz w:val="21"/>
                <w:szCs w:val="21"/>
              </w:rPr>
              <w:t>/</w:t>
            </w:r>
            <w:r>
              <w:rPr>
                <w:rFonts w:hint="eastAsia"/>
                <w:color w:val="auto"/>
                <w:sz w:val="21"/>
                <w:szCs w:val="21"/>
              </w:rPr>
              <w:t>评标基准价</w:t>
            </w:r>
          </w:p>
          <w:p>
            <w:pPr>
              <w:pStyle w:val="2"/>
              <w:spacing w:line="360" w:lineRule="exact"/>
              <w:ind w:firstLine="210" w:firstLineChars="100"/>
              <w:contextualSpacing/>
              <w:rPr>
                <w:rFonts w:hint="eastAsia"/>
                <w:color w:val="auto"/>
                <w:sz w:val="21"/>
                <w:szCs w:val="21"/>
              </w:rPr>
            </w:pPr>
            <w:r>
              <w:rPr>
                <w:rFonts w:hint="eastAsia"/>
                <w:color w:val="auto"/>
                <w:sz w:val="21"/>
                <w:szCs w:val="21"/>
              </w:rPr>
              <w:t>偏差率保留</w:t>
            </w:r>
            <w:r>
              <w:rPr>
                <w:rFonts w:hint="eastAsia"/>
                <w:color w:val="auto"/>
                <w:sz w:val="21"/>
                <w:szCs w:val="21"/>
                <w:u w:val="single"/>
              </w:rPr>
              <w:t xml:space="preserve"> </w:t>
            </w:r>
            <w:r>
              <w:rPr>
                <w:rFonts w:hint="eastAsia"/>
                <w:color w:val="auto"/>
                <w:sz w:val="21"/>
                <w:szCs w:val="21"/>
                <w:u w:val="single"/>
                <w:lang w:val="en-US" w:eastAsia="zh-CN"/>
              </w:rPr>
              <w:t>9</w:t>
            </w:r>
            <w:r>
              <w:rPr>
                <w:rFonts w:hint="eastAsia"/>
                <w:color w:val="auto"/>
                <w:sz w:val="21"/>
                <w:szCs w:val="21"/>
                <w:u w:val="single"/>
              </w:rPr>
              <w:t xml:space="preserve"> </w:t>
            </w:r>
            <w:r>
              <w:rPr>
                <w:rFonts w:hint="eastAsia"/>
                <w:color w:val="auto"/>
                <w:sz w:val="21"/>
                <w:szCs w:val="21"/>
              </w:rPr>
              <w:t>位小数</w:t>
            </w:r>
          </w:p>
        </w:tc>
      </w:tr>
    </w:tbl>
    <w:p>
      <w:pPr>
        <w:adjustRightInd w:val="0"/>
        <w:contextualSpacing/>
        <w:jc w:val="center"/>
        <w:rPr>
          <w:rFonts w:ascii="宋体" w:hAnsi="宋体"/>
          <w:b/>
          <w:sz w:val="28"/>
          <w:szCs w:val="28"/>
        </w:rPr>
        <w:sectPr>
          <w:pgSz w:w="11907" w:h="16840"/>
          <w:pgMar w:top="1418" w:right="1418" w:bottom="1418" w:left="1588" w:header="851" w:footer="992" w:gutter="0"/>
          <w:cols w:space="720" w:num="1"/>
          <w:docGrid w:linePitch="360" w:charSpace="0"/>
        </w:sectPr>
      </w:pPr>
    </w:p>
    <w:p>
      <w:pPr>
        <w:adjustRightInd w:val="0"/>
        <w:contextualSpacing/>
        <w:jc w:val="center"/>
        <w:rPr>
          <w:rFonts w:hint="eastAsia" w:ascii="宋体" w:hAnsi="宋体"/>
          <w:b/>
          <w:sz w:val="28"/>
          <w:szCs w:val="28"/>
        </w:rPr>
      </w:pPr>
      <w:r>
        <w:rPr>
          <w:rFonts w:ascii="宋体" w:hAnsi="宋体"/>
          <w:b/>
          <w:sz w:val="28"/>
          <w:szCs w:val="28"/>
        </w:rPr>
        <w:t>评审因素</w:t>
      </w:r>
      <w:r>
        <w:rPr>
          <w:rFonts w:hint="eastAsia" w:ascii="宋体" w:hAnsi="宋体"/>
          <w:b/>
          <w:sz w:val="28"/>
          <w:szCs w:val="28"/>
        </w:rPr>
        <w:t>、</w:t>
      </w:r>
      <w:r>
        <w:rPr>
          <w:rFonts w:ascii="宋体" w:hAnsi="宋体"/>
          <w:b/>
          <w:sz w:val="28"/>
          <w:szCs w:val="28"/>
        </w:rPr>
        <w:t>评分值</w:t>
      </w:r>
      <w:r>
        <w:rPr>
          <w:rFonts w:hint="eastAsia" w:ascii="宋体" w:hAnsi="宋体"/>
          <w:b/>
          <w:sz w:val="28"/>
          <w:szCs w:val="28"/>
        </w:rPr>
        <w:t>、</w:t>
      </w:r>
      <w:r>
        <w:rPr>
          <w:rFonts w:ascii="宋体" w:hAnsi="宋体"/>
          <w:b/>
          <w:sz w:val="28"/>
          <w:szCs w:val="28"/>
        </w:rPr>
        <w:t>评</w:t>
      </w:r>
      <w:r>
        <w:rPr>
          <w:rFonts w:hint="eastAsia" w:ascii="宋体" w:hAnsi="宋体"/>
          <w:b/>
          <w:sz w:val="28"/>
          <w:szCs w:val="28"/>
        </w:rPr>
        <w:t>分标准</w:t>
      </w:r>
    </w:p>
    <w:p>
      <w:pPr>
        <w:adjustRightInd w:val="0"/>
        <w:contextualSpacing/>
        <w:jc w:val="center"/>
        <w:rPr>
          <w:rFonts w:hint="eastAsia" w:ascii="宋体" w:hAnsi="宋体"/>
          <w:sz w:val="24"/>
        </w:rPr>
      </w:pPr>
      <w:r>
        <w:rPr>
          <w:rFonts w:ascii="宋体" w:hAnsi="宋体"/>
          <w:sz w:val="24"/>
        </w:rPr>
        <w:t>（适用SJ</w:t>
      </w:r>
      <w:r>
        <w:rPr>
          <w:rFonts w:hint="eastAsia" w:ascii="宋体" w:hAnsi="宋体"/>
          <w:sz w:val="24"/>
        </w:rPr>
        <w:t>1、</w:t>
      </w:r>
      <w:r>
        <w:rPr>
          <w:rFonts w:ascii="宋体" w:hAnsi="宋体"/>
          <w:sz w:val="24"/>
        </w:rPr>
        <w:t>SJ</w:t>
      </w:r>
      <w:r>
        <w:rPr>
          <w:rFonts w:hint="eastAsia" w:ascii="宋体" w:hAnsi="宋体"/>
          <w:sz w:val="24"/>
        </w:rPr>
        <w:t>2</w:t>
      </w:r>
      <w:r>
        <w:rPr>
          <w:rFonts w:ascii="宋体" w:hAnsi="宋体"/>
          <w:sz w:val="24"/>
        </w:rPr>
        <w:t>标</w:t>
      </w:r>
      <w:r>
        <w:rPr>
          <w:rFonts w:hint="eastAsia" w:ascii="宋体" w:hAnsi="宋体"/>
          <w:sz w:val="24"/>
        </w:rPr>
        <w:t>段</w:t>
      </w:r>
      <w:r>
        <w:rPr>
          <w:rFonts w:ascii="宋体" w:hAnsi="宋体"/>
          <w:sz w:val="24"/>
        </w:rPr>
        <w:t>）</w:t>
      </w:r>
    </w:p>
    <w:p>
      <w:pPr>
        <w:adjustRightInd w:val="0"/>
        <w:contextualSpacing/>
        <w:jc w:val="right"/>
        <w:rPr>
          <w:rFonts w:hint="eastAsia" w:ascii="宋体" w:hAnsi="宋体"/>
          <w:sz w:val="21"/>
        </w:rPr>
      </w:pPr>
      <w:r>
        <w:rPr>
          <w:rFonts w:hint="eastAsia" w:ascii="宋体" w:hAnsi="宋体" w:cs="宋体"/>
          <w:sz w:val="21"/>
          <w:szCs w:val="21"/>
        </w:rPr>
        <w:t>续上表</w:t>
      </w:r>
    </w:p>
    <w:tbl>
      <w:tblPr>
        <w:tblStyle w:val="10"/>
        <w:tblW w:w="924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713"/>
        <w:gridCol w:w="275"/>
        <w:gridCol w:w="439"/>
        <w:gridCol w:w="709"/>
        <w:gridCol w:w="1133"/>
        <w:gridCol w:w="705"/>
        <w:gridCol w:w="715"/>
        <w:gridCol w:w="567"/>
        <w:gridCol w:w="39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82" w:hRule="atLeast"/>
          <w:tblHeader/>
          <w:jc w:val="center"/>
        </w:trPr>
        <w:tc>
          <w:tcPr>
            <w:tcW w:w="713" w:type="dxa"/>
            <w:vMerge w:val="restart"/>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条款号</w:t>
            </w:r>
          </w:p>
        </w:tc>
        <w:tc>
          <w:tcPr>
            <w:tcW w:w="4543" w:type="dxa"/>
            <w:gridSpan w:val="7"/>
            <w:noWrap w:val="0"/>
            <w:vAlign w:val="center"/>
          </w:tcPr>
          <w:p>
            <w:pPr>
              <w:adjustRightInd w:val="0"/>
              <w:spacing w:line="360" w:lineRule="exact"/>
              <w:contextualSpacing/>
              <w:jc w:val="center"/>
              <w:rPr>
                <w:rFonts w:hint="eastAsia" w:ascii="宋体" w:hAnsi="宋体"/>
                <w:b/>
                <w:sz w:val="21"/>
                <w:szCs w:val="21"/>
              </w:rPr>
            </w:pPr>
            <w:r>
              <w:rPr>
                <w:rFonts w:hint="eastAsia" w:ascii="宋体" w:hAnsi="宋体"/>
                <w:b/>
                <w:sz w:val="21"/>
                <w:szCs w:val="21"/>
              </w:rPr>
              <w:t>评分因素与权重分值</w:t>
            </w:r>
          </w:p>
        </w:tc>
        <w:tc>
          <w:tcPr>
            <w:tcW w:w="3985" w:type="dxa"/>
            <w:vMerge w:val="restart"/>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5" w:hRule="atLeast"/>
          <w:tblHeader/>
          <w:jc w:val="center"/>
        </w:trPr>
        <w:tc>
          <w:tcPr>
            <w:tcW w:w="713" w:type="dxa"/>
            <w:vMerge w:val="continue"/>
            <w:noWrap w:val="0"/>
            <w:vAlign w:val="center"/>
          </w:tcPr>
          <w:p>
            <w:pPr>
              <w:adjustRightInd w:val="0"/>
              <w:spacing w:line="360" w:lineRule="exact"/>
              <w:contextualSpacing/>
              <w:jc w:val="center"/>
              <w:rPr>
                <w:rFonts w:hint="eastAsia" w:ascii="宋体" w:hAnsi="宋体"/>
                <w:b/>
                <w:sz w:val="21"/>
                <w:szCs w:val="21"/>
              </w:rPr>
            </w:pPr>
          </w:p>
        </w:tc>
        <w:tc>
          <w:tcPr>
            <w:tcW w:w="714" w:type="dxa"/>
            <w:gridSpan w:val="2"/>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评分</w:t>
            </w:r>
          </w:p>
          <w:p>
            <w:pPr>
              <w:pStyle w:val="2"/>
              <w:spacing w:line="360" w:lineRule="exact"/>
              <w:contextualSpacing/>
              <w:jc w:val="center"/>
              <w:rPr>
                <w:rFonts w:hint="eastAsia" w:hAnsi="宋体"/>
                <w:b/>
                <w:color w:val="auto"/>
                <w:sz w:val="21"/>
                <w:szCs w:val="21"/>
              </w:rPr>
            </w:pPr>
            <w:r>
              <w:rPr>
                <w:rFonts w:hint="eastAsia" w:hAnsi="宋体"/>
                <w:b/>
                <w:color w:val="auto"/>
                <w:sz w:val="21"/>
                <w:szCs w:val="21"/>
              </w:rPr>
              <w:t>因素</w:t>
            </w:r>
          </w:p>
        </w:tc>
        <w:tc>
          <w:tcPr>
            <w:tcW w:w="709" w:type="dxa"/>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评分因素权重分值</w:t>
            </w:r>
          </w:p>
        </w:tc>
        <w:tc>
          <w:tcPr>
            <w:tcW w:w="2553" w:type="dxa"/>
            <w:gridSpan w:val="3"/>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各评分因素细分项</w:t>
            </w:r>
          </w:p>
        </w:tc>
        <w:tc>
          <w:tcPr>
            <w:tcW w:w="567" w:type="dxa"/>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分值</w:t>
            </w:r>
          </w:p>
        </w:tc>
        <w:tc>
          <w:tcPr>
            <w:tcW w:w="3985" w:type="dxa"/>
            <w:vMerge w:val="continue"/>
            <w:noWrap w:val="0"/>
            <w:vAlign w:val="center"/>
          </w:tcPr>
          <w:p>
            <w:pPr>
              <w:pStyle w:val="2"/>
              <w:spacing w:line="360" w:lineRule="exact"/>
              <w:contextualSpacing/>
              <w:rPr>
                <w:rFonts w:hint="eastAsia" w:hAnsi="宋体"/>
                <w:b/>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90" w:hRule="atLeast"/>
          <w:jc w:val="center"/>
        </w:trPr>
        <w:tc>
          <w:tcPr>
            <w:tcW w:w="713" w:type="dxa"/>
            <w:vMerge w:val="restart"/>
            <w:noWrap w:val="0"/>
            <w:vAlign w:val="center"/>
          </w:tcPr>
          <w:p>
            <w:pPr>
              <w:pStyle w:val="2"/>
              <w:spacing w:line="360" w:lineRule="exact"/>
              <w:contextualSpacing/>
              <w:jc w:val="center"/>
              <w:rPr>
                <w:rFonts w:hint="eastAsia" w:hAnsi="宋体"/>
                <w:color w:val="auto"/>
                <w:sz w:val="21"/>
                <w:szCs w:val="21"/>
              </w:rPr>
            </w:pPr>
            <w:r>
              <w:rPr>
                <w:rFonts w:hAnsi="宋体"/>
                <w:color w:val="auto"/>
                <w:sz w:val="21"/>
                <w:szCs w:val="21"/>
              </w:rPr>
              <w:t>2.2.4</w:t>
            </w:r>
            <w:r>
              <w:rPr>
                <w:rFonts w:hint="eastAsia" w:hAnsi="宋体"/>
                <w:color w:val="auto"/>
                <w:sz w:val="21"/>
                <w:szCs w:val="21"/>
              </w:rPr>
              <w:t>（</w:t>
            </w:r>
            <w:r>
              <w:rPr>
                <w:rFonts w:hAnsi="宋体"/>
                <w:color w:val="auto"/>
                <w:sz w:val="21"/>
                <w:szCs w:val="21"/>
              </w:rPr>
              <w:t>1</w:t>
            </w:r>
            <w:r>
              <w:rPr>
                <w:rFonts w:hint="eastAsia" w:hAnsi="宋体"/>
                <w:color w:val="auto"/>
                <w:sz w:val="21"/>
                <w:szCs w:val="21"/>
              </w:rPr>
              <w:t>）</w:t>
            </w:r>
            <w:r>
              <w:rPr>
                <w:rFonts w:hAnsi="宋体"/>
                <w:color w:val="auto"/>
                <w:sz w:val="21"/>
                <w:szCs w:val="21"/>
              </w:rPr>
              <w:t xml:space="preserve"> </w:t>
            </w:r>
          </w:p>
        </w:tc>
        <w:tc>
          <w:tcPr>
            <w:tcW w:w="714" w:type="dxa"/>
            <w:gridSpan w:val="2"/>
            <w:vMerge w:val="restart"/>
            <w:noWrap w:val="0"/>
            <w:vAlign w:val="center"/>
          </w:tcPr>
          <w:p>
            <w:pPr>
              <w:pStyle w:val="2"/>
              <w:spacing w:line="360" w:lineRule="exact"/>
              <w:contextualSpacing/>
              <w:jc w:val="center"/>
              <w:rPr>
                <w:rFonts w:hint="eastAsia" w:hAnsi="宋体"/>
                <w:color w:val="auto"/>
                <w:sz w:val="21"/>
                <w:szCs w:val="21"/>
              </w:rPr>
            </w:pPr>
            <w:r>
              <w:rPr>
                <w:rFonts w:hint="eastAsia" w:hAnsi="宋体"/>
                <w:color w:val="auto"/>
                <w:sz w:val="21"/>
                <w:szCs w:val="21"/>
              </w:rPr>
              <w:t>技术建议书</w:t>
            </w:r>
          </w:p>
        </w:tc>
        <w:tc>
          <w:tcPr>
            <w:tcW w:w="709" w:type="dxa"/>
            <w:vMerge w:val="restart"/>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45分</w:t>
            </w:r>
          </w:p>
        </w:tc>
        <w:tc>
          <w:tcPr>
            <w:tcW w:w="2553" w:type="dxa"/>
            <w:gridSpan w:val="3"/>
            <w:noWrap w:val="0"/>
            <w:vAlign w:val="center"/>
          </w:tcPr>
          <w:p>
            <w:pPr>
              <w:adjustRightInd w:val="0"/>
              <w:spacing w:line="360" w:lineRule="exact"/>
              <w:ind w:firstLine="210" w:firstLineChars="100"/>
              <w:contextualSpacing/>
              <w:rPr>
                <w:rFonts w:hint="eastAsia" w:ascii="宋体" w:hAnsi="宋体"/>
                <w:sz w:val="21"/>
                <w:szCs w:val="21"/>
              </w:rPr>
            </w:pPr>
            <w:r>
              <w:rPr>
                <w:rFonts w:ascii="宋体" w:hAnsi="宋体"/>
                <w:sz w:val="21"/>
                <w:szCs w:val="21"/>
              </w:rPr>
              <w:t>对</w:t>
            </w:r>
            <w:r>
              <w:rPr>
                <w:rFonts w:hint="eastAsia" w:ascii="宋体" w:hAnsi="宋体"/>
                <w:sz w:val="21"/>
                <w:szCs w:val="21"/>
              </w:rPr>
              <w:t>招标</w:t>
            </w:r>
            <w:r>
              <w:rPr>
                <w:rFonts w:ascii="宋体" w:hAnsi="宋体"/>
                <w:sz w:val="21"/>
                <w:szCs w:val="21"/>
              </w:rPr>
              <w:t>项目的理解</w:t>
            </w:r>
            <w:r>
              <w:rPr>
                <w:rFonts w:hint="eastAsia" w:ascii="宋体" w:hAnsi="宋体"/>
                <w:sz w:val="21"/>
                <w:szCs w:val="21"/>
              </w:rPr>
              <w:t>和总体设计思路</w:t>
            </w:r>
          </w:p>
        </w:tc>
        <w:tc>
          <w:tcPr>
            <w:tcW w:w="567" w:type="dxa"/>
            <w:noWrap w:val="0"/>
            <w:vAlign w:val="center"/>
          </w:tcPr>
          <w:p>
            <w:pPr>
              <w:tabs>
                <w:tab w:val="left" w:pos="460"/>
              </w:tabs>
              <w:autoSpaceDE w:val="0"/>
              <w:autoSpaceDN w:val="0"/>
              <w:adjustRightInd w:val="0"/>
              <w:spacing w:line="360" w:lineRule="exact"/>
              <w:contextualSpacing/>
              <w:jc w:val="center"/>
              <w:rPr>
                <w:rFonts w:ascii="宋体" w:hAnsi="宋体"/>
                <w:sz w:val="21"/>
                <w:szCs w:val="21"/>
              </w:rPr>
            </w:pPr>
            <w:r>
              <w:rPr>
                <w:rFonts w:hint="eastAsia" w:ascii="宋体" w:hAnsi="宋体"/>
                <w:sz w:val="21"/>
                <w:szCs w:val="21"/>
              </w:rPr>
              <w:t>10</w:t>
            </w:r>
            <w:r>
              <w:rPr>
                <w:rFonts w:ascii="宋体" w:hAnsi="宋体"/>
                <w:sz w:val="21"/>
                <w:szCs w:val="21"/>
              </w:rPr>
              <w:t>分</w:t>
            </w:r>
          </w:p>
        </w:tc>
        <w:tc>
          <w:tcPr>
            <w:tcW w:w="3985" w:type="dxa"/>
            <w:noWrap w:val="0"/>
            <w:vAlign w:val="center"/>
          </w:tcPr>
          <w:p>
            <w:pPr>
              <w:adjustRightInd w:val="0"/>
              <w:spacing w:line="360" w:lineRule="exact"/>
              <w:contextualSpacing/>
              <w:rPr>
                <w:rFonts w:hint="eastAsia" w:ascii="宋体" w:hAnsi="宋体"/>
                <w:sz w:val="21"/>
                <w:szCs w:val="21"/>
              </w:rPr>
            </w:pPr>
            <w:r>
              <w:rPr>
                <w:rFonts w:hint="eastAsia" w:ascii="宋体" w:hAnsi="宋体"/>
                <w:sz w:val="21"/>
                <w:szCs w:val="21"/>
              </w:rPr>
              <w:t xml:space="preserve">    </w:t>
            </w:r>
            <w:r>
              <w:rPr>
                <w:rFonts w:ascii="宋体" w:hAnsi="宋体"/>
                <w:sz w:val="21"/>
                <w:szCs w:val="21"/>
              </w:rPr>
              <w:t>投标人对</w:t>
            </w:r>
            <w:r>
              <w:rPr>
                <w:rFonts w:hint="eastAsia" w:ascii="宋体" w:hAnsi="宋体"/>
                <w:sz w:val="21"/>
                <w:szCs w:val="21"/>
              </w:rPr>
              <w:t>招标</w:t>
            </w:r>
            <w:r>
              <w:rPr>
                <w:rFonts w:ascii="宋体" w:hAnsi="宋体"/>
                <w:sz w:val="21"/>
                <w:szCs w:val="21"/>
              </w:rPr>
              <w:t>项目</w:t>
            </w:r>
            <w:r>
              <w:rPr>
                <w:rFonts w:hint="eastAsia" w:ascii="宋体" w:hAnsi="宋体"/>
                <w:sz w:val="21"/>
                <w:szCs w:val="21"/>
              </w:rPr>
              <w:t>的（1）对项目地形地貌、水文、地质及原有道路状况等建设条件的了解；</w:t>
            </w:r>
          </w:p>
          <w:p>
            <w:pPr>
              <w:adjustRightInd w:val="0"/>
              <w:spacing w:line="360" w:lineRule="exact"/>
              <w:contextualSpacing/>
              <w:rPr>
                <w:rFonts w:hint="eastAsia" w:ascii="宋体" w:hAnsi="宋体"/>
                <w:sz w:val="21"/>
                <w:szCs w:val="21"/>
              </w:rPr>
            </w:pPr>
            <w:r>
              <w:rPr>
                <w:rFonts w:hint="eastAsia" w:ascii="宋体" w:hAnsi="宋体"/>
                <w:sz w:val="21"/>
                <w:szCs w:val="21"/>
              </w:rPr>
              <w:t xml:space="preserve">    （2）对项目沿线基本农田分布、矿藏资源分布、生态保护分布、城镇规划、重要管线分布、路网现状及规划、沿线地方政府意见等控制因素的了解；</w:t>
            </w:r>
          </w:p>
          <w:p>
            <w:pPr>
              <w:adjustRightInd w:val="0"/>
              <w:spacing w:line="360" w:lineRule="exact"/>
              <w:ind w:left="210" w:leftChars="100"/>
              <w:contextualSpacing/>
              <w:rPr>
                <w:rFonts w:hint="eastAsia" w:ascii="宋体" w:hAnsi="宋体"/>
                <w:sz w:val="21"/>
                <w:szCs w:val="21"/>
              </w:rPr>
            </w:pPr>
            <w:r>
              <w:rPr>
                <w:rFonts w:hint="eastAsia" w:ascii="宋体" w:hAnsi="宋体"/>
                <w:sz w:val="21"/>
                <w:szCs w:val="21"/>
              </w:rPr>
              <w:t xml:space="preserve">  （3）对项目总体设计思路进行阐述。</w:t>
            </w:r>
          </w:p>
          <w:p>
            <w:pPr>
              <w:adjustRightInd w:val="0"/>
              <w:spacing w:line="360" w:lineRule="exact"/>
              <w:ind w:left="210" w:leftChars="100"/>
              <w:contextualSpacing/>
              <w:rPr>
                <w:rFonts w:hint="eastAsia" w:ascii="宋体" w:hAnsi="宋体"/>
                <w:sz w:val="21"/>
                <w:szCs w:val="21"/>
              </w:rPr>
            </w:pPr>
            <w:r>
              <w:rPr>
                <w:rFonts w:hint="eastAsia" w:ascii="宋体" w:hAnsi="宋体"/>
                <w:sz w:val="21"/>
                <w:szCs w:val="21"/>
              </w:rPr>
              <w:t xml:space="preserve">  阐述得好的，得9-10分；较好，得7.5-9分；一般，得6-7.5分</w:t>
            </w:r>
            <w:r>
              <w:rPr>
                <w:rFonts w:hint="eastAsia" w:ascii="宋体" w:hAnsi="宋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05"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2553" w:type="dxa"/>
            <w:gridSpan w:val="3"/>
            <w:noWrap w:val="0"/>
            <w:vAlign w:val="center"/>
          </w:tcPr>
          <w:p>
            <w:pPr>
              <w:adjustRightInd w:val="0"/>
              <w:spacing w:line="360" w:lineRule="exact"/>
              <w:ind w:firstLine="210" w:firstLineChars="100"/>
              <w:contextualSpacing/>
              <w:rPr>
                <w:rFonts w:ascii="宋体" w:hAnsi="宋体"/>
                <w:sz w:val="21"/>
                <w:szCs w:val="21"/>
              </w:rPr>
            </w:pPr>
            <w:r>
              <w:rPr>
                <w:rFonts w:ascii="宋体" w:hAnsi="宋体"/>
                <w:sz w:val="21"/>
                <w:szCs w:val="21"/>
              </w:rPr>
              <w:t>招标项目</w:t>
            </w:r>
            <w:r>
              <w:rPr>
                <w:rFonts w:hint="eastAsia" w:ascii="宋体" w:hAnsi="宋体"/>
                <w:sz w:val="21"/>
                <w:szCs w:val="21"/>
              </w:rPr>
              <w:t>勘察设计的</w:t>
            </w:r>
            <w:r>
              <w:rPr>
                <w:rFonts w:ascii="宋体" w:hAnsi="宋体"/>
                <w:sz w:val="21"/>
                <w:szCs w:val="21"/>
              </w:rPr>
              <w:t>特点</w:t>
            </w:r>
            <w:r>
              <w:rPr>
                <w:rFonts w:hint="eastAsia" w:ascii="宋体" w:hAnsi="宋体"/>
                <w:sz w:val="21"/>
                <w:szCs w:val="21"/>
              </w:rPr>
              <w:t>、</w:t>
            </w:r>
            <w:r>
              <w:rPr>
                <w:rFonts w:ascii="宋体" w:hAnsi="宋体"/>
                <w:sz w:val="21"/>
                <w:szCs w:val="21"/>
              </w:rPr>
              <w:t>关键技术问题的认识</w:t>
            </w:r>
            <w:r>
              <w:rPr>
                <w:rFonts w:hint="eastAsia" w:ascii="宋体" w:hAnsi="宋体"/>
                <w:sz w:val="21"/>
                <w:szCs w:val="21"/>
              </w:rPr>
              <w:t>及其对策措施</w:t>
            </w:r>
          </w:p>
        </w:tc>
        <w:tc>
          <w:tcPr>
            <w:tcW w:w="567" w:type="dxa"/>
            <w:noWrap w:val="0"/>
            <w:vAlign w:val="center"/>
          </w:tcPr>
          <w:p>
            <w:pPr>
              <w:tabs>
                <w:tab w:val="left" w:pos="460"/>
              </w:tabs>
              <w:autoSpaceDE w:val="0"/>
              <w:autoSpaceDN w:val="0"/>
              <w:adjustRightInd w:val="0"/>
              <w:spacing w:line="360" w:lineRule="exact"/>
              <w:contextualSpacing/>
              <w:jc w:val="center"/>
              <w:rPr>
                <w:rFonts w:hint="eastAsia" w:ascii="宋体" w:hAnsi="宋体"/>
                <w:sz w:val="21"/>
                <w:szCs w:val="21"/>
              </w:rPr>
            </w:pPr>
            <w:r>
              <w:rPr>
                <w:rFonts w:hint="eastAsia" w:ascii="宋体" w:hAnsi="宋体"/>
                <w:sz w:val="21"/>
                <w:szCs w:val="21"/>
              </w:rPr>
              <w:t>5</w:t>
            </w:r>
            <w:r>
              <w:rPr>
                <w:rFonts w:ascii="宋体" w:hAnsi="宋体"/>
                <w:sz w:val="21"/>
                <w:szCs w:val="21"/>
              </w:rPr>
              <w:t>分</w:t>
            </w:r>
          </w:p>
        </w:tc>
        <w:tc>
          <w:tcPr>
            <w:tcW w:w="3985" w:type="dxa"/>
            <w:noWrap w:val="0"/>
            <w:vAlign w:val="center"/>
          </w:tcPr>
          <w:p>
            <w:pPr>
              <w:adjustRightInd w:val="0"/>
              <w:spacing w:line="360" w:lineRule="exact"/>
              <w:ind w:firstLine="210" w:firstLineChars="100"/>
              <w:contextualSpacing/>
              <w:rPr>
                <w:rFonts w:hint="eastAsia" w:ascii="宋体" w:hAnsi="宋体"/>
                <w:sz w:val="21"/>
                <w:szCs w:val="21"/>
              </w:rPr>
            </w:pPr>
            <w:r>
              <w:rPr>
                <w:rFonts w:hint="eastAsia" w:ascii="宋体" w:hAnsi="宋体"/>
                <w:sz w:val="21"/>
                <w:szCs w:val="21"/>
              </w:rPr>
              <w:t xml:space="preserve">  投标人对招标项目的对项目勘察设计的特点、关键技术问题的认识及其对策进行阐述，阐述得好的，得4.5-5分；较好，得3.75-4.5分；一般，得3-3.75分。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20"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2553" w:type="dxa"/>
            <w:gridSpan w:val="3"/>
            <w:noWrap w:val="0"/>
            <w:vAlign w:val="center"/>
          </w:tcPr>
          <w:p>
            <w:pPr>
              <w:adjustRightInd w:val="0"/>
              <w:spacing w:line="360" w:lineRule="exact"/>
              <w:ind w:firstLine="210" w:firstLineChars="100"/>
              <w:contextualSpacing/>
              <w:rPr>
                <w:rFonts w:hint="eastAsia" w:ascii="宋体" w:hAnsi="宋体"/>
                <w:sz w:val="21"/>
                <w:szCs w:val="21"/>
              </w:rPr>
            </w:pPr>
            <w:r>
              <w:rPr>
                <w:rFonts w:hint="eastAsia" w:ascii="宋体" w:hAnsi="宋体"/>
                <w:sz w:val="21"/>
                <w:szCs w:val="21"/>
              </w:rPr>
              <w:t>对前一阶段工作技术结论及技术方案的不同看法及建议</w:t>
            </w:r>
          </w:p>
        </w:tc>
        <w:tc>
          <w:tcPr>
            <w:tcW w:w="567" w:type="dxa"/>
            <w:noWrap w:val="0"/>
            <w:vAlign w:val="center"/>
          </w:tcPr>
          <w:p>
            <w:pPr>
              <w:tabs>
                <w:tab w:val="left" w:pos="460"/>
              </w:tabs>
              <w:autoSpaceDE w:val="0"/>
              <w:autoSpaceDN w:val="0"/>
              <w:adjustRightInd w:val="0"/>
              <w:spacing w:line="360" w:lineRule="exact"/>
              <w:contextualSpacing/>
              <w:jc w:val="center"/>
              <w:rPr>
                <w:rFonts w:ascii="宋体" w:hAnsi="宋体"/>
                <w:sz w:val="21"/>
                <w:szCs w:val="21"/>
              </w:rPr>
            </w:pPr>
            <w:r>
              <w:rPr>
                <w:rFonts w:hint="eastAsia" w:ascii="宋体" w:hAnsi="宋体"/>
                <w:sz w:val="21"/>
                <w:szCs w:val="21"/>
              </w:rPr>
              <w:t>10</w:t>
            </w:r>
            <w:r>
              <w:rPr>
                <w:rFonts w:ascii="宋体" w:hAnsi="宋体"/>
                <w:sz w:val="21"/>
                <w:szCs w:val="21"/>
              </w:rPr>
              <w:t>分</w:t>
            </w:r>
          </w:p>
        </w:tc>
        <w:tc>
          <w:tcPr>
            <w:tcW w:w="3985" w:type="dxa"/>
            <w:noWrap w:val="0"/>
            <w:vAlign w:val="center"/>
          </w:tcPr>
          <w:p>
            <w:pPr>
              <w:adjustRightInd w:val="0"/>
              <w:ind w:firstLine="210" w:firstLineChars="100"/>
              <w:contextualSpacing/>
              <w:rPr>
                <w:rFonts w:hint="eastAsia" w:ascii="宋体" w:hAnsi="宋体"/>
                <w:sz w:val="21"/>
                <w:szCs w:val="21"/>
              </w:rPr>
            </w:pPr>
            <w:r>
              <w:rPr>
                <w:rFonts w:hint="eastAsia" w:ascii="宋体" w:hAnsi="宋体"/>
                <w:sz w:val="21"/>
                <w:szCs w:val="21"/>
              </w:rPr>
              <w:t xml:space="preserve">  对前一阶段工作技术结论及技术方案的不同看法及建议等方面进行阐述，阐述得好的，得9-10分；较好，得7.5-9分；一般，得6-7.5分。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20"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2553" w:type="dxa"/>
            <w:gridSpan w:val="3"/>
            <w:noWrap w:val="0"/>
            <w:vAlign w:val="center"/>
          </w:tcPr>
          <w:p>
            <w:pPr>
              <w:adjustRightInd w:val="0"/>
              <w:spacing w:line="360" w:lineRule="exact"/>
              <w:ind w:firstLine="210" w:firstLineChars="100"/>
              <w:contextualSpacing/>
              <w:rPr>
                <w:rFonts w:hint="eastAsia" w:ascii="宋体" w:hAnsi="宋体"/>
                <w:sz w:val="21"/>
                <w:szCs w:val="21"/>
              </w:rPr>
            </w:pPr>
            <w:r>
              <w:rPr>
                <w:rFonts w:hint="eastAsia" w:ascii="宋体" w:hAnsi="宋体"/>
                <w:sz w:val="21"/>
                <w:szCs w:val="21"/>
              </w:rPr>
              <w:t>勘察设计工作量及计划安排</w:t>
            </w:r>
          </w:p>
        </w:tc>
        <w:tc>
          <w:tcPr>
            <w:tcW w:w="567" w:type="dxa"/>
            <w:noWrap w:val="0"/>
            <w:vAlign w:val="center"/>
          </w:tcPr>
          <w:p>
            <w:pPr>
              <w:tabs>
                <w:tab w:val="left" w:pos="460"/>
              </w:tabs>
              <w:autoSpaceDE w:val="0"/>
              <w:autoSpaceDN w:val="0"/>
              <w:adjustRightInd w:val="0"/>
              <w:spacing w:line="360" w:lineRule="exact"/>
              <w:contextualSpacing/>
              <w:jc w:val="center"/>
              <w:rPr>
                <w:rFonts w:hint="eastAsia" w:ascii="宋体" w:hAnsi="宋体"/>
                <w:sz w:val="21"/>
                <w:szCs w:val="21"/>
              </w:rPr>
            </w:pPr>
            <w:r>
              <w:rPr>
                <w:rFonts w:hint="eastAsia" w:ascii="宋体" w:hAnsi="宋体"/>
                <w:sz w:val="21"/>
                <w:szCs w:val="21"/>
              </w:rPr>
              <w:t>3</w:t>
            </w:r>
            <w:r>
              <w:rPr>
                <w:rFonts w:ascii="宋体" w:hAnsi="宋体"/>
                <w:sz w:val="21"/>
                <w:szCs w:val="21"/>
              </w:rPr>
              <w:t>分</w:t>
            </w:r>
          </w:p>
        </w:tc>
        <w:tc>
          <w:tcPr>
            <w:tcW w:w="3985" w:type="dxa"/>
            <w:noWrap w:val="0"/>
            <w:vAlign w:val="center"/>
          </w:tcPr>
          <w:p>
            <w:pPr>
              <w:adjustRightInd w:val="0"/>
              <w:ind w:firstLine="210" w:firstLineChars="100"/>
              <w:contextualSpacing/>
              <w:rPr>
                <w:rFonts w:hint="eastAsia" w:ascii="宋体" w:hAnsi="宋体"/>
                <w:sz w:val="21"/>
                <w:szCs w:val="21"/>
              </w:rPr>
            </w:pPr>
            <w:r>
              <w:rPr>
                <w:rFonts w:hint="eastAsia" w:ascii="宋体" w:hAnsi="宋体"/>
                <w:sz w:val="21"/>
                <w:szCs w:val="21"/>
              </w:rPr>
              <w:t xml:space="preserve">  </w:t>
            </w:r>
            <w:r>
              <w:rPr>
                <w:rFonts w:ascii="宋体" w:hAnsi="宋体"/>
                <w:sz w:val="21"/>
                <w:szCs w:val="21"/>
              </w:rPr>
              <w:t>投标人对招标项目</w:t>
            </w:r>
            <w:r>
              <w:rPr>
                <w:rFonts w:hint="eastAsia" w:ascii="宋体" w:hAnsi="宋体"/>
                <w:sz w:val="21"/>
                <w:szCs w:val="21"/>
              </w:rPr>
              <w:t>的勘察设计工作量及计划安排等方面进行</w:t>
            </w:r>
            <w:r>
              <w:rPr>
                <w:rFonts w:ascii="宋体" w:hAnsi="宋体"/>
                <w:sz w:val="21"/>
                <w:szCs w:val="21"/>
              </w:rPr>
              <w:t>阐述</w:t>
            </w:r>
            <w:r>
              <w:rPr>
                <w:rFonts w:hint="eastAsia" w:ascii="宋体" w:hAnsi="宋体"/>
                <w:sz w:val="21"/>
                <w:szCs w:val="21"/>
              </w:rPr>
              <w:t>，</w:t>
            </w:r>
            <w:r>
              <w:rPr>
                <w:rFonts w:ascii="宋体" w:hAnsi="宋体"/>
                <w:sz w:val="21"/>
                <w:szCs w:val="21"/>
              </w:rPr>
              <w:t>阐述</w:t>
            </w:r>
            <w:r>
              <w:rPr>
                <w:rFonts w:hint="eastAsia" w:ascii="宋体" w:hAnsi="宋体"/>
                <w:sz w:val="21"/>
                <w:szCs w:val="21"/>
              </w:rPr>
              <w:t>得好的，</w:t>
            </w:r>
            <w:r>
              <w:rPr>
                <w:rFonts w:ascii="宋体" w:hAnsi="宋体"/>
                <w:sz w:val="21"/>
                <w:szCs w:val="21"/>
              </w:rPr>
              <w:t>得</w:t>
            </w:r>
            <w:r>
              <w:rPr>
                <w:rFonts w:hint="eastAsia" w:ascii="宋体" w:hAnsi="宋体"/>
                <w:sz w:val="21"/>
                <w:szCs w:val="21"/>
              </w:rPr>
              <w:t>2.7-3</w:t>
            </w:r>
            <w:r>
              <w:rPr>
                <w:rFonts w:hint="eastAsia" w:ascii="宋体" w:hAnsi="宋体" w:cs="宋体"/>
                <w:sz w:val="21"/>
                <w:szCs w:val="21"/>
              </w:rPr>
              <w:t>分；较好，</w:t>
            </w:r>
            <w:r>
              <w:rPr>
                <w:rFonts w:hint="eastAsia" w:ascii="宋体" w:hAnsi="宋体"/>
                <w:sz w:val="21"/>
                <w:szCs w:val="21"/>
              </w:rPr>
              <w:t>得2.25-2.7</w:t>
            </w:r>
            <w:r>
              <w:rPr>
                <w:rFonts w:hint="eastAsia" w:ascii="宋体" w:hAnsi="宋体" w:cs="宋体"/>
                <w:sz w:val="21"/>
                <w:szCs w:val="21"/>
              </w:rPr>
              <w:t>分；一般，</w:t>
            </w:r>
            <w:r>
              <w:rPr>
                <w:rFonts w:hint="eastAsia" w:ascii="宋体" w:hAnsi="宋体"/>
                <w:sz w:val="21"/>
                <w:szCs w:val="21"/>
              </w:rPr>
              <w:t>得1.8-2.25</w:t>
            </w:r>
            <w:r>
              <w:rPr>
                <w:rFonts w:hint="eastAsia" w:ascii="宋体" w:hAnsi="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65"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2553" w:type="dxa"/>
            <w:gridSpan w:val="3"/>
            <w:noWrap w:val="0"/>
            <w:vAlign w:val="center"/>
          </w:tcPr>
          <w:p>
            <w:pPr>
              <w:autoSpaceDE w:val="0"/>
              <w:autoSpaceDN w:val="0"/>
              <w:adjustRightInd w:val="0"/>
              <w:spacing w:line="360" w:lineRule="exact"/>
              <w:ind w:firstLine="105" w:firstLineChars="50"/>
              <w:contextualSpacing/>
              <w:rPr>
                <w:rFonts w:hint="eastAsia" w:ascii="宋体" w:hAnsi="宋体"/>
                <w:sz w:val="21"/>
                <w:szCs w:val="21"/>
              </w:rPr>
            </w:pPr>
            <w:r>
              <w:rPr>
                <w:rFonts w:hint="eastAsia" w:ascii="宋体" w:hAnsi="宋体"/>
                <w:sz w:val="21"/>
                <w:szCs w:val="21"/>
              </w:rPr>
              <w:t>勘察设计工作量的</w:t>
            </w:r>
            <w:r>
              <w:rPr>
                <w:rFonts w:ascii="宋体" w:hAnsi="宋体"/>
                <w:sz w:val="21"/>
                <w:szCs w:val="21"/>
              </w:rPr>
              <w:t>质量保证措施</w:t>
            </w:r>
            <w:r>
              <w:rPr>
                <w:rFonts w:hint="eastAsia" w:ascii="宋体" w:hAnsi="宋体"/>
                <w:sz w:val="21"/>
                <w:szCs w:val="21"/>
              </w:rPr>
              <w:t>、</w:t>
            </w:r>
            <w:r>
              <w:rPr>
                <w:rFonts w:ascii="宋体" w:hAnsi="宋体"/>
                <w:sz w:val="21"/>
                <w:szCs w:val="21"/>
              </w:rPr>
              <w:t>进度保证措施</w:t>
            </w:r>
            <w:r>
              <w:rPr>
                <w:rFonts w:hint="eastAsia" w:ascii="宋体" w:hAnsi="宋体"/>
                <w:sz w:val="21"/>
                <w:szCs w:val="21"/>
              </w:rPr>
              <w:t>、安全</w:t>
            </w:r>
            <w:r>
              <w:rPr>
                <w:rFonts w:ascii="宋体" w:hAnsi="宋体"/>
                <w:sz w:val="21"/>
                <w:szCs w:val="21"/>
              </w:rPr>
              <w:t>保证措施</w:t>
            </w:r>
          </w:p>
        </w:tc>
        <w:tc>
          <w:tcPr>
            <w:tcW w:w="567" w:type="dxa"/>
            <w:noWrap w:val="0"/>
            <w:vAlign w:val="center"/>
          </w:tcPr>
          <w:p>
            <w:pPr>
              <w:tabs>
                <w:tab w:val="left" w:pos="460"/>
              </w:tabs>
              <w:autoSpaceDE w:val="0"/>
              <w:autoSpaceDN w:val="0"/>
              <w:adjustRightInd w:val="0"/>
              <w:spacing w:line="360" w:lineRule="exact"/>
              <w:contextualSpacing/>
              <w:jc w:val="center"/>
              <w:rPr>
                <w:rFonts w:hint="eastAsia" w:ascii="宋体" w:hAnsi="宋体"/>
                <w:sz w:val="21"/>
                <w:szCs w:val="21"/>
              </w:rPr>
            </w:pPr>
            <w:r>
              <w:rPr>
                <w:rFonts w:hint="eastAsia" w:ascii="宋体" w:hAnsi="宋体"/>
                <w:sz w:val="21"/>
                <w:szCs w:val="21"/>
              </w:rPr>
              <w:t>4</w:t>
            </w:r>
            <w:r>
              <w:rPr>
                <w:rFonts w:ascii="宋体" w:hAnsi="宋体"/>
                <w:sz w:val="21"/>
                <w:szCs w:val="21"/>
              </w:rPr>
              <w:t>分</w:t>
            </w:r>
          </w:p>
        </w:tc>
        <w:tc>
          <w:tcPr>
            <w:tcW w:w="3985" w:type="dxa"/>
            <w:noWrap w:val="0"/>
            <w:vAlign w:val="center"/>
          </w:tcPr>
          <w:p>
            <w:pPr>
              <w:adjustRightInd w:val="0"/>
              <w:spacing w:line="360" w:lineRule="exact"/>
              <w:ind w:firstLine="210" w:firstLineChars="100"/>
              <w:contextualSpacing/>
              <w:rPr>
                <w:rFonts w:ascii="宋体" w:hAnsi="宋体"/>
                <w:sz w:val="21"/>
                <w:szCs w:val="21"/>
              </w:rPr>
            </w:pPr>
            <w:r>
              <w:rPr>
                <w:rFonts w:hint="eastAsia" w:ascii="宋体" w:hAnsi="宋体"/>
                <w:sz w:val="21"/>
                <w:szCs w:val="21"/>
              </w:rPr>
              <w:t xml:space="preserve">  </w:t>
            </w:r>
            <w:r>
              <w:rPr>
                <w:rFonts w:ascii="宋体" w:hAnsi="宋体"/>
                <w:sz w:val="21"/>
                <w:szCs w:val="21"/>
              </w:rPr>
              <w:t>投标人对招标项目</w:t>
            </w:r>
            <w:r>
              <w:rPr>
                <w:rFonts w:hint="eastAsia" w:ascii="宋体" w:hAnsi="宋体"/>
                <w:sz w:val="21"/>
                <w:szCs w:val="21"/>
              </w:rPr>
              <w:t>的勘察设计工作量及计划安排，</w:t>
            </w:r>
            <w:r>
              <w:rPr>
                <w:rFonts w:ascii="宋体" w:hAnsi="宋体"/>
                <w:sz w:val="21"/>
                <w:szCs w:val="21"/>
              </w:rPr>
              <w:t>质量</w:t>
            </w:r>
            <w:r>
              <w:rPr>
                <w:rFonts w:hint="eastAsia" w:ascii="宋体" w:hAnsi="宋体"/>
                <w:sz w:val="21"/>
                <w:szCs w:val="21"/>
              </w:rPr>
              <w:t>、</w:t>
            </w:r>
            <w:r>
              <w:rPr>
                <w:rFonts w:ascii="宋体" w:hAnsi="宋体"/>
                <w:sz w:val="21"/>
                <w:szCs w:val="21"/>
              </w:rPr>
              <w:t>进度</w:t>
            </w:r>
            <w:r>
              <w:rPr>
                <w:rFonts w:hint="eastAsia" w:ascii="宋体" w:hAnsi="宋体"/>
                <w:sz w:val="21"/>
                <w:szCs w:val="21"/>
              </w:rPr>
              <w:t>和安全</w:t>
            </w:r>
            <w:r>
              <w:rPr>
                <w:rFonts w:ascii="宋体" w:hAnsi="宋体"/>
                <w:sz w:val="21"/>
                <w:szCs w:val="21"/>
              </w:rPr>
              <w:t>保证措施</w:t>
            </w:r>
            <w:r>
              <w:rPr>
                <w:rFonts w:hint="eastAsia" w:ascii="宋体" w:hAnsi="宋体"/>
                <w:sz w:val="21"/>
                <w:szCs w:val="21"/>
              </w:rPr>
              <w:t>等方面进行</w:t>
            </w:r>
            <w:r>
              <w:rPr>
                <w:rFonts w:ascii="宋体" w:hAnsi="宋体"/>
                <w:sz w:val="21"/>
                <w:szCs w:val="21"/>
              </w:rPr>
              <w:t>阐述</w:t>
            </w:r>
            <w:r>
              <w:rPr>
                <w:rFonts w:hint="eastAsia" w:ascii="宋体" w:hAnsi="宋体"/>
                <w:sz w:val="21"/>
                <w:szCs w:val="21"/>
              </w:rPr>
              <w:t>，</w:t>
            </w:r>
            <w:r>
              <w:rPr>
                <w:rFonts w:ascii="宋体" w:hAnsi="宋体"/>
                <w:sz w:val="21"/>
                <w:szCs w:val="21"/>
              </w:rPr>
              <w:t>阐述</w:t>
            </w:r>
            <w:r>
              <w:rPr>
                <w:rFonts w:hint="eastAsia" w:ascii="宋体" w:hAnsi="宋体"/>
                <w:sz w:val="21"/>
                <w:szCs w:val="21"/>
              </w:rPr>
              <w:t>得好的，得3.6-4分；较好，得3-3.6分；一般，得2.4-3分；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5"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2553" w:type="dxa"/>
            <w:gridSpan w:val="3"/>
            <w:noWrap w:val="0"/>
            <w:vAlign w:val="center"/>
          </w:tcPr>
          <w:p>
            <w:pPr>
              <w:autoSpaceDE w:val="0"/>
              <w:autoSpaceDN w:val="0"/>
              <w:adjustRightInd w:val="0"/>
              <w:spacing w:line="360" w:lineRule="exact"/>
              <w:ind w:firstLine="105" w:firstLineChars="50"/>
              <w:contextualSpacing/>
              <w:rPr>
                <w:rFonts w:hint="eastAsia" w:ascii="宋体" w:hAnsi="宋体"/>
                <w:sz w:val="21"/>
                <w:szCs w:val="21"/>
              </w:rPr>
            </w:pPr>
            <w:r>
              <w:rPr>
                <w:rFonts w:hint="eastAsia" w:ascii="宋体" w:hAnsi="宋体"/>
                <w:sz w:val="21"/>
                <w:szCs w:val="21"/>
              </w:rPr>
              <w:t>后续服务的安排及保证措施</w:t>
            </w:r>
          </w:p>
        </w:tc>
        <w:tc>
          <w:tcPr>
            <w:tcW w:w="567" w:type="dxa"/>
            <w:noWrap w:val="0"/>
            <w:vAlign w:val="center"/>
          </w:tcPr>
          <w:p>
            <w:pPr>
              <w:tabs>
                <w:tab w:val="left" w:pos="460"/>
              </w:tabs>
              <w:autoSpaceDE w:val="0"/>
              <w:autoSpaceDN w:val="0"/>
              <w:adjustRightInd w:val="0"/>
              <w:spacing w:line="360" w:lineRule="exact"/>
              <w:contextualSpacing/>
              <w:jc w:val="center"/>
              <w:rPr>
                <w:rFonts w:ascii="宋体" w:hAnsi="宋体"/>
                <w:sz w:val="21"/>
                <w:szCs w:val="21"/>
              </w:rPr>
            </w:pPr>
            <w:r>
              <w:rPr>
                <w:rFonts w:hint="eastAsia" w:ascii="宋体" w:hAnsi="宋体"/>
                <w:sz w:val="21"/>
                <w:szCs w:val="21"/>
              </w:rPr>
              <w:t>3分</w:t>
            </w:r>
          </w:p>
        </w:tc>
        <w:tc>
          <w:tcPr>
            <w:tcW w:w="3985" w:type="dxa"/>
            <w:noWrap w:val="0"/>
            <w:vAlign w:val="center"/>
          </w:tcPr>
          <w:p>
            <w:pPr>
              <w:adjustRightInd w:val="0"/>
              <w:spacing w:line="360" w:lineRule="exact"/>
              <w:contextualSpacing/>
              <w:rPr>
                <w:rFonts w:hint="eastAsia" w:ascii="宋体" w:hAnsi="宋体"/>
                <w:sz w:val="21"/>
                <w:szCs w:val="21"/>
              </w:rPr>
            </w:pPr>
            <w:r>
              <w:rPr>
                <w:rFonts w:hint="eastAsia" w:ascii="宋体" w:hAnsi="宋体"/>
                <w:sz w:val="21"/>
                <w:szCs w:val="21"/>
              </w:rPr>
              <w:t>投标人对招标项目的后续服务安排及保证措施进行阐述，阐述得好的，</w:t>
            </w:r>
            <w:r>
              <w:rPr>
                <w:rFonts w:ascii="宋体" w:hAnsi="宋体"/>
                <w:sz w:val="21"/>
                <w:szCs w:val="21"/>
              </w:rPr>
              <w:t>得</w:t>
            </w:r>
            <w:r>
              <w:rPr>
                <w:rFonts w:hint="eastAsia" w:ascii="宋体" w:hAnsi="宋体"/>
                <w:sz w:val="21"/>
                <w:szCs w:val="21"/>
              </w:rPr>
              <w:t>2.7-3</w:t>
            </w:r>
            <w:r>
              <w:rPr>
                <w:rFonts w:hint="eastAsia" w:ascii="宋体" w:hAnsi="宋体" w:cs="宋体"/>
                <w:sz w:val="21"/>
                <w:szCs w:val="21"/>
              </w:rPr>
              <w:t>分；较好，</w:t>
            </w:r>
            <w:r>
              <w:rPr>
                <w:rFonts w:hint="eastAsia" w:ascii="宋体" w:hAnsi="宋体"/>
                <w:sz w:val="21"/>
                <w:szCs w:val="21"/>
              </w:rPr>
              <w:t>得2.25-2.7</w:t>
            </w:r>
            <w:r>
              <w:rPr>
                <w:rFonts w:hint="eastAsia" w:ascii="宋体" w:hAnsi="宋体" w:cs="宋体"/>
                <w:sz w:val="21"/>
                <w:szCs w:val="21"/>
              </w:rPr>
              <w:t>分；一般，</w:t>
            </w:r>
            <w:r>
              <w:rPr>
                <w:rFonts w:hint="eastAsia" w:ascii="宋体" w:hAnsi="宋体"/>
                <w:sz w:val="21"/>
                <w:szCs w:val="21"/>
              </w:rPr>
              <w:t>得1.8-2.25</w:t>
            </w:r>
            <w:r>
              <w:rPr>
                <w:rFonts w:hint="eastAsia" w:ascii="宋体" w:hAnsi="宋体" w:cs="宋体"/>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0"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2553" w:type="dxa"/>
            <w:gridSpan w:val="3"/>
            <w:noWrap w:val="0"/>
            <w:vAlign w:val="center"/>
          </w:tcPr>
          <w:p>
            <w:pPr>
              <w:adjustRightInd w:val="0"/>
              <w:spacing w:line="360" w:lineRule="exact"/>
              <w:ind w:firstLine="210" w:firstLineChars="100"/>
              <w:contextualSpacing/>
              <w:rPr>
                <w:rFonts w:ascii="宋体" w:hAnsi="宋体"/>
                <w:sz w:val="21"/>
                <w:szCs w:val="21"/>
              </w:rPr>
            </w:pPr>
            <w:r>
              <w:rPr>
                <w:rFonts w:hint="eastAsia" w:ascii="宋体" w:hAnsi="宋体"/>
                <w:sz w:val="21"/>
                <w:szCs w:val="21"/>
              </w:rPr>
              <w:t>技术方案及必要的图纸</w:t>
            </w:r>
          </w:p>
        </w:tc>
        <w:tc>
          <w:tcPr>
            <w:tcW w:w="567" w:type="dxa"/>
            <w:noWrap w:val="0"/>
            <w:vAlign w:val="center"/>
          </w:tcPr>
          <w:p>
            <w:pPr>
              <w:tabs>
                <w:tab w:val="left" w:pos="460"/>
              </w:tabs>
              <w:autoSpaceDE w:val="0"/>
              <w:autoSpaceDN w:val="0"/>
              <w:adjustRightInd w:val="0"/>
              <w:spacing w:line="360" w:lineRule="exact"/>
              <w:contextualSpacing/>
              <w:jc w:val="center"/>
              <w:rPr>
                <w:rFonts w:hint="eastAsia" w:ascii="宋体" w:hAnsi="宋体"/>
                <w:sz w:val="21"/>
                <w:szCs w:val="21"/>
              </w:rPr>
            </w:pPr>
            <w:r>
              <w:rPr>
                <w:rFonts w:hint="eastAsia" w:ascii="宋体" w:hAnsi="宋体"/>
                <w:sz w:val="21"/>
                <w:szCs w:val="21"/>
              </w:rPr>
              <w:t>10分</w:t>
            </w:r>
          </w:p>
        </w:tc>
        <w:tc>
          <w:tcPr>
            <w:tcW w:w="3985" w:type="dxa"/>
            <w:noWrap w:val="0"/>
            <w:vAlign w:val="center"/>
          </w:tcPr>
          <w:p>
            <w:pPr>
              <w:adjustRightInd w:val="0"/>
              <w:spacing w:line="360" w:lineRule="exact"/>
              <w:ind w:firstLine="210" w:firstLineChars="100"/>
              <w:contextualSpacing/>
              <w:rPr>
                <w:rFonts w:hint="eastAsia" w:ascii="宋体" w:hAnsi="宋体"/>
                <w:sz w:val="21"/>
                <w:szCs w:val="21"/>
              </w:rPr>
            </w:pPr>
            <w:r>
              <w:rPr>
                <w:rFonts w:hint="eastAsia" w:ascii="宋体" w:hAnsi="宋体"/>
                <w:sz w:val="21"/>
                <w:szCs w:val="21"/>
              </w:rPr>
              <w:t>路线平纵面、桥隧布设、排水防护工程方案设计合理，估算准确全面，经济指标合理，阐述得好的，得9-10分；较好，得7.5-9分；一般，得6-7.5分。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19" w:hRule="atLeast"/>
          <w:jc w:val="center"/>
        </w:trPr>
        <w:tc>
          <w:tcPr>
            <w:tcW w:w="713" w:type="dxa"/>
            <w:vMerge w:val="restart"/>
            <w:noWrap w:val="0"/>
            <w:vAlign w:val="center"/>
          </w:tcPr>
          <w:p>
            <w:pPr>
              <w:pStyle w:val="2"/>
              <w:spacing w:line="360" w:lineRule="exact"/>
              <w:contextualSpacing/>
              <w:jc w:val="center"/>
              <w:rPr>
                <w:rFonts w:hint="eastAsia" w:hAnsi="宋体"/>
                <w:color w:val="auto"/>
                <w:sz w:val="21"/>
                <w:szCs w:val="21"/>
              </w:rPr>
            </w:pPr>
            <w:bookmarkStart w:id="2" w:name="page71"/>
            <w:bookmarkEnd w:id="2"/>
            <w:r>
              <w:rPr>
                <w:rFonts w:hAnsi="宋体"/>
                <w:color w:val="auto"/>
                <w:sz w:val="21"/>
                <w:szCs w:val="21"/>
              </w:rPr>
              <w:t>2.2.4</w:t>
            </w:r>
            <w:r>
              <w:rPr>
                <w:rFonts w:hint="eastAsia" w:hAnsi="宋体"/>
                <w:color w:val="auto"/>
                <w:sz w:val="21"/>
                <w:szCs w:val="21"/>
              </w:rPr>
              <w:t>（2）</w:t>
            </w:r>
            <w:r>
              <w:rPr>
                <w:rFonts w:hAnsi="宋体"/>
                <w:color w:val="auto"/>
                <w:sz w:val="21"/>
                <w:szCs w:val="21"/>
              </w:rPr>
              <w:t xml:space="preserve"> </w:t>
            </w:r>
          </w:p>
        </w:tc>
        <w:tc>
          <w:tcPr>
            <w:tcW w:w="714" w:type="dxa"/>
            <w:gridSpan w:val="2"/>
            <w:vMerge w:val="restart"/>
            <w:noWrap w:val="0"/>
            <w:vAlign w:val="center"/>
          </w:tcPr>
          <w:p>
            <w:pPr>
              <w:pStyle w:val="2"/>
              <w:spacing w:line="360" w:lineRule="exact"/>
              <w:contextualSpacing/>
              <w:jc w:val="center"/>
              <w:rPr>
                <w:rFonts w:hint="eastAsia"/>
                <w:color w:val="auto"/>
                <w:sz w:val="21"/>
                <w:szCs w:val="21"/>
              </w:rPr>
            </w:pPr>
            <w:r>
              <w:rPr>
                <w:rFonts w:hint="eastAsia"/>
                <w:color w:val="auto"/>
                <w:sz w:val="21"/>
                <w:szCs w:val="21"/>
              </w:rPr>
              <w:t>主要</w:t>
            </w:r>
          </w:p>
          <w:p>
            <w:pPr>
              <w:pStyle w:val="2"/>
              <w:spacing w:line="360" w:lineRule="exact"/>
              <w:contextualSpacing/>
              <w:jc w:val="center"/>
              <w:rPr>
                <w:rFonts w:hint="eastAsia"/>
                <w:color w:val="auto"/>
                <w:sz w:val="21"/>
                <w:szCs w:val="21"/>
              </w:rPr>
            </w:pPr>
            <w:r>
              <w:rPr>
                <w:rFonts w:hint="eastAsia"/>
                <w:color w:val="auto"/>
                <w:sz w:val="21"/>
                <w:szCs w:val="21"/>
              </w:rPr>
              <w:t>人员</w:t>
            </w:r>
          </w:p>
        </w:tc>
        <w:tc>
          <w:tcPr>
            <w:tcW w:w="709" w:type="dxa"/>
            <w:vMerge w:val="restart"/>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25分</w:t>
            </w:r>
          </w:p>
        </w:tc>
        <w:tc>
          <w:tcPr>
            <w:tcW w:w="1133" w:type="dxa"/>
            <w:vMerge w:val="restart"/>
            <w:noWrap w:val="0"/>
            <w:vAlign w:val="center"/>
          </w:tcPr>
          <w:p>
            <w:pPr>
              <w:pStyle w:val="2"/>
              <w:jc w:val="center"/>
              <w:rPr>
                <w:rFonts w:hint="eastAsia"/>
                <w:color w:val="auto"/>
                <w:sz w:val="21"/>
                <w:szCs w:val="21"/>
              </w:rPr>
            </w:pPr>
            <w:r>
              <w:rPr>
                <w:rFonts w:hint="eastAsia" w:ascii="Calibri" w:hAnsi="Calibri" w:cs="Arial"/>
                <w:color w:val="auto"/>
                <w:sz w:val="21"/>
                <w:szCs w:val="21"/>
              </w:rPr>
              <w:t>项目负责人任职资格与业绩</w:t>
            </w:r>
          </w:p>
        </w:tc>
        <w:tc>
          <w:tcPr>
            <w:tcW w:w="1420" w:type="dxa"/>
            <w:gridSpan w:val="2"/>
            <w:noWrap w:val="0"/>
            <w:vAlign w:val="center"/>
          </w:tcPr>
          <w:p>
            <w:pPr>
              <w:autoSpaceDE w:val="0"/>
              <w:autoSpaceDN w:val="0"/>
              <w:adjustRightInd w:val="0"/>
              <w:spacing w:line="360" w:lineRule="exact"/>
              <w:contextualSpacing/>
              <w:jc w:val="center"/>
              <w:rPr>
                <w:sz w:val="21"/>
                <w:szCs w:val="21"/>
              </w:rPr>
            </w:pPr>
            <w:r>
              <w:rPr>
                <w:sz w:val="21"/>
                <w:szCs w:val="21"/>
              </w:rPr>
              <w:t>基本分</w:t>
            </w:r>
          </w:p>
        </w:tc>
        <w:tc>
          <w:tcPr>
            <w:tcW w:w="567" w:type="dxa"/>
            <w:noWrap w:val="0"/>
            <w:vAlign w:val="center"/>
          </w:tcPr>
          <w:p>
            <w:pPr>
              <w:tabs>
                <w:tab w:val="left" w:pos="460"/>
              </w:tabs>
              <w:autoSpaceDE w:val="0"/>
              <w:autoSpaceDN w:val="0"/>
              <w:adjustRightInd w:val="0"/>
              <w:spacing w:line="360" w:lineRule="exact"/>
              <w:contextualSpacing/>
              <w:jc w:val="center"/>
              <w:rPr>
                <w:sz w:val="21"/>
                <w:szCs w:val="21"/>
              </w:rPr>
            </w:pPr>
            <w:r>
              <w:rPr>
                <w:rFonts w:hint="eastAsia"/>
                <w:sz w:val="21"/>
                <w:szCs w:val="21"/>
              </w:rPr>
              <w:t>15</w:t>
            </w:r>
            <w:r>
              <w:rPr>
                <w:sz w:val="21"/>
                <w:szCs w:val="21"/>
              </w:rPr>
              <w:t>分</w:t>
            </w:r>
          </w:p>
        </w:tc>
        <w:tc>
          <w:tcPr>
            <w:tcW w:w="3985" w:type="dxa"/>
            <w:noWrap w:val="0"/>
            <w:vAlign w:val="center"/>
          </w:tcPr>
          <w:p>
            <w:pPr>
              <w:adjustRightInd w:val="0"/>
              <w:spacing w:line="360" w:lineRule="exact"/>
              <w:ind w:firstLine="210" w:firstLineChars="100"/>
              <w:contextualSpacing/>
              <w:rPr>
                <w:rFonts w:hint="eastAsia"/>
                <w:sz w:val="21"/>
                <w:szCs w:val="21"/>
              </w:rPr>
            </w:pPr>
            <w:r>
              <w:rPr>
                <w:sz w:val="21"/>
                <w:szCs w:val="21"/>
              </w:rPr>
              <w:t>满足招标文件资格审查条件最低要求</w:t>
            </w:r>
            <w:r>
              <w:rPr>
                <w:rFonts w:hint="eastAsia"/>
                <w:sz w:val="21"/>
                <w:szCs w:val="21"/>
              </w:rPr>
              <w:t>的</w:t>
            </w:r>
            <w:r>
              <w:rPr>
                <w:sz w:val="21"/>
                <w:szCs w:val="21"/>
              </w:rPr>
              <w:t>，得基本分</w:t>
            </w:r>
            <w:r>
              <w:rPr>
                <w:rFonts w:hint="eastAsia"/>
                <w:sz w:val="21"/>
                <w:szCs w:val="21"/>
              </w:rPr>
              <w:t>15</w:t>
            </w:r>
            <w:r>
              <w:rPr>
                <w:sz w:val="21"/>
                <w:szCs w:val="21"/>
              </w:rPr>
              <w:t>分</w:t>
            </w: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20"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1133" w:type="dxa"/>
            <w:vMerge w:val="continue"/>
            <w:noWrap w:val="0"/>
            <w:vAlign w:val="center"/>
          </w:tcPr>
          <w:p>
            <w:pPr>
              <w:pStyle w:val="2"/>
              <w:spacing w:line="360" w:lineRule="exact"/>
              <w:ind w:firstLine="210" w:firstLineChars="100"/>
              <w:contextualSpacing/>
              <w:rPr>
                <w:rFonts w:hint="eastAsia" w:hAnsi="宋体"/>
                <w:color w:val="auto"/>
                <w:sz w:val="21"/>
                <w:szCs w:val="21"/>
              </w:rPr>
            </w:pPr>
          </w:p>
        </w:tc>
        <w:tc>
          <w:tcPr>
            <w:tcW w:w="1420" w:type="dxa"/>
            <w:gridSpan w:val="2"/>
            <w:noWrap w:val="0"/>
            <w:vAlign w:val="center"/>
          </w:tcPr>
          <w:p>
            <w:pPr>
              <w:autoSpaceDE w:val="0"/>
              <w:autoSpaceDN w:val="0"/>
              <w:adjustRightInd w:val="0"/>
              <w:spacing w:line="360" w:lineRule="exact"/>
              <w:contextualSpacing/>
              <w:jc w:val="center"/>
              <w:rPr>
                <w:rFonts w:hint="eastAsia" w:ascii="宋体" w:hAnsi="宋体"/>
                <w:sz w:val="21"/>
                <w:szCs w:val="21"/>
              </w:rPr>
            </w:pPr>
            <w:r>
              <w:rPr>
                <w:sz w:val="21"/>
                <w:szCs w:val="21"/>
              </w:rPr>
              <w:t>项目负责人</w:t>
            </w:r>
          </w:p>
        </w:tc>
        <w:tc>
          <w:tcPr>
            <w:tcW w:w="567" w:type="dxa"/>
            <w:noWrap w:val="0"/>
            <w:vAlign w:val="center"/>
          </w:tcPr>
          <w:p>
            <w:pPr>
              <w:tabs>
                <w:tab w:val="left" w:pos="460"/>
              </w:tabs>
              <w:autoSpaceDE w:val="0"/>
              <w:autoSpaceDN w:val="0"/>
              <w:adjustRightInd w:val="0"/>
              <w:spacing w:line="360" w:lineRule="exact"/>
              <w:contextualSpacing/>
              <w:jc w:val="center"/>
              <w:rPr>
                <w:rFonts w:ascii="宋体" w:hAnsi="宋体"/>
                <w:sz w:val="21"/>
                <w:szCs w:val="21"/>
              </w:rPr>
            </w:pPr>
            <w:r>
              <w:rPr>
                <w:rFonts w:hint="eastAsia"/>
                <w:sz w:val="21"/>
                <w:szCs w:val="21"/>
              </w:rPr>
              <w:t>10</w:t>
            </w:r>
            <w:r>
              <w:rPr>
                <w:sz w:val="21"/>
                <w:szCs w:val="21"/>
              </w:rPr>
              <w:t>分</w:t>
            </w:r>
          </w:p>
        </w:tc>
        <w:tc>
          <w:tcPr>
            <w:tcW w:w="3985" w:type="dxa"/>
            <w:noWrap w:val="0"/>
            <w:vAlign w:val="center"/>
          </w:tcPr>
          <w:p>
            <w:pPr>
              <w:numPr>
                <w:ilvl w:val="0"/>
                <w:numId w:val="2"/>
              </w:numPr>
              <w:adjustRightInd w:val="0"/>
              <w:spacing w:line="360" w:lineRule="exact"/>
              <w:ind w:firstLine="210"/>
              <w:contextualSpacing/>
              <w:rPr>
                <w:rFonts w:hint="eastAsia"/>
                <w:sz w:val="21"/>
                <w:szCs w:val="21"/>
              </w:rPr>
            </w:pPr>
            <w:r>
              <w:rPr>
                <w:sz w:val="21"/>
                <w:szCs w:val="21"/>
              </w:rPr>
              <w:t>教授级高级工程师担任项目负责人的加</w:t>
            </w:r>
            <w:r>
              <w:rPr>
                <w:rFonts w:hint="eastAsia"/>
                <w:sz w:val="21"/>
                <w:szCs w:val="21"/>
              </w:rPr>
              <w:t>2</w:t>
            </w:r>
            <w:r>
              <w:rPr>
                <w:sz w:val="21"/>
                <w:szCs w:val="21"/>
              </w:rPr>
              <w:t>分</w:t>
            </w:r>
            <w:r>
              <w:rPr>
                <w:rFonts w:hint="eastAsia"/>
                <w:sz w:val="21"/>
                <w:szCs w:val="21"/>
              </w:rPr>
              <w:t>。</w:t>
            </w:r>
          </w:p>
          <w:p>
            <w:pPr>
              <w:numPr>
                <w:ilvl w:val="0"/>
                <w:numId w:val="2"/>
              </w:numPr>
              <w:adjustRightInd w:val="0"/>
              <w:spacing w:line="360" w:lineRule="exact"/>
              <w:ind w:firstLine="210"/>
              <w:contextualSpacing/>
              <w:rPr>
                <w:rFonts w:hint="eastAsia"/>
                <w:sz w:val="21"/>
                <w:szCs w:val="21"/>
              </w:rPr>
            </w:pPr>
            <w:r>
              <w:rPr>
                <w:rFonts w:hint="eastAsia"/>
                <w:sz w:val="21"/>
                <w:szCs w:val="21"/>
              </w:rPr>
              <w:t>项目负责人具有注册土木工程师（道路工程）执业资格证书的加2分</w:t>
            </w:r>
            <w:r>
              <w:rPr>
                <w:sz w:val="21"/>
                <w:szCs w:val="21"/>
              </w:rPr>
              <w:t>。</w:t>
            </w:r>
          </w:p>
          <w:p>
            <w:pPr>
              <w:adjustRightInd w:val="0"/>
              <w:spacing w:line="360" w:lineRule="exact"/>
              <w:ind w:firstLine="210" w:firstLineChars="100"/>
              <w:contextualSpacing/>
              <w:rPr>
                <w:rFonts w:hint="eastAsia"/>
                <w:sz w:val="21"/>
                <w:szCs w:val="21"/>
              </w:rPr>
            </w:pPr>
            <w:r>
              <w:rPr>
                <w:sz w:val="21"/>
                <w:szCs w:val="21"/>
              </w:rPr>
              <w:t>（</w:t>
            </w:r>
            <w:r>
              <w:rPr>
                <w:rFonts w:hint="eastAsia"/>
                <w:sz w:val="21"/>
                <w:szCs w:val="21"/>
              </w:rPr>
              <w:t>3</w:t>
            </w:r>
            <w:r>
              <w:rPr>
                <w:sz w:val="21"/>
                <w:szCs w:val="21"/>
              </w:rPr>
              <w:t>）项目负责人</w:t>
            </w:r>
            <w:r>
              <w:rPr>
                <w:rFonts w:hint="eastAsia"/>
                <w:sz w:val="21"/>
                <w:szCs w:val="21"/>
              </w:rPr>
              <w:t>的业绩</w:t>
            </w:r>
            <w:r>
              <w:rPr>
                <w:sz w:val="21"/>
                <w:szCs w:val="21"/>
              </w:rPr>
              <w:t>满足招标文件资格审查条件最低要求</w:t>
            </w:r>
            <w:r>
              <w:rPr>
                <w:rFonts w:hint="eastAsia"/>
                <w:sz w:val="21"/>
                <w:szCs w:val="21"/>
              </w:rPr>
              <w:t>基础上</w:t>
            </w:r>
            <w:r>
              <w:rPr>
                <w:sz w:val="21"/>
                <w:szCs w:val="21"/>
              </w:rPr>
              <w:t>，每增加1个</w:t>
            </w:r>
            <w:r>
              <w:rPr>
                <w:rFonts w:hint="eastAsia"/>
                <w:sz w:val="21"/>
                <w:szCs w:val="21"/>
              </w:rPr>
              <w:t>类似</w:t>
            </w:r>
            <w:r>
              <w:rPr>
                <w:sz w:val="21"/>
                <w:szCs w:val="21"/>
              </w:rPr>
              <w:t>业绩，加</w:t>
            </w:r>
            <w:r>
              <w:rPr>
                <w:rFonts w:hint="eastAsia"/>
                <w:sz w:val="21"/>
                <w:szCs w:val="21"/>
                <w:lang w:val="en-US" w:eastAsia="zh-CN"/>
              </w:rPr>
              <w:t>3</w:t>
            </w:r>
            <w:r>
              <w:rPr>
                <w:sz w:val="21"/>
                <w:szCs w:val="21"/>
              </w:rPr>
              <w:t>分，最多加</w:t>
            </w:r>
            <w:r>
              <w:rPr>
                <w:rFonts w:hint="eastAsia"/>
                <w:sz w:val="21"/>
                <w:szCs w:val="21"/>
              </w:rPr>
              <w:t>6</w:t>
            </w:r>
            <w:r>
              <w:rPr>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289" w:hRule="atLeast"/>
          <w:jc w:val="center"/>
        </w:trPr>
        <w:tc>
          <w:tcPr>
            <w:tcW w:w="713" w:type="dxa"/>
            <w:noWrap w:val="0"/>
            <w:vAlign w:val="center"/>
          </w:tcPr>
          <w:p>
            <w:pPr>
              <w:pStyle w:val="2"/>
              <w:spacing w:line="360" w:lineRule="exact"/>
              <w:contextualSpacing/>
              <w:jc w:val="center"/>
              <w:rPr>
                <w:rFonts w:hint="eastAsia"/>
                <w:color w:val="auto"/>
                <w:sz w:val="21"/>
                <w:szCs w:val="21"/>
              </w:rPr>
            </w:pPr>
            <w:r>
              <w:rPr>
                <w:color w:val="auto"/>
                <w:sz w:val="21"/>
                <w:szCs w:val="21"/>
              </w:rPr>
              <w:t>2.2.4</w:t>
            </w:r>
            <w:r>
              <w:rPr>
                <w:rFonts w:hint="eastAsia"/>
                <w:color w:val="auto"/>
                <w:sz w:val="21"/>
                <w:szCs w:val="21"/>
              </w:rPr>
              <w:t>（</w:t>
            </w:r>
            <w:r>
              <w:rPr>
                <w:color w:val="auto"/>
                <w:sz w:val="21"/>
                <w:szCs w:val="21"/>
              </w:rPr>
              <w:t>3</w:t>
            </w:r>
            <w:r>
              <w:rPr>
                <w:rFonts w:hint="eastAsia"/>
                <w:color w:val="auto"/>
                <w:sz w:val="21"/>
                <w:szCs w:val="21"/>
              </w:rPr>
              <w:t>）</w:t>
            </w:r>
            <w:r>
              <w:rPr>
                <w:color w:val="auto"/>
                <w:sz w:val="21"/>
                <w:szCs w:val="21"/>
              </w:rPr>
              <w:t xml:space="preserve"> </w:t>
            </w:r>
          </w:p>
        </w:tc>
        <w:tc>
          <w:tcPr>
            <w:tcW w:w="714" w:type="dxa"/>
            <w:gridSpan w:val="2"/>
            <w:noWrap w:val="0"/>
            <w:vAlign w:val="center"/>
          </w:tcPr>
          <w:p>
            <w:pPr>
              <w:pStyle w:val="2"/>
              <w:spacing w:line="360" w:lineRule="exact"/>
              <w:contextualSpacing/>
              <w:jc w:val="center"/>
              <w:rPr>
                <w:color w:val="auto"/>
                <w:sz w:val="21"/>
                <w:szCs w:val="21"/>
              </w:rPr>
            </w:pPr>
            <w:r>
              <w:rPr>
                <w:rFonts w:hint="eastAsia"/>
                <w:color w:val="auto"/>
                <w:sz w:val="21"/>
                <w:szCs w:val="21"/>
              </w:rPr>
              <w:t>评标价</w:t>
            </w:r>
            <w:r>
              <w:rPr>
                <w:color w:val="auto"/>
                <w:sz w:val="21"/>
                <w:szCs w:val="21"/>
              </w:rPr>
              <w:t xml:space="preserve"> </w:t>
            </w:r>
          </w:p>
          <w:p>
            <w:pPr>
              <w:adjustRightInd w:val="0"/>
              <w:spacing w:line="360" w:lineRule="exact"/>
              <w:contextualSpacing/>
              <w:jc w:val="center"/>
              <w:rPr>
                <w:rFonts w:hint="eastAsia" w:ascii="宋体" w:hAnsi="宋体"/>
                <w:sz w:val="21"/>
                <w:szCs w:val="21"/>
              </w:rPr>
            </w:pPr>
          </w:p>
        </w:tc>
        <w:tc>
          <w:tcPr>
            <w:tcW w:w="709" w:type="dxa"/>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10分</w:t>
            </w:r>
          </w:p>
        </w:tc>
        <w:tc>
          <w:tcPr>
            <w:tcW w:w="7105" w:type="dxa"/>
            <w:gridSpan w:val="5"/>
            <w:noWrap w:val="0"/>
            <w:vAlign w:val="center"/>
          </w:tcPr>
          <w:p>
            <w:pPr>
              <w:pStyle w:val="2"/>
              <w:spacing w:line="360" w:lineRule="exact"/>
              <w:ind w:firstLine="420" w:firstLineChars="200"/>
              <w:contextualSpacing/>
              <w:rPr>
                <w:rFonts w:hAnsi="宋体" w:cs="Arial"/>
                <w:color w:val="auto"/>
                <w:sz w:val="21"/>
                <w:szCs w:val="21"/>
              </w:rPr>
            </w:pPr>
            <w:r>
              <w:rPr>
                <w:rFonts w:hint="eastAsia" w:hAnsi="宋体" w:cs="Arial"/>
                <w:color w:val="auto"/>
                <w:sz w:val="21"/>
                <w:szCs w:val="21"/>
              </w:rPr>
              <w:t>评标价得分计算公式示例：</w:t>
            </w:r>
            <w:r>
              <w:rPr>
                <w:rFonts w:hAnsi="宋体" w:cs="Arial"/>
                <w:color w:val="auto"/>
                <w:sz w:val="21"/>
                <w:szCs w:val="21"/>
              </w:rPr>
              <w:t xml:space="preserve"> </w:t>
            </w:r>
          </w:p>
          <w:p>
            <w:pPr>
              <w:pStyle w:val="2"/>
              <w:spacing w:line="360" w:lineRule="exact"/>
              <w:contextualSpacing/>
              <w:rPr>
                <w:rFonts w:hAnsi="宋体" w:cs="Arial"/>
                <w:color w:val="auto"/>
                <w:sz w:val="21"/>
                <w:szCs w:val="21"/>
              </w:rPr>
            </w:pPr>
            <w:r>
              <w:rPr>
                <w:rFonts w:hint="eastAsia" w:hAnsi="宋体" w:cs="Arial"/>
                <w:color w:val="auto"/>
                <w:sz w:val="21"/>
                <w:szCs w:val="21"/>
              </w:rPr>
              <w:t>（</w:t>
            </w:r>
            <w:r>
              <w:rPr>
                <w:rFonts w:hAnsi="宋体" w:cs="Arial"/>
                <w:color w:val="auto"/>
                <w:sz w:val="21"/>
                <w:szCs w:val="21"/>
              </w:rPr>
              <w:t>1</w:t>
            </w:r>
            <w:r>
              <w:rPr>
                <w:rFonts w:hint="eastAsia" w:hAnsi="宋体" w:cs="Arial"/>
                <w:color w:val="auto"/>
                <w:sz w:val="21"/>
                <w:szCs w:val="21"/>
              </w:rPr>
              <w:t>）如果投标人的评标价</w:t>
            </w:r>
            <w:r>
              <w:rPr>
                <w:rFonts w:hAnsi="宋体" w:cs="Arial"/>
                <w:color w:val="auto"/>
                <w:sz w:val="21"/>
                <w:szCs w:val="21"/>
              </w:rPr>
              <w:t>&gt;</w:t>
            </w:r>
            <w:r>
              <w:rPr>
                <w:rFonts w:hint="eastAsia" w:hAnsi="宋体" w:cs="Arial"/>
                <w:color w:val="auto"/>
                <w:sz w:val="21"/>
                <w:szCs w:val="21"/>
              </w:rPr>
              <w:t>评标基准价，则评标价得分＝</w:t>
            </w:r>
            <w:r>
              <w:rPr>
                <w:rFonts w:hAnsi="宋体" w:cs="Arial"/>
                <w:color w:val="auto"/>
                <w:sz w:val="21"/>
                <w:szCs w:val="21"/>
              </w:rPr>
              <w:t>F</w:t>
            </w:r>
            <w:r>
              <w:rPr>
                <w:rFonts w:hint="eastAsia" w:hAnsi="宋体" w:cs="Arial"/>
                <w:color w:val="auto"/>
                <w:sz w:val="21"/>
                <w:szCs w:val="21"/>
              </w:rPr>
              <w:t>－偏差率</w:t>
            </w:r>
            <w:r>
              <w:rPr>
                <w:rFonts w:hAnsi="宋体" w:cs="Arial"/>
                <w:color w:val="auto"/>
                <w:sz w:val="21"/>
                <w:szCs w:val="21"/>
              </w:rPr>
              <w:t>×100× E1</w:t>
            </w:r>
            <w:r>
              <w:rPr>
                <w:rFonts w:hint="eastAsia" w:hAnsi="宋体" w:cs="Arial"/>
                <w:color w:val="auto"/>
                <w:sz w:val="21"/>
                <w:szCs w:val="21"/>
              </w:rPr>
              <w:t>；</w:t>
            </w:r>
            <w:r>
              <w:rPr>
                <w:rFonts w:hAnsi="宋体" w:cs="Arial"/>
                <w:color w:val="auto"/>
                <w:sz w:val="21"/>
                <w:szCs w:val="21"/>
              </w:rPr>
              <w:t xml:space="preserve"> </w:t>
            </w:r>
          </w:p>
          <w:p>
            <w:pPr>
              <w:pStyle w:val="2"/>
              <w:spacing w:line="360" w:lineRule="exact"/>
              <w:contextualSpacing/>
              <w:rPr>
                <w:rFonts w:hAnsi="宋体" w:cs="Arial"/>
                <w:color w:val="auto"/>
                <w:sz w:val="21"/>
                <w:szCs w:val="21"/>
              </w:rPr>
            </w:pPr>
            <w:r>
              <w:rPr>
                <w:rFonts w:hint="eastAsia" w:hAnsi="宋体" w:cs="Arial"/>
                <w:color w:val="auto"/>
                <w:sz w:val="21"/>
                <w:szCs w:val="21"/>
              </w:rPr>
              <w:t>（</w:t>
            </w:r>
            <w:r>
              <w:rPr>
                <w:rFonts w:hAnsi="宋体" w:cs="Arial"/>
                <w:color w:val="auto"/>
                <w:sz w:val="21"/>
                <w:szCs w:val="21"/>
              </w:rPr>
              <w:t>2</w:t>
            </w:r>
            <w:r>
              <w:rPr>
                <w:rFonts w:hint="eastAsia" w:hAnsi="宋体" w:cs="Arial"/>
                <w:color w:val="auto"/>
                <w:sz w:val="21"/>
                <w:szCs w:val="21"/>
              </w:rPr>
              <w:t>）如果投标人的评标价</w:t>
            </w:r>
            <w:r>
              <w:rPr>
                <w:rFonts w:hAnsi="宋体" w:cs="Arial"/>
                <w:color w:val="auto"/>
                <w:sz w:val="21"/>
                <w:szCs w:val="21"/>
              </w:rPr>
              <w:t>≤</w:t>
            </w:r>
            <w:r>
              <w:rPr>
                <w:rFonts w:hint="eastAsia" w:hAnsi="宋体" w:cs="Arial"/>
                <w:color w:val="auto"/>
                <w:sz w:val="21"/>
                <w:szCs w:val="21"/>
              </w:rPr>
              <w:t>评标基准价，则评标价得分＝</w:t>
            </w:r>
            <w:r>
              <w:rPr>
                <w:rFonts w:hAnsi="宋体" w:cs="Arial"/>
                <w:color w:val="auto"/>
                <w:sz w:val="21"/>
                <w:szCs w:val="21"/>
              </w:rPr>
              <w:t>F</w:t>
            </w:r>
            <w:r>
              <w:rPr>
                <w:rFonts w:hint="eastAsia" w:hAnsi="宋体" w:cs="Arial"/>
                <w:color w:val="auto"/>
                <w:sz w:val="21"/>
                <w:szCs w:val="21"/>
              </w:rPr>
              <w:t>＋偏差率</w:t>
            </w:r>
            <w:r>
              <w:rPr>
                <w:rFonts w:hAnsi="宋体" w:cs="Arial"/>
                <w:color w:val="auto"/>
                <w:sz w:val="21"/>
                <w:szCs w:val="21"/>
              </w:rPr>
              <w:t>× 100× E2</w:t>
            </w:r>
            <w:r>
              <w:rPr>
                <w:rFonts w:hint="eastAsia" w:hAnsi="宋体" w:cs="Arial"/>
                <w:color w:val="auto"/>
                <w:sz w:val="21"/>
                <w:szCs w:val="21"/>
              </w:rPr>
              <w:t>。</w:t>
            </w:r>
            <w:r>
              <w:rPr>
                <w:rFonts w:hAnsi="宋体" w:cs="Arial"/>
                <w:color w:val="auto"/>
                <w:sz w:val="21"/>
                <w:szCs w:val="21"/>
              </w:rPr>
              <w:t xml:space="preserve"> </w:t>
            </w:r>
          </w:p>
          <w:p>
            <w:pPr>
              <w:pStyle w:val="2"/>
              <w:spacing w:line="360" w:lineRule="exact"/>
              <w:ind w:firstLine="420" w:firstLineChars="200"/>
              <w:contextualSpacing/>
              <w:rPr>
                <w:rFonts w:hint="eastAsia" w:ascii="Times New Roman" w:cs="Times New Roman"/>
                <w:color w:val="auto"/>
                <w:sz w:val="21"/>
                <w:szCs w:val="21"/>
              </w:rPr>
            </w:pPr>
            <w:r>
              <w:rPr>
                <w:rFonts w:hint="eastAsia" w:hAnsi="宋体" w:cs="Arial"/>
                <w:color w:val="auto"/>
                <w:sz w:val="21"/>
                <w:szCs w:val="21"/>
              </w:rPr>
              <w:t>其中：</w:t>
            </w:r>
            <w:r>
              <w:rPr>
                <w:rFonts w:hAnsi="宋体" w:cs="Arial"/>
                <w:color w:val="auto"/>
                <w:sz w:val="21"/>
                <w:szCs w:val="21"/>
              </w:rPr>
              <w:t>F是投标价所占的评分满分值10分，E1</w:t>
            </w:r>
            <w:r>
              <w:rPr>
                <w:rFonts w:hint="eastAsia" w:hAnsi="宋体" w:cs="Arial"/>
                <w:color w:val="auto"/>
                <w:sz w:val="21"/>
                <w:szCs w:val="21"/>
              </w:rPr>
              <w:t>是评标价每高于评标基准价一个百分点的扣分值0.5，</w:t>
            </w:r>
            <w:r>
              <w:rPr>
                <w:rFonts w:hAnsi="宋体" w:cs="Arial"/>
                <w:color w:val="auto"/>
                <w:sz w:val="21"/>
                <w:szCs w:val="21"/>
              </w:rPr>
              <w:t>E2</w:t>
            </w:r>
            <w:r>
              <w:rPr>
                <w:rFonts w:hint="eastAsia" w:hAnsi="宋体" w:cs="Arial"/>
                <w:color w:val="auto"/>
                <w:sz w:val="21"/>
                <w:szCs w:val="21"/>
              </w:rPr>
              <w:t>是评标价每低于评标基准价一个百分点的扣分值0.3。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61" w:hRule="atLeast"/>
          <w:jc w:val="center"/>
        </w:trPr>
        <w:tc>
          <w:tcPr>
            <w:tcW w:w="713" w:type="dxa"/>
            <w:vMerge w:val="restart"/>
            <w:noWrap w:val="0"/>
            <w:vAlign w:val="center"/>
          </w:tcPr>
          <w:p>
            <w:pPr>
              <w:pStyle w:val="2"/>
              <w:spacing w:line="360" w:lineRule="exact"/>
              <w:contextualSpacing/>
              <w:jc w:val="center"/>
              <w:rPr>
                <w:color w:val="auto"/>
                <w:sz w:val="21"/>
                <w:szCs w:val="21"/>
              </w:rPr>
            </w:pPr>
            <w:r>
              <w:rPr>
                <w:color w:val="auto"/>
                <w:sz w:val="21"/>
                <w:szCs w:val="21"/>
              </w:rPr>
              <w:t>2.2.4</w:t>
            </w:r>
            <w:r>
              <w:rPr>
                <w:rFonts w:hint="eastAsia"/>
                <w:color w:val="auto"/>
                <w:sz w:val="21"/>
                <w:szCs w:val="21"/>
              </w:rPr>
              <w:t>（</w:t>
            </w:r>
            <w:r>
              <w:rPr>
                <w:color w:val="auto"/>
                <w:sz w:val="21"/>
                <w:szCs w:val="21"/>
              </w:rPr>
              <w:t>4</w:t>
            </w:r>
            <w:r>
              <w:rPr>
                <w:rFonts w:hint="eastAsia"/>
                <w:color w:val="auto"/>
                <w:sz w:val="21"/>
                <w:szCs w:val="21"/>
              </w:rPr>
              <w:t>）</w:t>
            </w:r>
            <w:r>
              <w:rPr>
                <w:color w:val="auto"/>
                <w:sz w:val="21"/>
                <w:szCs w:val="21"/>
              </w:rPr>
              <w:t xml:space="preserve"> </w:t>
            </w:r>
          </w:p>
          <w:p>
            <w:pPr>
              <w:adjustRightInd w:val="0"/>
              <w:spacing w:line="360" w:lineRule="exact"/>
              <w:contextualSpacing/>
              <w:jc w:val="center"/>
              <w:rPr>
                <w:rFonts w:hint="eastAsia" w:ascii="宋体" w:hAnsi="宋体"/>
                <w:sz w:val="21"/>
                <w:szCs w:val="21"/>
              </w:rPr>
            </w:pPr>
          </w:p>
        </w:tc>
        <w:tc>
          <w:tcPr>
            <w:tcW w:w="275" w:type="dxa"/>
            <w:vMerge w:val="restart"/>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其他因素</w:t>
            </w:r>
          </w:p>
        </w:tc>
        <w:tc>
          <w:tcPr>
            <w:tcW w:w="439" w:type="dxa"/>
            <w:noWrap w:val="0"/>
            <w:vAlign w:val="center"/>
          </w:tcPr>
          <w:p>
            <w:pPr>
              <w:adjustRightInd w:val="0"/>
              <w:spacing w:line="360" w:lineRule="exact"/>
              <w:contextualSpacing/>
              <w:jc w:val="center"/>
              <w:rPr>
                <w:rFonts w:hint="eastAsia" w:ascii="宋体" w:hAnsi="宋体"/>
                <w:sz w:val="21"/>
                <w:szCs w:val="21"/>
              </w:rPr>
            </w:pPr>
            <w:r>
              <w:rPr>
                <w:rFonts w:hint="eastAsia" w:hAnsi="宋体"/>
                <w:sz w:val="21"/>
                <w:szCs w:val="21"/>
              </w:rPr>
              <w:t>技术能力</w:t>
            </w:r>
          </w:p>
        </w:tc>
        <w:tc>
          <w:tcPr>
            <w:tcW w:w="709" w:type="dxa"/>
            <w:noWrap w:val="0"/>
            <w:vAlign w:val="center"/>
          </w:tcPr>
          <w:p>
            <w:pPr>
              <w:adjustRightInd w:val="0"/>
              <w:spacing w:line="360" w:lineRule="exact"/>
              <w:contextualSpacing/>
              <w:jc w:val="center"/>
              <w:rPr>
                <w:rFonts w:hint="eastAsia" w:ascii="宋体" w:hAnsi="宋体"/>
                <w:sz w:val="21"/>
                <w:szCs w:val="21"/>
              </w:rPr>
            </w:pPr>
            <w:r>
              <w:rPr>
                <w:rFonts w:hint="eastAsia"/>
                <w:sz w:val="21"/>
                <w:szCs w:val="21"/>
              </w:rPr>
              <w:t>5</w:t>
            </w:r>
            <w:r>
              <w:rPr>
                <w:sz w:val="21"/>
                <w:szCs w:val="21"/>
              </w:rPr>
              <w:t>分</w:t>
            </w:r>
          </w:p>
        </w:tc>
        <w:tc>
          <w:tcPr>
            <w:tcW w:w="1133" w:type="dxa"/>
            <w:noWrap w:val="0"/>
            <w:vAlign w:val="center"/>
          </w:tcPr>
          <w:p>
            <w:pPr>
              <w:autoSpaceDE w:val="0"/>
              <w:autoSpaceDN w:val="0"/>
              <w:adjustRightInd w:val="0"/>
              <w:spacing w:line="360" w:lineRule="exact"/>
              <w:contextualSpacing/>
              <w:jc w:val="center"/>
              <w:rPr>
                <w:rFonts w:hint="eastAsia"/>
                <w:sz w:val="21"/>
                <w:szCs w:val="21"/>
              </w:rPr>
            </w:pPr>
            <w:r>
              <w:rPr>
                <w:rFonts w:hint="eastAsia"/>
                <w:sz w:val="21"/>
                <w:szCs w:val="21"/>
              </w:rPr>
              <w:t>技术能力</w:t>
            </w:r>
          </w:p>
        </w:tc>
        <w:tc>
          <w:tcPr>
            <w:tcW w:w="705" w:type="dxa"/>
            <w:noWrap w:val="0"/>
            <w:vAlign w:val="center"/>
          </w:tcPr>
          <w:p>
            <w:pPr>
              <w:tabs>
                <w:tab w:val="left" w:pos="460"/>
              </w:tabs>
              <w:autoSpaceDE w:val="0"/>
              <w:autoSpaceDN w:val="0"/>
              <w:adjustRightInd w:val="0"/>
              <w:spacing w:line="360" w:lineRule="exact"/>
              <w:contextualSpacing/>
              <w:jc w:val="center"/>
              <w:rPr>
                <w:sz w:val="21"/>
                <w:szCs w:val="21"/>
              </w:rPr>
            </w:pPr>
            <w:r>
              <w:rPr>
                <w:rFonts w:hint="eastAsia"/>
                <w:sz w:val="21"/>
                <w:szCs w:val="21"/>
              </w:rPr>
              <w:t>5</w:t>
            </w:r>
            <w:r>
              <w:rPr>
                <w:sz w:val="21"/>
                <w:szCs w:val="21"/>
              </w:rPr>
              <w:t>分</w:t>
            </w:r>
          </w:p>
        </w:tc>
        <w:tc>
          <w:tcPr>
            <w:tcW w:w="5267" w:type="dxa"/>
            <w:gridSpan w:val="3"/>
            <w:noWrap w:val="0"/>
            <w:vAlign w:val="center"/>
          </w:tcPr>
          <w:p>
            <w:pPr>
              <w:adjustRightInd w:val="0"/>
              <w:spacing w:line="360" w:lineRule="exact"/>
              <w:ind w:firstLine="210" w:firstLineChars="100"/>
              <w:contextualSpacing/>
              <w:rPr>
                <w:rFonts w:hint="eastAsia" w:ascii="宋体" w:hAnsi="宋体"/>
                <w:sz w:val="21"/>
                <w:szCs w:val="21"/>
              </w:rPr>
            </w:pPr>
            <w:r>
              <w:rPr>
                <w:sz w:val="21"/>
                <w:szCs w:val="21"/>
              </w:rPr>
              <w:t>满足招标文件资格审查条件最低要求的，得</w:t>
            </w:r>
            <w:r>
              <w:rPr>
                <w:rFonts w:hint="eastAsia"/>
                <w:sz w:val="21"/>
                <w:szCs w:val="21"/>
              </w:rPr>
              <w:t>5</w:t>
            </w:r>
            <w:r>
              <w:rPr>
                <w:sz w:val="21"/>
                <w:szCs w:val="21"/>
              </w:rPr>
              <w:t>分</w:t>
            </w: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51" w:hRule="atLeast"/>
          <w:jc w:val="center"/>
        </w:trPr>
        <w:tc>
          <w:tcPr>
            <w:tcW w:w="713" w:type="dxa"/>
            <w:vMerge w:val="continue"/>
            <w:noWrap w:val="0"/>
            <w:vAlign w:val="center"/>
          </w:tcPr>
          <w:p>
            <w:pPr>
              <w:adjustRightInd w:val="0"/>
              <w:spacing w:line="360" w:lineRule="exact"/>
              <w:contextualSpacing/>
              <w:jc w:val="center"/>
              <w:rPr>
                <w:rFonts w:hint="eastAsia" w:ascii="宋体" w:hAnsi="宋体"/>
                <w:sz w:val="21"/>
                <w:szCs w:val="21"/>
              </w:rPr>
            </w:pPr>
          </w:p>
        </w:tc>
        <w:tc>
          <w:tcPr>
            <w:tcW w:w="275" w:type="dxa"/>
            <w:vMerge w:val="continue"/>
            <w:noWrap w:val="0"/>
            <w:vAlign w:val="center"/>
          </w:tcPr>
          <w:p>
            <w:pPr>
              <w:adjustRightInd w:val="0"/>
              <w:spacing w:line="360" w:lineRule="exact"/>
              <w:contextualSpacing/>
              <w:jc w:val="center"/>
              <w:rPr>
                <w:rFonts w:hint="eastAsia" w:ascii="宋体" w:hAnsi="宋体"/>
                <w:sz w:val="21"/>
                <w:szCs w:val="21"/>
              </w:rPr>
            </w:pPr>
          </w:p>
        </w:tc>
        <w:tc>
          <w:tcPr>
            <w:tcW w:w="439" w:type="dxa"/>
            <w:vMerge w:val="restart"/>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业绩</w:t>
            </w:r>
          </w:p>
        </w:tc>
        <w:tc>
          <w:tcPr>
            <w:tcW w:w="709" w:type="dxa"/>
            <w:vMerge w:val="restart"/>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10分</w:t>
            </w:r>
          </w:p>
        </w:tc>
        <w:tc>
          <w:tcPr>
            <w:tcW w:w="1133" w:type="dxa"/>
            <w:noWrap w:val="0"/>
            <w:vAlign w:val="center"/>
          </w:tcPr>
          <w:p>
            <w:pPr>
              <w:autoSpaceDE w:val="0"/>
              <w:autoSpaceDN w:val="0"/>
              <w:adjustRightInd w:val="0"/>
              <w:spacing w:line="360" w:lineRule="exact"/>
              <w:contextualSpacing/>
              <w:jc w:val="center"/>
              <w:rPr>
                <w:sz w:val="21"/>
                <w:szCs w:val="21"/>
              </w:rPr>
            </w:pPr>
            <w:r>
              <w:rPr>
                <w:sz w:val="21"/>
                <w:szCs w:val="21"/>
              </w:rPr>
              <w:t>基本分</w:t>
            </w:r>
          </w:p>
        </w:tc>
        <w:tc>
          <w:tcPr>
            <w:tcW w:w="705" w:type="dxa"/>
            <w:noWrap w:val="0"/>
            <w:vAlign w:val="center"/>
          </w:tcPr>
          <w:p>
            <w:pPr>
              <w:tabs>
                <w:tab w:val="left" w:pos="460"/>
              </w:tabs>
              <w:autoSpaceDE w:val="0"/>
              <w:autoSpaceDN w:val="0"/>
              <w:adjustRightInd w:val="0"/>
              <w:spacing w:line="360" w:lineRule="exact"/>
              <w:contextualSpacing/>
              <w:jc w:val="center"/>
              <w:rPr>
                <w:sz w:val="21"/>
                <w:szCs w:val="21"/>
              </w:rPr>
            </w:pPr>
            <w:r>
              <w:rPr>
                <w:rFonts w:hint="eastAsia"/>
                <w:sz w:val="21"/>
                <w:szCs w:val="21"/>
              </w:rPr>
              <w:t>6</w:t>
            </w:r>
            <w:r>
              <w:rPr>
                <w:sz w:val="21"/>
                <w:szCs w:val="21"/>
              </w:rPr>
              <w:t>分</w:t>
            </w:r>
          </w:p>
        </w:tc>
        <w:tc>
          <w:tcPr>
            <w:tcW w:w="5267" w:type="dxa"/>
            <w:gridSpan w:val="3"/>
            <w:noWrap w:val="0"/>
            <w:vAlign w:val="center"/>
          </w:tcPr>
          <w:p>
            <w:pPr>
              <w:adjustRightInd w:val="0"/>
              <w:spacing w:line="360" w:lineRule="exact"/>
              <w:ind w:firstLine="210" w:firstLineChars="100"/>
              <w:contextualSpacing/>
              <w:rPr>
                <w:rFonts w:hint="eastAsia" w:ascii="宋体" w:hAnsi="宋体"/>
                <w:sz w:val="21"/>
                <w:szCs w:val="21"/>
              </w:rPr>
            </w:pPr>
            <w:r>
              <w:rPr>
                <w:sz w:val="21"/>
                <w:szCs w:val="21"/>
              </w:rPr>
              <w:t>满足招标文件资格审查条件最低要求的，得基本分</w:t>
            </w:r>
            <w:r>
              <w:rPr>
                <w:rFonts w:hint="eastAsia"/>
                <w:sz w:val="21"/>
                <w:szCs w:val="21"/>
              </w:rPr>
              <w:t>6</w:t>
            </w:r>
            <w:r>
              <w:rPr>
                <w:sz w:val="21"/>
                <w:szCs w:val="21"/>
              </w:rPr>
              <w:t>分</w:t>
            </w: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51" w:hRule="atLeast"/>
          <w:jc w:val="center"/>
        </w:trPr>
        <w:tc>
          <w:tcPr>
            <w:tcW w:w="713" w:type="dxa"/>
            <w:vMerge w:val="continue"/>
            <w:noWrap w:val="0"/>
            <w:vAlign w:val="center"/>
          </w:tcPr>
          <w:p>
            <w:pPr>
              <w:adjustRightInd w:val="0"/>
              <w:spacing w:line="360" w:lineRule="exact"/>
              <w:contextualSpacing/>
              <w:jc w:val="center"/>
              <w:rPr>
                <w:rFonts w:hint="eastAsia" w:ascii="宋体" w:hAnsi="宋体"/>
                <w:sz w:val="21"/>
                <w:szCs w:val="21"/>
              </w:rPr>
            </w:pPr>
          </w:p>
        </w:tc>
        <w:tc>
          <w:tcPr>
            <w:tcW w:w="275" w:type="dxa"/>
            <w:vMerge w:val="continue"/>
            <w:noWrap w:val="0"/>
            <w:vAlign w:val="center"/>
          </w:tcPr>
          <w:p>
            <w:pPr>
              <w:adjustRightInd w:val="0"/>
              <w:spacing w:line="360" w:lineRule="exact"/>
              <w:contextualSpacing/>
              <w:jc w:val="center"/>
              <w:rPr>
                <w:rFonts w:hint="eastAsia" w:ascii="宋体" w:hAnsi="宋体"/>
                <w:sz w:val="21"/>
                <w:szCs w:val="21"/>
              </w:rPr>
            </w:pPr>
          </w:p>
        </w:tc>
        <w:tc>
          <w:tcPr>
            <w:tcW w:w="439" w:type="dxa"/>
            <w:vMerge w:val="continue"/>
            <w:noWrap w:val="0"/>
            <w:vAlign w:val="center"/>
          </w:tcPr>
          <w:p>
            <w:pPr>
              <w:adjustRightInd w:val="0"/>
              <w:spacing w:line="360" w:lineRule="exact"/>
              <w:contextualSpacing/>
              <w:jc w:val="center"/>
              <w:rPr>
                <w:rFonts w:hint="eastAsia" w:ascii="宋体" w:hAnsi="宋体"/>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1133" w:type="dxa"/>
            <w:noWrap w:val="0"/>
            <w:vAlign w:val="top"/>
          </w:tcPr>
          <w:p>
            <w:pPr>
              <w:autoSpaceDE w:val="0"/>
              <w:autoSpaceDN w:val="0"/>
              <w:adjustRightInd w:val="0"/>
              <w:spacing w:line="360" w:lineRule="exact"/>
              <w:ind w:firstLine="210" w:firstLineChars="100"/>
              <w:contextualSpacing/>
              <w:jc w:val="both"/>
              <w:rPr>
                <w:rFonts w:hint="eastAsia"/>
                <w:sz w:val="21"/>
                <w:szCs w:val="21"/>
              </w:rPr>
            </w:pPr>
            <w:r>
              <w:rPr>
                <w:rFonts w:hint="eastAsia"/>
                <w:sz w:val="21"/>
                <w:szCs w:val="21"/>
              </w:rPr>
              <w:t>业绩</w:t>
            </w:r>
          </w:p>
        </w:tc>
        <w:tc>
          <w:tcPr>
            <w:tcW w:w="705" w:type="dxa"/>
            <w:noWrap w:val="0"/>
            <w:vAlign w:val="center"/>
          </w:tcPr>
          <w:p>
            <w:pPr>
              <w:tabs>
                <w:tab w:val="left" w:pos="460"/>
              </w:tabs>
              <w:autoSpaceDE w:val="0"/>
              <w:autoSpaceDN w:val="0"/>
              <w:adjustRightInd w:val="0"/>
              <w:spacing w:line="360" w:lineRule="exact"/>
              <w:contextualSpacing/>
              <w:jc w:val="center"/>
              <w:rPr>
                <w:rFonts w:hint="eastAsia"/>
                <w:sz w:val="21"/>
                <w:szCs w:val="21"/>
              </w:rPr>
            </w:pPr>
            <w:r>
              <w:rPr>
                <w:rFonts w:hint="eastAsia"/>
                <w:sz w:val="21"/>
                <w:szCs w:val="21"/>
              </w:rPr>
              <w:t>4分</w:t>
            </w:r>
          </w:p>
        </w:tc>
        <w:tc>
          <w:tcPr>
            <w:tcW w:w="5267" w:type="dxa"/>
            <w:gridSpan w:val="3"/>
            <w:noWrap w:val="0"/>
            <w:vAlign w:val="center"/>
          </w:tcPr>
          <w:p>
            <w:pPr>
              <w:adjustRightInd w:val="0"/>
              <w:spacing w:line="360" w:lineRule="exact"/>
              <w:ind w:firstLine="210" w:firstLineChars="100"/>
              <w:contextualSpacing/>
              <w:rPr>
                <w:rFonts w:hint="eastAsia"/>
                <w:sz w:val="21"/>
                <w:szCs w:val="21"/>
              </w:rPr>
            </w:pPr>
            <w:r>
              <w:rPr>
                <w:rFonts w:hint="eastAsia"/>
                <w:sz w:val="21"/>
                <w:szCs w:val="21"/>
              </w:rPr>
              <w:t xml:space="preserve">  SJ1标段：</w:t>
            </w:r>
            <w:r>
              <w:rPr>
                <w:sz w:val="21"/>
                <w:szCs w:val="21"/>
              </w:rPr>
              <w:t>满足招标文件资格审查条件最低要求</w:t>
            </w:r>
            <w:r>
              <w:rPr>
                <w:rFonts w:hint="eastAsia"/>
                <w:sz w:val="21"/>
                <w:szCs w:val="21"/>
              </w:rPr>
              <w:t>基础上</w:t>
            </w:r>
            <w:r>
              <w:rPr>
                <w:sz w:val="21"/>
                <w:szCs w:val="21"/>
              </w:rPr>
              <w:t>，</w:t>
            </w:r>
            <w:r>
              <w:rPr>
                <w:rFonts w:hint="eastAsia"/>
                <w:sz w:val="21"/>
                <w:szCs w:val="21"/>
              </w:rPr>
              <w:t>每增加1</w:t>
            </w:r>
            <w:r>
              <w:rPr>
                <w:sz w:val="21"/>
                <w:szCs w:val="21"/>
              </w:rPr>
              <w:t>条</w:t>
            </w:r>
            <w:r>
              <w:rPr>
                <w:rFonts w:hint="eastAsia"/>
                <w:sz w:val="21"/>
                <w:szCs w:val="21"/>
              </w:rPr>
              <w:t>以往（不限年限）完成的</w:t>
            </w:r>
            <w:r>
              <w:rPr>
                <w:sz w:val="21"/>
                <w:szCs w:val="21"/>
              </w:rPr>
              <w:t>里程不小</w:t>
            </w:r>
            <w:r>
              <w:rPr>
                <w:rFonts w:hint="eastAsia"/>
                <w:sz w:val="21"/>
                <w:szCs w:val="21"/>
              </w:rPr>
              <w:t>于30</w:t>
            </w:r>
            <w:r>
              <w:rPr>
                <w:sz w:val="21"/>
                <w:szCs w:val="21"/>
              </w:rPr>
              <w:t>km</w:t>
            </w:r>
            <w:r>
              <w:rPr>
                <w:rFonts w:hint="eastAsia"/>
                <w:sz w:val="21"/>
                <w:szCs w:val="21"/>
              </w:rPr>
              <w:t>的新建或改（扩）建高速公路</w:t>
            </w:r>
            <w:r>
              <w:rPr>
                <w:sz w:val="21"/>
                <w:szCs w:val="21"/>
              </w:rPr>
              <w:t>主体土建工程</w:t>
            </w:r>
            <w:r>
              <w:rPr>
                <w:rFonts w:hint="eastAsia"/>
                <w:sz w:val="21"/>
                <w:szCs w:val="21"/>
              </w:rPr>
              <w:t>勘察设计业绩加2</w:t>
            </w:r>
            <w:r>
              <w:rPr>
                <w:sz w:val="21"/>
                <w:szCs w:val="21"/>
              </w:rPr>
              <w:t>分，最多加</w:t>
            </w:r>
            <w:r>
              <w:rPr>
                <w:rFonts w:hint="eastAsia"/>
                <w:sz w:val="21"/>
                <w:szCs w:val="21"/>
              </w:rPr>
              <w:t>4</w:t>
            </w:r>
            <w:r>
              <w:rPr>
                <w:sz w:val="21"/>
                <w:szCs w:val="21"/>
              </w:rPr>
              <w:t>分。</w:t>
            </w:r>
          </w:p>
          <w:p>
            <w:pPr>
              <w:adjustRightInd w:val="0"/>
              <w:spacing w:line="360" w:lineRule="exact"/>
              <w:ind w:firstLine="210" w:firstLineChars="100"/>
              <w:contextualSpacing/>
              <w:rPr>
                <w:rFonts w:hint="eastAsia"/>
                <w:sz w:val="21"/>
                <w:szCs w:val="21"/>
              </w:rPr>
            </w:pPr>
            <w:r>
              <w:rPr>
                <w:rFonts w:hint="eastAsia"/>
                <w:sz w:val="21"/>
                <w:szCs w:val="21"/>
              </w:rPr>
              <w:t xml:space="preserve">  SJ2标段：</w:t>
            </w:r>
            <w:r>
              <w:rPr>
                <w:sz w:val="21"/>
                <w:szCs w:val="21"/>
              </w:rPr>
              <w:t>满足招标文件资格审查条件最低要求</w:t>
            </w:r>
            <w:r>
              <w:rPr>
                <w:rFonts w:hint="eastAsia"/>
                <w:sz w:val="21"/>
                <w:szCs w:val="21"/>
              </w:rPr>
              <w:t>基础上</w:t>
            </w:r>
            <w:r>
              <w:rPr>
                <w:sz w:val="21"/>
                <w:szCs w:val="21"/>
              </w:rPr>
              <w:t>，</w:t>
            </w:r>
            <w:r>
              <w:rPr>
                <w:rFonts w:hint="eastAsia"/>
                <w:sz w:val="21"/>
                <w:szCs w:val="21"/>
              </w:rPr>
              <w:t>每增加1条以往（不限年限）完成的里程不小于10km的新建或改（扩）建高速公路主体土建工程勘察设计业绩加2分，最多加4分。</w:t>
            </w:r>
          </w:p>
          <w:p>
            <w:pPr>
              <w:adjustRightInd w:val="0"/>
              <w:spacing w:line="360" w:lineRule="exact"/>
              <w:ind w:firstLine="210" w:firstLineChars="100"/>
              <w:contextualSpacing/>
              <w:rPr>
                <w:rFonts w:hint="eastAsia"/>
                <w:sz w:val="21"/>
                <w:szCs w:val="21"/>
              </w:rPr>
            </w:pPr>
            <w:r>
              <w:rPr>
                <w:rFonts w:hint="eastAsia"/>
                <w:sz w:val="21"/>
                <w:szCs w:val="21"/>
              </w:rPr>
              <w:t>注：投标人以联合体形式投标的，牵头人或联合体成员提供的业绩均有效。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5" w:hRule="atLeast"/>
          <w:jc w:val="center"/>
        </w:trPr>
        <w:tc>
          <w:tcPr>
            <w:tcW w:w="713" w:type="dxa"/>
            <w:vMerge w:val="continue"/>
            <w:noWrap w:val="0"/>
            <w:vAlign w:val="center"/>
          </w:tcPr>
          <w:p>
            <w:pPr>
              <w:adjustRightInd w:val="0"/>
              <w:spacing w:line="360" w:lineRule="exact"/>
              <w:contextualSpacing/>
              <w:jc w:val="center"/>
              <w:rPr>
                <w:rFonts w:hint="eastAsia" w:ascii="宋体" w:hAnsi="宋体"/>
                <w:sz w:val="21"/>
                <w:szCs w:val="21"/>
              </w:rPr>
            </w:pPr>
          </w:p>
        </w:tc>
        <w:tc>
          <w:tcPr>
            <w:tcW w:w="275" w:type="dxa"/>
            <w:vMerge w:val="continue"/>
            <w:noWrap w:val="0"/>
            <w:vAlign w:val="center"/>
          </w:tcPr>
          <w:p>
            <w:pPr>
              <w:adjustRightInd w:val="0"/>
              <w:spacing w:line="360" w:lineRule="exact"/>
              <w:contextualSpacing/>
              <w:jc w:val="center"/>
              <w:rPr>
                <w:rFonts w:hint="eastAsia" w:ascii="宋体" w:hAnsi="宋体"/>
                <w:sz w:val="21"/>
                <w:szCs w:val="21"/>
              </w:rPr>
            </w:pPr>
          </w:p>
        </w:tc>
        <w:tc>
          <w:tcPr>
            <w:tcW w:w="439" w:type="dxa"/>
            <w:noWrap w:val="0"/>
            <w:vAlign w:val="center"/>
          </w:tcPr>
          <w:p>
            <w:pPr>
              <w:adjustRightInd w:val="0"/>
              <w:spacing w:line="360" w:lineRule="exact"/>
              <w:contextualSpacing/>
              <w:jc w:val="center"/>
              <w:rPr>
                <w:rFonts w:hint="eastAsia" w:ascii="宋体" w:hAnsi="宋体"/>
                <w:sz w:val="21"/>
                <w:szCs w:val="21"/>
              </w:rPr>
            </w:pPr>
            <w:r>
              <w:rPr>
                <w:rFonts w:hint="eastAsia" w:hAnsi="宋体"/>
                <w:sz w:val="21"/>
                <w:szCs w:val="21"/>
              </w:rPr>
              <w:t>履约信誉</w:t>
            </w:r>
          </w:p>
        </w:tc>
        <w:tc>
          <w:tcPr>
            <w:tcW w:w="709" w:type="dxa"/>
            <w:noWrap w:val="0"/>
            <w:vAlign w:val="center"/>
          </w:tcPr>
          <w:p>
            <w:pPr>
              <w:adjustRightInd w:val="0"/>
              <w:spacing w:line="360" w:lineRule="exact"/>
              <w:contextualSpacing/>
              <w:jc w:val="center"/>
              <w:rPr>
                <w:rFonts w:hint="eastAsia" w:ascii="宋体" w:hAnsi="宋体"/>
                <w:sz w:val="21"/>
                <w:szCs w:val="21"/>
              </w:rPr>
            </w:pPr>
            <w:r>
              <w:rPr>
                <w:rFonts w:hint="eastAsia"/>
                <w:sz w:val="21"/>
                <w:szCs w:val="21"/>
              </w:rPr>
              <w:t>5</w:t>
            </w:r>
            <w:r>
              <w:rPr>
                <w:sz w:val="21"/>
                <w:szCs w:val="21"/>
              </w:rPr>
              <w:t>分</w:t>
            </w:r>
          </w:p>
        </w:tc>
        <w:tc>
          <w:tcPr>
            <w:tcW w:w="1133" w:type="dxa"/>
            <w:noWrap w:val="0"/>
            <w:vAlign w:val="center"/>
          </w:tcPr>
          <w:p>
            <w:pPr>
              <w:autoSpaceDE w:val="0"/>
              <w:autoSpaceDN w:val="0"/>
              <w:adjustRightInd w:val="0"/>
              <w:spacing w:line="360" w:lineRule="exact"/>
              <w:contextualSpacing/>
              <w:jc w:val="center"/>
              <w:rPr>
                <w:sz w:val="21"/>
                <w:szCs w:val="21"/>
              </w:rPr>
            </w:pPr>
            <w:r>
              <w:rPr>
                <w:rFonts w:hint="eastAsia" w:hAnsi="宋体"/>
                <w:sz w:val="21"/>
                <w:szCs w:val="21"/>
              </w:rPr>
              <w:t>履约信誉</w:t>
            </w:r>
          </w:p>
        </w:tc>
        <w:tc>
          <w:tcPr>
            <w:tcW w:w="705" w:type="dxa"/>
            <w:noWrap w:val="0"/>
            <w:vAlign w:val="center"/>
          </w:tcPr>
          <w:p>
            <w:pPr>
              <w:tabs>
                <w:tab w:val="left" w:pos="460"/>
              </w:tabs>
              <w:autoSpaceDE w:val="0"/>
              <w:autoSpaceDN w:val="0"/>
              <w:adjustRightInd w:val="0"/>
              <w:spacing w:line="360" w:lineRule="exact"/>
              <w:contextualSpacing/>
              <w:jc w:val="center"/>
              <w:rPr>
                <w:rFonts w:hint="eastAsia"/>
                <w:sz w:val="21"/>
                <w:szCs w:val="21"/>
              </w:rPr>
            </w:pPr>
            <w:r>
              <w:rPr>
                <w:rFonts w:hint="eastAsia"/>
                <w:sz w:val="21"/>
                <w:szCs w:val="21"/>
              </w:rPr>
              <w:t>5分</w:t>
            </w:r>
          </w:p>
        </w:tc>
        <w:tc>
          <w:tcPr>
            <w:tcW w:w="5267" w:type="dxa"/>
            <w:gridSpan w:val="3"/>
            <w:noWrap w:val="0"/>
            <w:vAlign w:val="center"/>
          </w:tcPr>
          <w:p>
            <w:pPr>
              <w:adjustRightInd w:val="0"/>
              <w:spacing w:line="360" w:lineRule="exact"/>
              <w:contextualSpacing/>
              <w:rPr>
                <w:rFonts w:hint="eastAsia"/>
                <w:sz w:val="21"/>
                <w:szCs w:val="21"/>
              </w:rPr>
            </w:pPr>
            <w:r>
              <w:rPr>
                <w:sz w:val="21"/>
                <w:szCs w:val="21"/>
              </w:rPr>
              <w:t>满足招标文件资格审查条件最低要求的，得</w:t>
            </w:r>
            <w:r>
              <w:rPr>
                <w:rFonts w:hint="eastAsia"/>
                <w:sz w:val="21"/>
                <w:szCs w:val="21"/>
              </w:rPr>
              <w:t>5</w:t>
            </w:r>
            <w:r>
              <w:rPr>
                <w:sz w:val="21"/>
                <w:szCs w:val="21"/>
              </w:rPr>
              <w:t>分</w:t>
            </w: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581" w:hRule="atLeast"/>
          <w:jc w:val="center"/>
        </w:trPr>
        <w:tc>
          <w:tcPr>
            <w:tcW w:w="9241" w:type="dxa"/>
            <w:gridSpan w:val="9"/>
            <w:noWrap w:val="0"/>
            <w:vAlign w:val="top"/>
          </w:tcPr>
          <w:p>
            <w:pPr>
              <w:adjustRightInd w:val="0"/>
              <w:spacing w:line="360" w:lineRule="exact"/>
              <w:contextualSpacing/>
              <w:jc w:val="both"/>
              <w:rPr>
                <w:rFonts w:hint="eastAsia"/>
                <w:sz w:val="21"/>
                <w:szCs w:val="21"/>
              </w:rPr>
            </w:pPr>
            <w:r>
              <w:rPr>
                <w:rFonts w:hint="eastAsia"/>
                <w:sz w:val="21"/>
                <w:szCs w:val="21"/>
              </w:rPr>
              <w:t>需要补充的其他内容：</w:t>
            </w:r>
          </w:p>
          <w:p>
            <w:pPr>
              <w:adjustRightInd w:val="0"/>
              <w:spacing w:line="360" w:lineRule="exact"/>
              <w:contextualSpacing/>
              <w:jc w:val="both"/>
              <w:rPr>
                <w:sz w:val="21"/>
                <w:szCs w:val="21"/>
              </w:rPr>
            </w:pPr>
            <w:r>
              <w:rPr>
                <w:rFonts w:hint="eastAsia" w:eastAsia="宋体" w:cs="Times New Roman"/>
                <w:sz w:val="21"/>
                <w:szCs w:val="21"/>
              </w:rPr>
              <w:t xml:space="preserve">招标人应根据项目具体情况确定各评分因素及评分因素权重分值，并对各评分因素进行细分（如有）、确定各评分因素细分项的分值，各评分因素权重分值合计应为 100 分。 各评分因素（评标价和履约信誉评分项除外） 得分一般不得低于其权重分值的 60%，且各评分因素得分应以评标委员会各成员的打分平均值确定， 评标委员会成员总数为 7 人以上时， 该平均值以去掉一个最高分和一个最低分后计算。评标委员会成员对某一项评分因素的评分低于权重分值 60%的，应在评标报告中作出说明。 </w:t>
            </w:r>
          </w:p>
        </w:tc>
      </w:tr>
    </w:tbl>
    <w:p>
      <w:pPr>
        <w:adjustRightInd w:val="0"/>
        <w:contextualSpacing/>
        <w:jc w:val="center"/>
        <w:rPr>
          <w:b/>
          <w:sz w:val="28"/>
          <w:szCs w:val="28"/>
        </w:rPr>
        <w:sectPr>
          <w:pgSz w:w="11907" w:h="16840"/>
          <w:pgMar w:top="1418" w:right="1418" w:bottom="1418" w:left="1588" w:header="851" w:footer="992" w:gutter="0"/>
          <w:cols w:space="720" w:num="1"/>
          <w:docGrid w:linePitch="360" w:charSpace="0"/>
        </w:sectPr>
      </w:pPr>
    </w:p>
    <w:p>
      <w:pPr>
        <w:adjustRightInd w:val="0"/>
        <w:contextualSpacing/>
        <w:jc w:val="center"/>
        <w:rPr>
          <w:rFonts w:hint="eastAsia" w:ascii="宋体" w:hAnsi="宋体"/>
          <w:b/>
          <w:sz w:val="28"/>
          <w:szCs w:val="28"/>
        </w:rPr>
      </w:pPr>
      <w:r>
        <w:rPr>
          <w:rFonts w:ascii="宋体" w:hAnsi="宋体"/>
          <w:b/>
          <w:sz w:val="28"/>
          <w:szCs w:val="28"/>
        </w:rPr>
        <w:t>评审因素</w:t>
      </w:r>
      <w:r>
        <w:rPr>
          <w:rFonts w:hint="eastAsia" w:ascii="宋体" w:hAnsi="宋体"/>
          <w:b/>
          <w:sz w:val="28"/>
          <w:szCs w:val="28"/>
        </w:rPr>
        <w:t>、</w:t>
      </w:r>
      <w:r>
        <w:rPr>
          <w:rFonts w:ascii="宋体" w:hAnsi="宋体"/>
          <w:b/>
          <w:sz w:val="28"/>
          <w:szCs w:val="28"/>
        </w:rPr>
        <w:t>评分值</w:t>
      </w:r>
      <w:r>
        <w:rPr>
          <w:rFonts w:hint="eastAsia" w:ascii="宋体" w:hAnsi="宋体"/>
          <w:b/>
          <w:sz w:val="28"/>
          <w:szCs w:val="28"/>
        </w:rPr>
        <w:t>、</w:t>
      </w:r>
      <w:r>
        <w:rPr>
          <w:rFonts w:ascii="宋体" w:hAnsi="宋体"/>
          <w:b/>
          <w:sz w:val="28"/>
          <w:szCs w:val="28"/>
        </w:rPr>
        <w:t>评</w:t>
      </w:r>
      <w:r>
        <w:rPr>
          <w:rFonts w:hint="eastAsia" w:ascii="宋体" w:hAnsi="宋体"/>
          <w:b/>
          <w:sz w:val="28"/>
          <w:szCs w:val="28"/>
        </w:rPr>
        <w:t>分标准</w:t>
      </w:r>
    </w:p>
    <w:p>
      <w:pPr>
        <w:adjustRightInd w:val="0"/>
        <w:contextualSpacing/>
        <w:jc w:val="center"/>
        <w:rPr>
          <w:rFonts w:hint="eastAsia" w:ascii="宋体" w:hAnsi="宋体"/>
          <w:sz w:val="24"/>
        </w:rPr>
      </w:pPr>
      <w:r>
        <w:rPr>
          <w:rFonts w:ascii="宋体" w:hAnsi="宋体"/>
          <w:sz w:val="24"/>
        </w:rPr>
        <w:t>（适用标</w:t>
      </w:r>
      <w:r>
        <w:rPr>
          <w:rFonts w:hint="eastAsia" w:ascii="宋体" w:hAnsi="宋体"/>
          <w:sz w:val="24"/>
        </w:rPr>
        <w:t>ZX1标段</w:t>
      </w:r>
      <w:r>
        <w:rPr>
          <w:rFonts w:ascii="宋体" w:hAnsi="宋体"/>
          <w:sz w:val="24"/>
        </w:rPr>
        <w:t>）</w:t>
      </w:r>
    </w:p>
    <w:p>
      <w:pPr>
        <w:adjustRightInd w:val="0"/>
        <w:contextualSpacing/>
        <w:rPr>
          <w:rFonts w:hint="eastAsia"/>
          <w:sz w:val="18"/>
        </w:rPr>
      </w:pPr>
    </w:p>
    <w:p>
      <w:pPr>
        <w:adjustRightInd w:val="0"/>
        <w:contextualSpacing/>
        <w:jc w:val="right"/>
        <w:rPr>
          <w:rFonts w:hint="eastAsia" w:ascii="宋体" w:hAnsi="宋体"/>
          <w:sz w:val="21"/>
        </w:rPr>
      </w:pPr>
      <w:r>
        <w:rPr>
          <w:rFonts w:hint="eastAsia" w:ascii="宋体" w:hAnsi="宋体" w:cs="宋体"/>
          <w:sz w:val="21"/>
          <w:szCs w:val="21"/>
        </w:rPr>
        <w:t>续上表</w:t>
      </w:r>
    </w:p>
    <w:tbl>
      <w:tblPr>
        <w:tblStyle w:val="10"/>
        <w:tblW w:w="93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713"/>
        <w:gridCol w:w="275"/>
        <w:gridCol w:w="439"/>
        <w:gridCol w:w="709"/>
        <w:gridCol w:w="1133"/>
        <w:gridCol w:w="705"/>
        <w:gridCol w:w="715"/>
        <w:gridCol w:w="567"/>
        <w:gridCol w:w="41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2" w:hRule="atLeast"/>
          <w:tblHeader/>
          <w:jc w:val="center"/>
        </w:trPr>
        <w:tc>
          <w:tcPr>
            <w:tcW w:w="713" w:type="dxa"/>
            <w:vMerge w:val="restart"/>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条款号</w:t>
            </w:r>
          </w:p>
        </w:tc>
        <w:tc>
          <w:tcPr>
            <w:tcW w:w="4543" w:type="dxa"/>
            <w:gridSpan w:val="7"/>
            <w:noWrap w:val="0"/>
            <w:vAlign w:val="center"/>
          </w:tcPr>
          <w:p>
            <w:pPr>
              <w:adjustRightInd w:val="0"/>
              <w:spacing w:line="360" w:lineRule="exact"/>
              <w:contextualSpacing/>
              <w:jc w:val="center"/>
              <w:rPr>
                <w:rFonts w:hint="eastAsia" w:ascii="宋体" w:hAnsi="宋体"/>
                <w:b/>
                <w:sz w:val="21"/>
                <w:szCs w:val="21"/>
              </w:rPr>
            </w:pPr>
            <w:r>
              <w:rPr>
                <w:rFonts w:hint="eastAsia" w:ascii="宋体" w:hAnsi="宋体"/>
                <w:b/>
                <w:sz w:val="21"/>
                <w:szCs w:val="21"/>
              </w:rPr>
              <w:t>评分因素与权重分值</w:t>
            </w:r>
          </w:p>
        </w:tc>
        <w:tc>
          <w:tcPr>
            <w:tcW w:w="4130" w:type="dxa"/>
            <w:vMerge w:val="restart"/>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07" w:hRule="atLeast"/>
          <w:tblHeader/>
          <w:jc w:val="center"/>
        </w:trPr>
        <w:tc>
          <w:tcPr>
            <w:tcW w:w="713" w:type="dxa"/>
            <w:vMerge w:val="continue"/>
            <w:noWrap w:val="0"/>
            <w:vAlign w:val="center"/>
          </w:tcPr>
          <w:p>
            <w:pPr>
              <w:adjustRightInd w:val="0"/>
              <w:spacing w:line="360" w:lineRule="exact"/>
              <w:contextualSpacing/>
              <w:jc w:val="center"/>
              <w:rPr>
                <w:rFonts w:hint="eastAsia" w:ascii="宋体" w:hAnsi="宋体"/>
                <w:b/>
                <w:sz w:val="21"/>
                <w:szCs w:val="21"/>
              </w:rPr>
            </w:pPr>
          </w:p>
        </w:tc>
        <w:tc>
          <w:tcPr>
            <w:tcW w:w="714" w:type="dxa"/>
            <w:gridSpan w:val="2"/>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评分</w:t>
            </w:r>
          </w:p>
          <w:p>
            <w:pPr>
              <w:pStyle w:val="2"/>
              <w:spacing w:line="360" w:lineRule="exact"/>
              <w:contextualSpacing/>
              <w:jc w:val="center"/>
              <w:rPr>
                <w:rFonts w:hint="eastAsia" w:hAnsi="宋体"/>
                <w:b/>
                <w:color w:val="auto"/>
                <w:sz w:val="21"/>
                <w:szCs w:val="21"/>
              </w:rPr>
            </w:pPr>
            <w:r>
              <w:rPr>
                <w:rFonts w:hint="eastAsia" w:hAnsi="宋体"/>
                <w:b/>
                <w:color w:val="auto"/>
                <w:sz w:val="21"/>
                <w:szCs w:val="21"/>
              </w:rPr>
              <w:t>因素</w:t>
            </w:r>
          </w:p>
        </w:tc>
        <w:tc>
          <w:tcPr>
            <w:tcW w:w="709" w:type="dxa"/>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评分因素权重分值</w:t>
            </w:r>
          </w:p>
        </w:tc>
        <w:tc>
          <w:tcPr>
            <w:tcW w:w="2553" w:type="dxa"/>
            <w:gridSpan w:val="3"/>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各评分因素细分项</w:t>
            </w:r>
          </w:p>
        </w:tc>
        <w:tc>
          <w:tcPr>
            <w:tcW w:w="567" w:type="dxa"/>
            <w:noWrap w:val="0"/>
            <w:vAlign w:val="center"/>
          </w:tcPr>
          <w:p>
            <w:pPr>
              <w:pStyle w:val="2"/>
              <w:spacing w:line="360" w:lineRule="exact"/>
              <w:contextualSpacing/>
              <w:jc w:val="center"/>
              <w:rPr>
                <w:rFonts w:hint="eastAsia" w:hAnsi="宋体"/>
                <w:b/>
                <w:color w:val="auto"/>
                <w:sz w:val="21"/>
                <w:szCs w:val="21"/>
              </w:rPr>
            </w:pPr>
            <w:r>
              <w:rPr>
                <w:rFonts w:hint="eastAsia" w:hAnsi="宋体"/>
                <w:b/>
                <w:color w:val="auto"/>
                <w:sz w:val="21"/>
                <w:szCs w:val="21"/>
              </w:rPr>
              <w:t>分值</w:t>
            </w:r>
          </w:p>
        </w:tc>
        <w:tc>
          <w:tcPr>
            <w:tcW w:w="4130" w:type="dxa"/>
            <w:vMerge w:val="continue"/>
            <w:noWrap w:val="0"/>
            <w:vAlign w:val="center"/>
          </w:tcPr>
          <w:p>
            <w:pPr>
              <w:pStyle w:val="2"/>
              <w:spacing w:line="360" w:lineRule="exact"/>
              <w:contextualSpacing/>
              <w:rPr>
                <w:rFonts w:hint="eastAsia" w:hAnsi="宋体"/>
                <w:b/>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090" w:hRule="atLeast"/>
          <w:jc w:val="center"/>
        </w:trPr>
        <w:tc>
          <w:tcPr>
            <w:tcW w:w="713" w:type="dxa"/>
            <w:vMerge w:val="restart"/>
            <w:noWrap w:val="0"/>
            <w:vAlign w:val="center"/>
          </w:tcPr>
          <w:p>
            <w:pPr>
              <w:pStyle w:val="2"/>
              <w:spacing w:line="360" w:lineRule="exact"/>
              <w:contextualSpacing/>
              <w:jc w:val="center"/>
              <w:rPr>
                <w:rFonts w:hint="eastAsia" w:hAnsi="宋体"/>
                <w:color w:val="auto"/>
                <w:sz w:val="21"/>
                <w:szCs w:val="21"/>
              </w:rPr>
            </w:pPr>
            <w:r>
              <w:rPr>
                <w:rFonts w:hAnsi="宋体"/>
                <w:color w:val="auto"/>
                <w:sz w:val="21"/>
                <w:szCs w:val="21"/>
              </w:rPr>
              <w:t>2.2.4</w:t>
            </w:r>
            <w:r>
              <w:rPr>
                <w:rFonts w:hint="eastAsia" w:hAnsi="宋体"/>
                <w:color w:val="auto"/>
                <w:sz w:val="21"/>
                <w:szCs w:val="21"/>
              </w:rPr>
              <w:t>（</w:t>
            </w:r>
            <w:r>
              <w:rPr>
                <w:rFonts w:hAnsi="宋体"/>
                <w:color w:val="auto"/>
                <w:sz w:val="21"/>
                <w:szCs w:val="21"/>
              </w:rPr>
              <w:t>1</w:t>
            </w:r>
            <w:r>
              <w:rPr>
                <w:rFonts w:hint="eastAsia" w:hAnsi="宋体"/>
                <w:color w:val="auto"/>
                <w:sz w:val="21"/>
                <w:szCs w:val="21"/>
              </w:rPr>
              <w:t>）</w:t>
            </w:r>
            <w:r>
              <w:rPr>
                <w:rFonts w:hAnsi="宋体"/>
                <w:color w:val="auto"/>
                <w:sz w:val="21"/>
                <w:szCs w:val="21"/>
              </w:rPr>
              <w:t xml:space="preserve"> </w:t>
            </w:r>
          </w:p>
        </w:tc>
        <w:tc>
          <w:tcPr>
            <w:tcW w:w="714" w:type="dxa"/>
            <w:gridSpan w:val="2"/>
            <w:vMerge w:val="restart"/>
            <w:noWrap w:val="0"/>
            <w:vAlign w:val="center"/>
          </w:tcPr>
          <w:p>
            <w:pPr>
              <w:pStyle w:val="2"/>
              <w:spacing w:line="360" w:lineRule="exact"/>
              <w:contextualSpacing/>
              <w:jc w:val="center"/>
              <w:rPr>
                <w:rFonts w:hint="eastAsia" w:hAnsi="宋体"/>
                <w:color w:val="auto"/>
                <w:sz w:val="21"/>
                <w:szCs w:val="21"/>
              </w:rPr>
            </w:pPr>
            <w:r>
              <w:rPr>
                <w:rFonts w:hint="eastAsia" w:hAnsi="宋体"/>
                <w:color w:val="auto"/>
                <w:sz w:val="21"/>
                <w:szCs w:val="21"/>
              </w:rPr>
              <w:t>技术建议书</w:t>
            </w:r>
            <w:r>
              <w:rPr>
                <w:rFonts w:hAnsi="宋体"/>
                <w:color w:val="auto"/>
                <w:sz w:val="21"/>
                <w:szCs w:val="21"/>
              </w:rPr>
              <w:t xml:space="preserve"> </w:t>
            </w:r>
          </w:p>
        </w:tc>
        <w:tc>
          <w:tcPr>
            <w:tcW w:w="709" w:type="dxa"/>
            <w:vMerge w:val="restart"/>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45分</w:t>
            </w:r>
          </w:p>
        </w:tc>
        <w:tc>
          <w:tcPr>
            <w:tcW w:w="2553" w:type="dxa"/>
            <w:gridSpan w:val="3"/>
            <w:noWrap w:val="0"/>
            <w:vAlign w:val="center"/>
          </w:tcPr>
          <w:p>
            <w:pPr>
              <w:adjustRightInd w:val="0"/>
              <w:spacing w:line="360" w:lineRule="exact"/>
              <w:ind w:firstLine="210" w:firstLineChars="100"/>
              <w:contextualSpacing/>
              <w:rPr>
                <w:rFonts w:hint="eastAsia" w:ascii="宋体" w:hAnsi="宋体"/>
                <w:sz w:val="21"/>
                <w:szCs w:val="21"/>
              </w:rPr>
            </w:pPr>
            <w:r>
              <w:rPr>
                <w:rFonts w:ascii="宋体" w:hAnsi="宋体"/>
                <w:sz w:val="21"/>
                <w:szCs w:val="21"/>
              </w:rPr>
              <w:t>对</w:t>
            </w:r>
            <w:r>
              <w:rPr>
                <w:rFonts w:hint="eastAsia" w:ascii="宋体" w:hAnsi="宋体"/>
                <w:sz w:val="21"/>
                <w:szCs w:val="21"/>
              </w:rPr>
              <w:t>招标</w:t>
            </w:r>
            <w:r>
              <w:rPr>
                <w:rFonts w:ascii="宋体" w:hAnsi="宋体"/>
                <w:sz w:val="21"/>
                <w:szCs w:val="21"/>
              </w:rPr>
              <w:t>项目的理解</w:t>
            </w:r>
          </w:p>
        </w:tc>
        <w:tc>
          <w:tcPr>
            <w:tcW w:w="567" w:type="dxa"/>
            <w:noWrap w:val="0"/>
            <w:vAlign w:val="center"/>
          </w:tcPr>
          <w:p>
            <w:pPr>
              <w:tabs>
                <w:tab w:val="left" w:pos="460"/>
              </w:tabs>
              <w:autoSpaceDE w:val="0"/>
              <w:autoSpaceDN w:val="0"/>
              <w:adjustRightInd w:val="0"/>
              <w:spacing w:line="360" w:lineRule="exact"/>
              <w:contextualSpacing/>
              <w:jc w:val="center"/>
              <w:rPr>
                <w:rFonts w:ascii="宋体" w:hAnsi="宋体"/>
                <w:sz w:val="21"/>
                <w:szCs w:val="21"/>
              </w:rPr>
            </w:pPr>
            <w:r>
              <w:rPr>
                <w:rFonts w:hint="eastAsia" w:ascii="宋体" w:hAnsi="宋体"/>
                <w:sz w:val="21"/>
                <w:szCs w:val="21"/>
              </w:rPr>
              <w:t>10</w:t>
            </w:r>
            <w:r>
              <w:rPr>
                <w:rFonts w:ascii="宋体" w:hAnsi="宋体"/>
                <w:sz w:val="21"/>
                <w:szCs w:val="21"/>
              </w:rPr>
              <w:t>分</w:t>
            </w:r>
          </w:p>
        </w:tc>
        <w:tc>
          <w:tcPr>
            <w:tcW w:w="4130" w:type="dxa"/>
            <w:noWrap w:val="0"/>
            <w:vAlign w:val="center"/>
          </w:tcPr>
          <w:p>
            <w:pPr>
              <w:adjustRightInd w:val="0"/>
              <w:spacing w:line="360" w:lineRule="exact"/>
              <w:ind w:firstLine="210" w:firstLineChars="100"/>
              <w:contextualSpacing/>
              <w:rPr>
                <w:rFonts w:hint="eastAsia" w:ascii="宋体" w:hAnsi="宋体"/>
                <w:sz w:val="21"/>
                <w:szCs w:val="21"/>
              </w:rPr>
            </w:pPr>
            <w:r>
              <w:rPr>
                <w:rFonts w:hint="eastAsia" w:ascii="宋体" w:hAnsi="宋体"/>
                <w:sz w:val="21"/>
                <w:szCs w:val="21"/>
              </w:rPr>
              <w:t>投标人对招标项目的（1）对项目地形地貌、水文、地质及原有道路状况等建设条件的了解；</w:t>
            </w:r>
          </w:p>
          <w:p>
            <w:pPr>
              <w:adjustRightInd w:val="0"/>
              <w:spacing w:line="360" w:lineRule="exact"/>
              <w:ind w:firstLine="210" w:firstLineChars="100"/>
              <w:contextualSpacing/>
              <w:rPr>
                <w:rFonts w:hint="eastAsia" w:ascii="宋体" w:hAnsi="宋体"/>
                <w:sz w:val="21"/>
                <w:szCs w:val="21"/>
              </w:rPr>
            </w:pPr>
            <w:r>
              <w:rPr>
                <w:rFonts w:hint="eastAsia" w:ascii="宋体" w:hAnsi="宋体"/>
                <w:sz w:val="21"/>
                <w:szCs w:val="21"/>
              </w:rPr>
              <w:t>（2）对项目沿线基本农田分布、矿藏资源分布、生态保护分布、城镇规划、重要管线分布、路网现状及规划、沿线地方政府意见等控制因素的了解。</w:t>
            </w:r>
          </w:p>
          <w:p>
            <w:pPr>
              <w:adjustRightInd w:val="0"/>
              <w:spacing w:line="360" w:lineRule="exact"/>
              <w:ind w:firstLine="210" w:firstLineChars="100"/>
              <w:contextualSpacing/>
              <w:rPr>
                <w:rFonts w:hint="eastAsia" w:ascii="宋体" w:hAnsi="宋体"/>
                <w:sz w:val="21"/>
                <w:szCs w:val="21"/>
              </w:rPr>
            </w:pPr>
            <w:r>
              <w:rPr>
                <w:rFonts w:hint="eastAsia" w:ascii="宋体" w:hAnsi="宋体"/>
                <w:sz w:val="21"/>
                <w:szCs w:val="21"/>
              </w:rPr>
              <w:t>阐述得好的，得9-10分；较好，得7.5-9分；一般，得6-7.5分。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20"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2553" w:type="dxa"/>
            <w:gridSpan w:val="3"/>
            <w:noWrap w:val="0"/>
            <w:vAlign w:val="center"/>
          </w:tcPr>
          <w:p>
            <w:pPr>
              <w:adjustRightInd w:val="0"/>
              <w:spacing w:line="360" w:lineRule="exact"/>
              <w:ind w:firstLine="210" w:firstLineChars="100"/>
              <w:contextualSpacing/>
              <w:rPr>
                <w:rFonts w:hint="eastAsia" w:ascii="宋体" w:hAnsi="宋体"/>
                <w:sz w:val="21"/>
                <w:szCs w:val="21"/>
              </w:rPr>
            </w:pPr>
            <w:r>
              <w:rPr>
                <w:rFonts w:ascii="宋体" w:hAnsi="宋体"/>
                <w:sz w:val="21"/>
                <w:szCs w:val="21"/>
              </w:rPr>
              <w:t>招标项目</w:t>
            </w:r>
            <w:r>
              <w:rPr>
                <w:rFonts w:hint="eastAsia" w:ascii="宋体" w:hAnsi="宋体"/>
                <w:sz w:val="21"/>
                <w:szCs w:val="21"/>
              </w:rPr>
              <w:t>勘察设计的</w:t>
            </w:r>
            <w:r>
              <w:rPr>
                <w:rFonts w:ascii="宋体" w:hAnsi="宋体"/>
                <w:sz w:val="21"/>
                <w:szCs w:val="21"/>
              </w:rPr>
              <w:t>特点</w:t>
            </w:r>
            <w:r>
              <w:rPr>
                <w:rFonts w:hint="eastAsia" w:ascii="宋体" w:hAnsi="宋体"/>
                <w:sz w:val="21"/>
                <w:szCs w:val="21"/>
              </w:rPr>
              <w:t>、</w:t>
            </w:r>
            <w:r>
              <w:rPr>
                <w:rFonts w:ascii="宋体" w:hAnsi="宋体"/>
                <w:sz w:val="21"/>
                <w:szCs w:val="21"/>
              </w:rPr>
              <w:t>关键技术问题的认识</w:t>
            </w:r>
            <w:r>
              <w:rPr>
                <w:rFonts w:hint="eastAsia" w:ascii="宋体" w:hAnsi="宋体"/>
                <w:sz w:val="21"/>
                <w:szCs w:val="21"/>
              </w:rPr>
              <w:t>及其对策措施</w:t>
            </w:r>
          </w:p>
        </w:tc>
        <w:tc>
          <w:tcPr>
            <w:tcW w:w="567" w:type="dxa"/>
            <w:noWrap w:val="0"/>
            <w:vAlign w:val="center"/>
          </w:tcPr>
          <w:p>
            <w:pPr>
              <w:tabs>
                <w:tab w:val="left" w:pos="460"/>
              </w:tabs>
              <w:autoSpaceDE w:val="0"/>
              <w:autoSpaceDN w:val="0"/>
              <w:adjustRightInd w:val="0"/>
              <w:spacing w:line="360" w:lineRule="exact"/>
              <w:contextualSpacing/>
              <w:jc w:val="center"/>
              <w:rPr>
                <w:rFonts w:ascii="宋体" w:hAnsi="宋体"/>
                <w:sz w:val="21"/>
                <w:szCs w:val="21"/>
              </w:rPr>
            </w:pPr>
            <w:r>
              <w:rPr>
                <w:rFonts w:hint="eastAsia" w:ascii="宋体" w:hAnsi="宋体"/>
                <w:sz w:val="21"/>
                <w:szCs w:val="21"/>
              </w:rPr>
              <w:t>15</w:t>
            </w:r>
            <w:r>
              <w:rPr>
                <w:rFonts w:ascii="宋体" w:hAnsi="宋体"/>
                <w:sz w:val="21"/>
                <w:szCs w:val="21"/>
              </w:rPr>
              <w:t>分</w:t>
            </w:r>
          </w:p>
        </w:tc>
        <w:tc>
          <w:tcPr>
            <w:tcW w:w="4130" w:type="dxa"/>
            <w:noWrap w:val="0"/>
            <w:vAlign w:val="center"/>
          </w:tcPr>
          <w:p>
            <w:pPr>
              <w:adjustRightInd w:val="0"/>
              <w:spacing w:line="360" w:lineRule="exact"/>
              <w:ind w:firstLine="210" w:firstLineChars="100"/>
              <w:contextualSpacing/>
              <w:rPr>
                <w:rFonts w:hint="eastAsia" w:ascii="宋体" w:hAnsi="宋体"/>
                <w:sz w:val="21"/>
                <w:szCs w:val="21"/>
              </w:rPr>
            </w:pPr>
            <w:r>
              <w:rPr>
                <w:rFonts w:ascii="宋体" w:hAnsi="宋体"/>
                <w:sz w:val="21"/>
                <w:szCs w:val="21"/>
              </w:rPr>
              <w:t>对项目勘察设计关键技术问题的认识及其对策进行阐述，阐述得好的</w:t>
            </w:r>
            <w:r>
              <w:rPr>
                <w:rFonts w:hint="eastAsia" w:ascii="宋体" w:hAnsi="宋体"/>
                <w:sz w:val="21"/>
                <w:szCs w:val="21"/>
              </w:rPr>
              <w:t>，得13.5-15分；较好，得11.25-13.5分；一般，得9-11.25分</w:t>
            </w:r>
            <w:r>
              <w:rPr>
                <w:rFonts w:hint="eastAsia" w:ascii="宋体" w:hAnsi="宋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20"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2553" w:type="dxa"/>
            <w:gridSpan w:val="3"/>
            <w:noWrap w:val="0"/>
            <w:vAlign w:val="center"/>
          </w:tcPr>
          <w:p>
            <w:pPr>
              <w:autoSpaceDE w:val="0"/>
              <w:autoSpaceDN w:val="0"/>
              <w:adjustRightInd w:val="0"/>
              <w:spacing w:line="360" w:lineRule="exact"/>
              <w:ind w:firstLine="105" w:firstLineChars="50"/>
              <w:contextualSpacing/>
              <w:rPr>
                <w:rFonts w:ascii="宋体" w:hAnsi="宋体"/>
                <w:sz w:val="21"/>
                <w:szCs w:val="21"/>
              </w:rPr>
            </w:pPr>
            <w:r>
              <w:rPr>
                <w:rFonts w:ascii="宋体" w:hAnsi="宋体"/>
                <w:sz w:val="21"/>
                <w:szCs w:val="21"/>
              </w:rPr>
              <w:t>质量保证措施</w:t>
            </w:r>
            <w:r>
              <w:rPr>
                <w:rFonts w:hint="eastAsia" w:ascii="宋体" w:hAnsi="宋体"/>
                <w:sz w:val="21"/>
                <w:szCs w:val="21"/>
              </w:rPr>
              <w:t>、</w:t>
            </w:r>
            <w:r>
              <w:rPr>
                <w:rFonts w:ascii="宋体" w:hAnsi="宋体"/>
                <w:sz w:val="21"/>
                <w:szCs w:val="21"/>
              </w:rPr>
              <w:t>进度保证措施</w:t>
            </w:r>
            <w:r>
              <w:rPr>
                <w:rFonts w:hint="eastAsia" w:ascii="宋体" w:hAnsi="宋体"/>
                <w:sz w:val="21"/>
                <w:szCs w:val="21"/>
              </w:rPr>
              <w:t>、安全</w:t>
            </w:r>
            <w:r>
              <w:rPr>
                <w:rFonts w:ascii="宋体" w:hAnsi="宋体"/>
                <w:sz w:val="21"/>
                <w:szCs w:val="21"/>
              </w:rPr>
              <w:t>保证措施</w:t>
            </w:r>
          </w:p>
        </w:tc>
        <w:tc>
          <w:tcPr>
            <w:tcW w:w="567" w:type="dxa"/>
            <w:noWrap w:val="0"/>
            <w:vAlign w:val="center"/>
          </w:tcPr>
          <w:p>
            <w:pPr>
              <w:tabs>
                <w:tab w:val="left" w:pos="460"/>
              </w:tabs>
              <w:autoSpaceDE w:val="0"/>
              <w:autoSpaceDN w:val="0"/>
              <w:adjustRightInd w:val="0"/>
              <w:spacing w:line="360" w:lineRule="exact"/>
              <w:contextualSpacing/>
              <w:jc w:val="center"/>
              <w:rPr>
                <w:rFonts w:hint="eastAsia" w:ascii="宋体" w:hAnsi="宋体"/>
                <w:sz w:val="21"/>
                <w:szCs w:val="21"/>
              </w:rPr>
            </w:pPr>
            <w:r>
              <w:rPr>
                <w:rFonts w:hint="eastAsia" w:ascii="宋体" w:hAnsi="宋体"/>
                <w:sz w:val="21"/>
                <w:szCs w:val="21"/>
              </w:rPr>
              <w:t>10</w:t>
            </w:r>
            <w:r>
              <w:rPr>
                <w:rFonts w:ascii="宋体" w:hAnsi="宋体"/>
                <w:sz w:val="21"/>
                <w:szCs w:val="21"/>
              </w:rPr>
              <w:t>分</w:t>
            </w:r>
          </w:p>
        </w:tc>
        <w:tc>
          <w:tcPr>
            <w:tcW w:w="4130" w:type="dxa"/>
            <w:noWrap w:val="0"/>
            <w:vAlign w:val="center"/>
          </w:tcPr>
          <w:p>
            <w:pPr>
              <w:adjustRightInd w:val="0"/>
              <w:spacing w:line="360" w:lineRule="exact"/>
              <w:ind w:firstLine="210" w:firstLineChars="100"/>
              <w:contextualSpacing/>
              <w:rPr>
                <w:rFonts w:ascii="宋体" w:hAnsi="宋体"/>
                <w:sz w:val="21"/>
                <w:szCs w:val="21"/>
              </w:rPr>
            </w:pPr>
            <w:r>
              <w:rPr>
                <w:rFonts w:ascii="宋体" w:hAnsi="宋体"/>
                <w:sz w:val="21"/>
                <w:szCs w:val="21"/>
              </w:rPr>
              <w:t>投标人对招标项目</w:t>
            </w:r>
            <w:r>
              <w:rPr>
                <w:rFonts w:hint="eastAsia" w:ascii="宋体" w:hAnsi="宋体"/>
                <w:sz w:val="21"/>
                <w:szCs w:val="21"/>
              </w:rPr>
              <w:t>的</w:t>
            </w:r>
            <w:r>
              <w:rPr>
                <w:rFonts w:ascii="宋体" w:hAnsi="宋体"/>
                <w:sz w:val="21"/>
                <w:szCs w:val="21"/>
              </w:rPr>
              <w:t>质量保证措施</w:t>
            </w:r>
            <w:r>
              <w:rPr>
                <w:rFonts w:hint="eastAsia" w:ascii="宋体" w:hAnsi="宋体"/>
                <w:sz w:val="21"/>
                <w:szCs w:val="21"/>
              </w:rPr>
              <w:t>、</w:t>
            </w:r>
            <w:r>
              <w:rPr>
                <w:rFonts w:ascii="宋体" w:hAnsi="宋体"/>
                <w:sz w:val="21"/>
                <w:szCs w:val="21"/>
              </w:rPr>
              <w:t>进度保证措施</w:t>
            </w:r>
            <w:r>
              <w:rPr>
                <w:rFonts w:hint="eastAsia" w:ascii="宋体" w:hAnsi="宋体"/>
                <w:sz w:val="21"/>
                <w:szCs w:val="21"/>
              </w:rPr>
              <w:t>、安全</w:t>
            </w:r>
            <w:r>
              <w:rPr>
                <w:rFonts w:ascii="宋体" w:hAnsi="宋体"/>
                <w:sz w:val="21"/>
                <w:szCs w:val="21"/>
              </w:rPr>
              <w:t>保证措施</w:t>
            </w:r>
            <w:r>
              <w:rPr>
                <w:rFonts w:hint="eastAsia" w:ascii="宋体" w:hAnsi="宋体"/>
                <w:sz w:val="21"/>
                <w:szCs w:val="21"/>
              </w:rPr>
              <w:t>等方面进行</w:t>
            </w:r>
            <w:r>
              <w:rPr>
                <w:rFonts w:ascii="宋体" w:hAnsi="宋体"/>
                <w:sz w:val="21"/>
                <w:szCs w:val="21"/>
              </w:rPr>
              <w:t>阐述</w:t>
            </w:r>
            <w:r>
              <w:rPr>
                <w:rFonts w:hint="eastAsia" w:ascii="宋体" w:hAnsi="宋体"/>
                <w:sz w:val="21"/>
                <w:szCs w:val="21"/>
              </w:rPr>
              <w:t>，</w:t>
            </w:r>
            <w:r>
              <w:rPr>
                <w:rFonts w:ascii="宋体" w:hAnsi="宋体"/>
                <w:sz w:val="21"/>
                <w:szCs w:val="21"/>
              </w:rPr>
              <w:t>阐述</w:t>
            </w:r>
            <w:r>
              <w:rPr>
                <w:rFonts w:hint="eastAsia" w:ascii="宋体" w:hAnsi="宋体"/>
                <w:sz w:val="21"/>
                <w:szCs w:val="21"/>
              </w:rPr>
              <w:t>得好的，得9-10分；较好，得7.5-9分；一般，得6-7.5分</w:t>
            </w:r>
            <w:r>
              <w:rPr>
                <w:rFonts w:hint="eastAsia" w:ascii="宋体" w:hAnsi="宋体" w:cs="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20"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2553" w:type="dxa"/>
            <w:gridSpan w:val="3"/>
            <w:noWrap w:val="0"/>
            <w:vAlign w:val="center"/>
          </w:tcPr>
          <w:p>
            <w:pPr>
              <w:adjustRightInd w:val="0"/>
              <w:spacing w:line="360" w:lineRule="exact"/>
              <w:ind w:firstLine="210" w:firstLineChars="100"/>
              <w:contextualSpacing/>
              <w:rPr>
                <w:rFonts w:hint="eastAsia" w:ascii="宋体" w:hAnsi="宋体"/>
                <w:sz w:val="21"/>
                <w:szCs w:val="21"/>
              </w:rPr>
            </w:pPr>
            <w:r>
              <w:rPr>
                <w:rFonts w:hint="eastAsia" w:ascii="宋体" w:hAnsi="宋体"/>
                <w:sz w:val="21"/>
                <w:szCs w:val="21"/>
              </w:rPr>
              <w:t>勘察设计监理机构设置与人员安排</w:t>
            </w:r>
          </w:p>
        </w:tc>
        <w:tc>
          <w:tcPr>
            <w:tcW w:w="567" w:type="dxa"/>
            <w:noWrap w:val="0"/>
            <w:vAlign w:val="center"/>
          </w:tcPr>
          <w:p>
            <w:pPr>
              <w:tabs>
                <w:tab w:val="left" w:pos="460"/>
              </w:tabs>
              <w:autoSpaceDE w:val="0"/>
              <w:autoSpaceDN w:val="0"/>
              <w:adjustRightInd w:val="0"/>
              <w:spacing w:line="360" w:lineRule="exact"/>
              <w:contextualSpacing/>
              <w:jc w:val="center"/>
              <w:rPr>
                <w:rFonts w:ascii="宋体" w:hAnsi="宋体"/>
                <w:sz w:val="21"/>
                <w:szCs w:val="21"/>
              </w:rPr>
            </w:pPr>
            <w:r>
              <w:rPr>
                <w:rFonts w:hint="eastAsia" w:ascii="宋体" w:hAnsi="宋体"/>
                <w:sz w:val="21"/>
                <w:szCs w:val="21"/>
              </w:rPr>
              <w:t>5分</w:t>
            </w:r>
          </w:p>
        </w:tc>
        <w:tc>
          <w:tcPr>
            <w:tcW w:w="4130" w:type="dxa"/>
            <w:noWrap w:val="0"/>
            <w:vAlign w:val="center"/>
          </w:tcPr>
          <w:p>
            <w:pPr>
              <w:adjustRightInd w:val="0"/>
              <w:spacing w:line="360" w:lineRule="exact"/>
              <w:ind w:firstLine="210" w:firstLineChars="100"/>
              <w:contextualSpacing/>
              <w:rPr>
                <w:rFonts w:hint="eastAsia" w:ascii="宋体" w:hAnsi="宋体"/>
                <w:sz w:val="21"/>
                <w:szCs w:val="21"/>
              </w:rPr>
            </w:pPr>
            <w:r>
              <w:rPr>
                <w:rFonts w:hint="eastAsia" w:ascii="宋体" w:hAnsi="宋体"/>
                <w:sz w:val="21"/>
                <w:szCs w:val="21"/>
              </w:rPr>
              <w:t>投标人对招标项目的勘察设计监理机构设置与人员安排等方面进行阐述，阐述得好的，得4.5-5分；较好，得3.75-4.5分；一般，得3-3.75分。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20"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2553" w:type="dxa"/>
            <w:gridSpan w:val="3"/>
            <w:noWrap w:val="0"/>
            <w:vAlign w:val="center"/>
          </w:tcPr>
          <w:p>
            <w:pPr>
              <w:autoSpaceDE w:val="0"/>
              <w:autoSpaceDN w:val="0"/>
              <w:adjustRightInd w:val="0"/>
              <w:spacing w:line="360" w:lineRule="exact"/>
              <w:ind w:firstLine="105" w:firstLineChars="50"/>
              <w:contextualSpacing/>
              <w:rPr>
                <w:rFonts w:hint="eastAsia" w:ascii="宋体" w:hAnsi="宋体"/>
                <w:sz w:val="21"/>
                <w:szCs w:val="21"/>
              </w:rPr>
            </w:pPr>
            <w:r>
              <w:rPr>
                <w:rFonts w:hint="eastAsia" w:ascii="宋体" w:hAnsi="宋体"/>
                <w:sz w:val="21"/>
                <w:szCs w:val="21"/>
              </w:rPr>
              <w:t>后续服务的安排及保证措施</w:t>
            </w:r>
          </w:p>
        </w:tc>
        <w:tc>
          <w:tcPr>
            <w:tcW w:w="567" w:type="dxa"/>
            <w:noWrap w:val="0"/>
            <w:vAlign w:val="center"/>
          </w:tcPr>
          <w:p>
            <w:pPr>
              <w:tabs>
                <w:tab w:val="left" w:pos="460"/>
              </w:tabs>
              <w:autoSpaceDE w:val="0"/>
              <w:autoSpaceDN w:val="0"/>
              <w:adjustRightInd w:val="0"/>
              <w:spacing w:line="360" w:lineRule="exact"/>
              <w:contextualSpacing/>
              <w:jc w:val="center"/>
              <w:rPr>
                <w:rFonts w:ascii="宋体" w:hAnsi="宋体"/>
                <w:sz w:val="21"/>
                <w:szCs w:val="21"/>
              </w:rPr>
            </w:pPr>
            <w:r>
              <w:rPr>
                <w:rFonts w:hint="eastAsia" w:ascii="宋体" w:hAnsi="宋体"/>
                <w:sz w:val="21"/>
                <w:szCs w:val="21"/>
              </w:rPr>
              <w:t>5分</w:t>
            </w:r>
          </w:p>
        </w:tc>
        <w:tc>
          <w:tcPr>
            <w:tcW w:w="4130" w:type="dxa"/>
            <w:noWrap w:val="0"/>
            <w:vAlign w:val="center"/>
          </w:tcPr>
          <w:p>
            <w:pPr>
              <w:adjustRightInd w:val="0"/>
              <w:spacing w:line="360" w:lineRule="exact"/>
              <w:ind w:firstLine="210" w:firstLineChars="100"/>
              <w:contextualSpacing/>
              <w:rPr>
                <w:rFonts w:hint="eastAsia" w:ascii="宋体" w:hAnsi="宋体"/>
                <w:sz w:val="21"/>
                <w:szCs w:val="21"/>
              </w:rPr>
            </w:pPr>
            <w:r>
              <w:rPr>
                <w:rFonts w:hint="eastAsia" w:ascii="宋体" w:hAnsi="宋体"/>
                <w:sz w:val="21"/>
                <w:szCs w:val="21"/>
              </w:rPr>
              <w:t>投标人对招标项目的后续服务安排及保证措施进行阐述，阐述得好的，得4.5-5分；较好，得3.75-4.5分；一般，得3-3.75分。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19" w:hRule="atLeast"/>
          <w:jc w:val="center"/>
        </w:trPr>
        <w:tc>
          <w:tcPr>
            <w:tcW w:w="713" w:type="dxa"/>
            <w:vMerge w:val="restart"/>
            <w:noWrap w:val="0"/>
            <w:vAlign w:val="center"/>
          </w:tcPr>
          <w:p>
            <w:pPr>
              <w:pStyle w:val="2"/>
              <w:spacing w:line="360" w:lineRule="exact"/>
              <w:contextualSpacing/>
              <w:jc w:val="center"/>
              <w:rPr>
                <w:rFonts w:hint="eastAsia" w:hAnsi="宋体"/>
                <w:color w:val="auto"/>
                <w:sz w:val="21"/>
                <w:szCs w:val="21"/>
              </w:rPr>
            </w:pPr>
            <w:r>
              <w:rPr>
                <w:rFonts w:hAnsi="宋体"/>
                <w:color w:val="auto"/>
                <w:sz w:val="21"/>
                <w:szCs w:val="21"/>
              </w:rPr>
              <w:t>2.2.4</w:t>
            </w:r>
            <w:r>
              <w:rPr>
                <w:rFonts w:hint="eastAsia" w:hAnsi="宋体"/>
                <w:color w:val="auto"/>
                <w:sz w:val="21"/>
                <w:szCs w:val="21"/>
              </w:rPr>
              <w:t>（2）</w:t>
            </w:r>
            <w:r>
              <w:rPr>
                <w:rFonts w:hAnsi="宋体"/>
                <w:color w:val="auto"/>
                <w:sz w:val="21"/>
                <w:szCs w:val="21"/>
              </w:rPr>
              <w:t xml:space="preserve"> </w:t>
            </w:r>
          </w:p>
        </w:tc>
        <w:tc>
          <w:tcPr>
            <w:tcW w:w="714" w:type="dxa"/>
            <w:gridSpan w:val="2"/>
            <w:vMerge w:val="restart"/>
            <w:noWrap w:val="0"/>
            <w:vAlign w:val="center"/>
          </w:tcPr>
          <w:p>
            <w:pPr>
              <w:pStyle w:val="2"/>
              <w:spacing w:line="360" w:lineRule="exact"/>
              <w:contextualSpacing/>
              <w:jc w:val="center"/>
              <w:rPr>
                <w:rFonts w:hint="eastAsia"/>
                <w:color w:val="auto"/>
                <w:sz w:val="21"/>
                <w:szCs w:val="21"/>
              </w:rPr>
            </w:pPr>
            <w:r>
              <w:rPr>
                <w:rFonts w:hint="eastAsia"/>
                <w:color w:val="auto"/>
                <w:sz w:val="21"/>
                <w:szCs w:val="21"/>
              </w:rPr>
              <w:t>主要</w:t>
            </w:r>
          </w:p>
          <w:p>
            <w:pPr>
              <w:pStyle w:val="2"/>
              <w:spacing w:line="360" w:lineRule="exact"/>
              <w:contextualSpacing/>
              <w:jc w:val="center"/>
              <w:rPr>
                <w:rFonts w:hint="eastAsia"/>
                <w:color w:val="auto"/>
                <w:sz w:val="21"/>
                <w:szCs w:val="21"/>
              </w:rPr>
            </w:pPr>
            <w:r>
              <w:rPr>
                <w:rFonts w:hint="eastAsia"/>
                <w:color w:val="auto"/>
                <w:sz w:val="21"/>
                <w:szCs w:val="21"/>
              </w:rPr>
              <w:t>人员</w:t>
            </w:r>
          </w:p>
        </w:tc>
        <w:tc>
          <w:tcPr>
            <w:tcW w:w="709" w:type="dxa"/>
            <w:vMerge w:val="restart"/>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25分</w:t>
            </w:r>
          </w:p>
        </w:tc>
        <w:tc>
          <w:tcPr>
            <w:tcW w:w="1133" w:type="dxa"/>
            <w:vMerge w:val="restart"/>
            <w:noWrap w:val="0"/>
            <w:vAlign w:val="center"/>
          </w:tcPr>
          <w:p>
            <w:pPr>
              <w:pStyle w:val="2"/>
              <w:spacing w:line="360" w:lineRule="exact"/>
              <w:contextualSpacing/>
              <w:rPr>
                <w:rFonts w:hint="eastAsia" w:hAnsi="宋体"/>
                <w:color w:val="auto"/>
                <w:sz w:val="21"/>
                <w:szCs w:val="21"/>
              </w:rPr>
            </w:pPr>
            <w:r>
              <w:rPr>
                <w:rFonts w:hint="eastAsia" w:ascii="Calibri" w:hAnsi="Calibri" w:cs="Arial"/>
                <w:color w:val="auto"/>
                <w:sz w:val="21"/>
                <w:szCs w:val="21"/>
              </w:rPr>
              <w:t>项目负责人任职资格与业绩</w:t>
            </w:r>
          </w:p>
        </w:tc>
        <w:tc>
          <w:tcPr>
            <w:tcW w:w="1420" w:type="dxa"/>
            <w:gridSpan w:val="2"/>
            <w:noWrap w:val="0"/>
            <w:vAlign w:val="center"/>
          </w:tcPr>
          <w:p>
            <w:pPr>
              <w:autoSpaceDE w:val="0"/>
              <w:autoSpaceDN w:val="0"/>
              <w:adjustRightInd w:val="0"/>
              <w:spacing w:line="360" w:lineRule="exact"/>
              <w:contextualSpacing/>
              <w:jc w:val="center"/>
              <w:rPr>
                <w:sz w:val="21"/>
                <w:szCs w:val="21"/>
              </w:rPr>
            </w:pPr>
            <w:r>
              <w:rPr>
                <w:sz w:val="21"/>
                <w:szCs w:val="21"/>
              </w:rPr>
              <w:t>基本分</w:t>
            </w:r>
          </w:p>
        </w:tc>
        <w:tc>
          <w:tcPr>
            <w:tcW w:w="567" w:type="dxa"/>
            <w:noWrap w:val="0"/>
            <w:vAlign w:val="center"/>
          </w:tcPr>
          <w:p>
            <w:pPr>
              <w:tabs>
                <w:tab w:val="left" w:pos="460"/>
              </w:tabs>
              <w:autoSpaceDE w:val="0"/>
              <w:autoSpaceDN w:val="0"/>
              <w:adjustRightInd w:val="0"/>
              <w:spacing w:line="360" w:lineRule="exact"/>
              <w:contextualSpacing/>
              <w:jc w:val="center"/>
              <w:rPr>
                <w:sz w:val="21"/>
                <w:szCs w:val="21"/>
              </w:rPr>
            </w:pPr>
            <w:r>
              <w:rPr>
                <w:rFonts w:hint="eastAsia"/>
                <w:sz w:val="21"/>
                <w:szCs w:val="21"/>
              </w:rPr>
              <w:t>15</w:t>
            </w:r>
            <w:r>
              <w:rPr>
                <w:sz w:val="21"/>
                <w:szCs w:val="21"/>
              </w:rPr>
              <w:t>分</w:t>
            </w:r>
          </w:p>
        </w:tc>
        <w:tc>
          <w:tcPr>
            <w:tcW w:w="4130" w:type="dxa"/>
            <w:noWrap w:val="0"/>
            <w:vAlign w:val="center"/>
          </w:tcPr>
          <w:p>
            <w:pPr>
              <w:adjustRightInd w:val="0"/>
              <w:spacing w:line="360" w:lineRule="exact"/>
              <w:ind w:firstLine="210" w:firstLineChars="100"/>
              <w:contextualSpacing/>
              <w:rPr>
                <w:rFonts w:hint="eastAsia"/>
                <w:sz w:val="21"/>
                <w:szCs w:val="21"/>
              </w:rPr>
            </w:pPr>
            <w:r>
              <w:rPr>
                <w:sz w:val="21"/>
                <w:szCs w:val="21"/>
              </w:rPr>
              <w:t>满足招标文件资格审查条件最低要求的，得基本分</w:t>
            </w:r>
            <w:r>
              <w:rPr>
                <w:rFonts w:hint="eastAsia"/>
                <w:sz w:val="21"/>
                <w:szCs w:val="21"/>
              </w:rPr>
              <w:t>15</w:t>
            </w:r>
            <w:r>
              <w:rPr>
                <w:sz w:val="21"/>
                <w:szCs w:val="21"/>
              </w:rPr>
              <w:t>分</w:t>
            </w: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120" w:hRule="atLeast"/>
          <w:jc w:val="center"/>
        </w:trPr>
        <w:tc>
          <w:tcPr>
            <w:tcW w:w="713" w:type="dxa"/>
            <w:vMerge w:val="continue"/>
            <w:noWrap w:val="0"/>
            <w:vAlign w:val="center"/>
          </w:tcPr>
          <w:p>
            <w:pPr>
              <w:pStyle w:val="2"/>
              <w:spacing w:line="360" w:lineRule="exact"/>
              <w:contextualSpacing/>
              <w:jc w:val="center"/>
              <w:rPr>
                <w:rFonts w:hAnsi="宋体"/>
                <w:color w:val="auto"/>
                <w:sz w:val="21"/>
                <w:szCs w:val="21"/>
              </w:rPr>
            </w:pPr>
          </w:p>
        </w:tc>
        <w:tc>
          <w:tcPr>
            <w:tcW w:w="714" w:type="dxa"/>
            <w:gridSpan w:val="2"/>
            <w:vMerge w:val="continue"/>
            <w:noWrap w:val="0"/>
            <w:vAlign w:val="center"/>
          </w:tcPr>
          <w:p>
            <w:pPr>
              <w:pStyle w:val="2"/>
              <w:spacing w:line="360" w:lineRule="exact"/>
              <w:contextualSpacing/>
              <w:jc w:val="center"/>
              <w:rPr>
                <w:rFonts w:hint="eastAsia" w:hAnsi="宋体"/>
                <w:color w:val="auto"/>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1133" w:type="dxa"/>
            <w:vMerge w:val="continue"/>
            <w:noWrap w:val="0"/>
            <w:vAlign w:val="center"/>
          </w:tcPr>
          <w:p>
            <w:pPr>
              <w:pStyle w:val="2"/>
              <w:spacing w:line="360" w:lineRule="exact"/>
              <w:ind w:firstLine="210" w:firstLineChars="100"/>
              <w:contextualSpacing/>
              <w:rPr>
                <w:rFonts w:hint="eastAsia" w:hAnsi="宋体"/>
                <w:color w:val="auto"/>
                <w:sz w:val="21"/>
                <w:szCs w:val="21"/>
              </w:rPr>
            </w:pPr>
          </w:p>
        </w:tc>
        <w:tc>
          <w:tcPr>
            <w:tcW w:w="1420" w:type="dxa"/>
            <w:gridSpan w:val="2"/>
            <w:noWrap w:val="0"/>
            <w:vAlign w:val="center"/>
          </w:tcPr>
          <w:p>
            <w:pPr>
              <w:autoSpaceDE w:val="0"/>
              <w:autoSpaceDN w:val="0"/>
              <w:adjustRightInd w:val="0"/>
              <w:spacing w:line="360" w:lineRule="exact"/>
              <w:contextualSpacing/>
              <w:jc w:val="center"/>
              <w:rPr>
                <w:rFonts w:ascii="宋体" w:hAnsi="宋体"/>
                <w:sz w:val="21"/>
                <w:szCs w:val="21"/>
              </w:rPr>
            </w:pPr>
            <w:r>
              <w:rPr>
                <w:sz w:val="21"/>
                <w:szCs w:val="21"/>
              </w:rPr>
              <w:t>项目负责人</w:t>
            </w:r>
          </w:p>
        </w:tc>
        <w:tc>
          <w:tcPr>
            <w:tcW w:w="567" w:type="dxa"/>
            <w:noWrap w:val="0"/>
            <w:vAlign w:val="center"/>
          </w:tcPr>
          <w:p>
            <w:pPr>
              <w:tabs>
                <w:tab w:val="left" w:pos="460"/>
              </w:tabs>
              <w:autoSpaceDE w:val="0"/>
              <w:autoSpaceDN w:val="0"/>
              <w:adjustRightInd w:val="0"/>
              <w:spacing w:line="360" w:lineRule="exact"/>
              <w:contextualSpacing/>
              <w:jc w:val="center"/>
              <w:rPr>
                <w:rFonts w:ascii="宋体" w:hAnsi="宋体"/>
                <w:sz w:val="21"/>
                <w:szCs w:val="21"/>
              </w:rPr>
            </w:pPr>
            <w:r>
              <w:rPr>
                <w:rFonts w:hint="eastAsia"/>
                <w:sz w:val="21"/>
                <w:szCs w:val="21"/>
              </w:rPr>
              <w:t>10</w:t>
            </w:r>
            <w:r>
              <w:rPr>
                <w:sz w:val="21"/>
                <w:szCs w:val="21"/>
              </w:rPr>
              <w:t>分</w:t>
            </w:r>
          </w:p>
        </w:tc>
        <w:tc>
          <w:tcPr>
            <w:tcW w:w="4130" w:type="dxa"/>
            <w:noWrap w:val="0"/>
            <w:vAlign w:val="center"/>
          </w:tcPr>
          <w:p>
            <w:pPr>
              <w:adjustRightInd w:val="0"/>
              <w:spacing w:line="360" w:lineRule="exact"/>
              <w:contextualSpacing/>
              <w:rPr>
                <w:rFonts w:hint="eastAsia"/>
                <w:sz w:val="21"/>
                <w:szCs w:val="21"/>
              </w:rPr>
            </w:pPr>
            <w:r>
              <w:rPr>
                <w:rFonts w:hint="eastAsia"/>
                <w:sz w:val="21"/>
                <w:szCs w:val="21"/>
              </w:rPr>
              <w:t xml:space="preserve">   </w:t>
            </w:r>
            <w:r>
              <w:rPr>
                <w:sz w:val="21"/>
                <w:szCs w:val="21"/>
              </w:rPr>
              <w:t>（1）</w:t>
            </w:r>
            <w:r>
              <w:rPr>
                <w:rFonts w:hint="eastAsia"/>
                <w:sz w:val="21"/>
                <w:szCs w:val="21"/>
              </w:rPr>
              <w:t>教授级高级工程师担任项目负责人的加2分</w:t>
            </w:r>
          </w:p>
          <w:p>
            <w:pPr>
              <w:adjustRightInd w:val="0"/>
              <w:spacing w:line="360" w:lineRule="exact"/>
              <w:ind w:left="200"/>
              <w:contextualSpacing/>
              <w:rPr>
                <w:rFonts w:hint="eastAsia"/>
                <w:sz w:val="21"/>
                <w:szCs w:val="21"/>
              </w:rPr>
            </w:pPr>
            <w:r>
              <w:rPr>
                <w:rFonts w:hint="eastAsia"/>
                <w:sz w:val="21"/>
                <w:szCs w:val="21"/>
              </w:rPr>
              <w:t>（2）项目负责人具有注册土木工程师（道路工程）执业资格证书的加2分</w:t>
            </w:r>
            <w:r>
              <w:rPr>
                <w:sz w:val="21"/>
                <w:szCs w:val="21"/>
              </w:rPr>
              <w:t>。</w:t>
            </w:r>
          </w:p>
          <w:p>
            <w:pPr>
              <w:adjustRightInd w:val="0"/>
              <w:spacing w:line="360" w:lineRule="exact"/>
              <w:ind w:firstLine="210" w:firstLineChars="100"/>
              <w:contextualSpacing/>
              <w:rPr>
                <w:rFonts w:hint="eastAsia"/>
                <w:sz w:val="21"/>
                <w:szCs w:val="21"/>
              </w:rPr>
            </w:pPr>
            <w:r>
              <w:rPr>
                <w:sz w:val="21"/>
                <w:szCs w:val="21"/>
              </w:rPr>
              <w:t>（</w:t>
            </w:r>
            <w:r>
              <w:rPr>
                <w:rFonts w:hint="eastAsia"/>
                <w:sz w:val="21"/>
                <w:szCs w:val="21"/>
              </w:rPr>
              <w:t>3</w:t>
            </w:r>
            <w:r>
              <w:rPr>
                <w:sz w:val="21"/>
                <w:szCs w:val="21"/>
              </w:rPr>
              <w:t>）项目负责人</w:t>
            </w:r>
            <w:r>
              <w:rPr>
                <w:rFonts w:hint="eastAsia"/>
                <w:sz w:val="21"/>
                <w:szCs w:val="21"/>
              </w:rPr>
              <w:t>的业绩</w:t>
            </w:r>
            <w:r>
              <w:rPr>
                <w:sz w:val="21"/>
                <w:szCs w:val="21"/>
              </w:rPr>
              <w:t>满足招标文件资格审查条件最低要求</w:t>
            </w:r>
            <w:r>
              <w:rPr>
                <w:rFonts w:hint="eastAsia"/>
                <w:sz w:val="21"/>
                <w:szCs w:val="21"/>
              </w:rPr>
              <w:t>基础上</w:t>
            </w:r>
            <w:r>
              <w:rPr>
                <w:sz w:val="21"/>
                <w:szCs w:val="21"/>
              </w:rPr>
              <w:t>，每增加1个</w:t>
            </w:r>
            <w:r>
              <w:rPr>
                <w:rFonts w:hint="eastAsia"/>
                <w:sz w:val="21"/>
                <w:szCs w:val="21"/>
              </w:rPr>
              <w:t>新建或改（扩）建</w:t>
            </w:r>
            <w:r>
              <w:rPr>
                <w:sz w:val="21"/>
                <w:szCs w:val="21"/>
              </w:rPr>
              <w:t>高速公路主体土建工程的勘察设计或</w:t>
            </w:r>
            <w:r>
              <w:rPr>
                <w:rFonts w:hint="eastAsia"/>
                <w:sz w:val="21"/>
                <w:szCs w:val="21"/>
              </w:rPr>
              <w:t>勘察设计</w:t>
            </w:r>
            <w:r>
              <w:rPr>
                <w:sz w:val="21"/>
                <w:szCs w:val="21"/>
              </w:rPr>
              <w:t>咨询服务</w:t>
            </w:r>
            <w:r>
              <w:rPr>
                <w:rFonts w:hint="eastAsia"/>
                <w:sz w:val="21"/>
                <w:szCs w:val="21"/>
              </w:rPr>
              <w:t>或</w:t>
            </w:r>
            <w:r>
              <w:rPr>
                <w:sz w:val="21"/>
                <w:szCs w:val="21"/>
              </w:rPr>
              <w:t>地勘监理业绩加</w:t>
            </w:r>
            <w:r>
              <w:rPr>
                <w:rFonts w:hint="eastAsia"/>
                <w:sz w:val="21"/>
                <w:szCs w:val="21"/>
                <w:lang w:val="en-US" w:eastAsia="zh-CN"/>
              </w:rPr>
              <w:t>3</w:t>
            </w:r>
            <w:r>
              <w:rPr>
                <w:sz w:val="21"/>
                <w:szCs w:val="21"/>
              </w:rPr>
              <w:t>分，最多加</w:t>
            </w:r>
            <w:r>
              <w:rPr>
                <w:rFonts w:hint="eastAsia"/>
                <w:sz w:val="21"/>
                <w:szCs w:val="21"/>
              </w:rPr>
              <w:t>6</w:t>
            </w:r>
            <w:r>
              <w:rPr>
                <w:sz w:val="21"/>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2289" w:hRule="atLeast"/>
          <w:jc w:val="center"/>
        </w:trPr>
        <w:tc>
          <w:tcPr>
            <w:tcW w:w="713" w:type="dxa"/>
            <w:noWrap w:val="0"/>
            <w:vAlign w:val="center"/>
          </w:tcPr>
          <w:p>
            <w:pPr>
              <w:pStyle w:val="2"/>
              <w:spacing w:line="360" w:lineRule="exact"/>
              <w:contextualSpacing/>
              <w:jc w:val="center"/>
              <w:rPr>
                <w:rFonts w:hint="eastAsia"/>
                <w:color w:val="auto"/>
                <w:sz w:val="21"/>
                <w:szCs w:val="21"/>
              </w:rPr>
            </w:pPr>
            <w:r>
              <w:rPr>
                <w:color w:val="auto"/>
                <w:sz w:val="21"/>
                <w:szCs w:val="21"/>
              </w:rPr>
              <w:t>2.2.4</w:t>
            </w:r>
            <w:r>
              <w:rPr>
                <w:rFonts w:hint="eastAsia"/>
                <w:color w:val="auto"/>
                <w:sz w:val="21"/>
                <w:szCs w:val="21"/>
              </w:rPr>
              <w:t>（</w:t>
            </w:r>
            <w:r>
              <w:rPr>
                <w:color w:val="auto"/>
                <w:sz w:val="21"/>
                <w:szCs w:val="21"/>
              </w:rPr>
              <w:t>3</w:t>
            </w:r>
            <w:r>
              <w:rPr>
                <w:rFonts w:hint="eastAsia"/>
                <w:color w:val="auto"/>
                <w:sz w:val="21"/>
                <w:szCs w:val="21"/>
              </w:rPr>
              <w:t>）</w:t>
            </w:r>
            <w:r>
              <w:rPr>
                <w:color w:val="auto"/>
                <w:sz w:val="21"/>
                <w:szCs w:val="21"/>
              </w:rPr>
              <w:t xml:space="preserve"> </w:t>
            </w:r>
          </w:p>
        </w:tc>
        <w:tc>
          <w:tcPr>
            <w:tcW w:w="714" w:type="dxa"/>
            <w:gridSpan w:val="2"/>
            <w:noWrap w:val="0"/>
            <w:vAlign w:val="center"/>
          </w:tcPr>
          <w:p>
            <w:pPr>
              <w:pStyle w:val="2"/>
              <w:spacing w:line="360" w:lineRule="exact"/>
              <w:contextualSpacing/>
              <w:jc w:val="center"/>
              <w:rPr>
                <w:color w:val="auto"/>
                <w:sz w:val="21"/>
                <w:szCs w:val="21"/>
              </w:rPr>
            </w:pPr>
            <w:r>
              <w:rPr>
                <w:rFonts w:hint="eastAsia"/>
                <w:color w:val="auto"/>
                <w:sz w:val="21"/>
                <w:szCs w:val="21"/>
              </w:rPr>
              <w:t>评标价</w:t>
            </w:r>
            <w:r>
              <w:rPr>
                <w:color w:val="auto"/>
                <w:sz w:val="21"/>
                <w:szCs w:val="21"/>
              </w:rPr>
              <w:t xml:space="preserve"> </w:t>
            </w:r>
          </w:p>
          <w:p>
            <w:pPr>
              <w:adjustRightInd w:val="0"/>
              <w:spacing w:line="360" w:lineRule="exact"/>
              <w:contextualSpacing/>
              <w:jc w:val="center"/>
              <w:rPr>
                <w:rFonts w:hint="eastAsia" w:ascii="宋体" w:hAnsi="宋体"/>
                <w:sz w:val="21"/>
                <w:szCs w:val="21"/>
              </w:rPr>
            </w:pPr>
          </w:p>
        </w:tc>
        <w:tc>
          <w:tcPr>
            <w:tcW w:w="709" w:type="dxa"/>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10分</w:t>
            </w:r>
          </w:p>
        </w:tc>
        <w:tc>
          <w:tcPr>
            <w:tcW w:w="7250" w:type="dxa"/>
            <w:gridSpan w:val="5"/>
            <w:noWrap w:val="0"/>
            <w:vAlign w:val="center"/>
          </w:tcPr>
          <w:p>
            <w:pPr>
              <w:pStyle w:val="2"/>
              <w:spacing w:line="360" w:lineRule="exact"/>
              <w:ind w:firstLine="420" w:firstLineChars="200"/>
              <w:contextualSpacing/>
              <w:rPr>
                <w:rFonts w:ascii="Calibri" w:hAnsi="Calibri" w:cs="Arial"/>
                <w:color w:val="auto"/>
                <w:sz w:val="21"/>
                <w:szCs w:val="21"/>
              </w:rPr>
            </w:pPr>
            <w:r>
              <w:rPr>
                <w:rFonts w:hint="eastAsia" w:ascii="Calibri" w:hAnsi="Calibri" w:cs="Arial"/>
                <w:color w:val="auto"/>
                <w:sz w:val="21"/>
                <w:szCs w:val="21"/>
              </w:rPr>
              <w:t>评标价得分计算公式示例：</w:t>
            </w:r>
            <w:r>
              <w:rPr>
                <w:rFonts w:ascii="Calibri" w:hAnsi="Calibri" w:cs="Arial"/>
                <w:color w:val="auto"/>
                <w:sz w:val="21"/>
                <w:szCs w:val="21"/>
              </w:rPr>
              <w:t xml:space="preserve"> </w:t>
            </w:r>
          </w:p>
          <w:p>
            <w:pPr>
              <w:pStyle w:val="2"/>
              <w:spacing w:line="360" w:lineRule="exact"/>
              <w:contextualSpacing/>
              <w:rPr>
                <w:rFonts w:ascii="Calibri" w:hAnsi="Calibri" w:cs="Arial"/>
                <w:color w:val="auto"/>
                <w:sz w:val="21"/>
                <w:szCs w:val="21"/>
              </w:rPr>
            </w:pPr>
            <w:r>
              <w:rPr>
                <w:rFonts w:hint="eastAsia" w:ascii="Calibri" w:hAnsi="Calibri" w:cs="Arial"/>
                <w:color w:val="auto"/>
                <w:sz w:val="21"/>
                <w:szCs w:val="21"/>
              </w:rPr>
              <w:t>（</w:t>
            </w:r>
            <w:r>
              <w:rPr>
                <w:rFonts w:ascii="Calibri" w:hAnsi="Calibri" w:cs="Arial"/>
                <w:color w:val="auto"/>
                <w:sz w:val="21"/>
                <w:szCs w:val="21"/>
              </w:rPr>
              <w:t>1</w:t>
            </w:r>
            <w:r>
              <w:rPr>
                <w:rFonts w:hint="eastAsia" w:ascii="Calibri" w:hAnsi="Calibri" w:cs="Arial"/>
                <w:color w:val="auto"/>
                <w:sz w:val="21"/>
                <w:szCs w:val="21"/>
              </w:rPr>
              <w:t>）如果投标人的评标价</w:t>
            </w:r>
            <w:r>
              <w:rPr>
                <w:rFonts w:ascii="Calibri" w:hAnsi="Calibri" w:cs="Arial"/>
                <w:color w:val="auto"/>
                <w:sz w:val="21"/>
                <w:szCs w:val="21"/>
              </w:rPr>
              <w:t>&gt;</w:t>
            </w:r>
            <w:r>
              <w:rPr>
                <w:rFonts w:hint="eastAsia" w:ascii="Calibri" w:hAnsi="Calibri" w:cs="Arial"/>
                <w:color w:val="auto"/>
                <w:sz w:val="21"/>
                <w:szCs w:val="21"/>
              </w:rPr>
              <w:t>评标基准价，则评标价得分＝</w:t>
            </w:r>
            <w:r>
              <w:rPr>
                <w:rFonts w:ascii="Calibri" w:hAnsi="Calibri" w:cs="Arial"/>
                <w:color w:val="auto"/>
                <w:sz w:val="21"/>
                <w:szCs w:val="21"/>
              </w:rPr>
              <w:t>F</w:t>
            </w:r>
            <w:r>
              <w:rPr>
                <w:rFonts w:hint="eastAsia" w:ascii="Calibri" w:hAnsi="Calibri" w:cs="Arial"/>
                <w:color w:val="auto"/>
                <w:sz w:val="21"/>
                <w:szCs w:val="21"/>
              </w:rPr>
              <w:t>－偏差率</w:t>
            </w:r>
            <w:r>
              <w:rPr>
                <w:rFonts w:ascii="Calibri" w:hAnsi="Calibri" w:cs="Arial"/>
                <w:color w:val="auto"/>
                <w:sz w:val="21"/>
                <w:szCs w:val="21"/>
              </w:rPr>
              <w:t>×100× E1</w:t>
            </w:r>
            <w:r>
              <w:rPr>
                <w:rFonts w:hint="eastAsia" w:ascii="Calibri" w:hAnsi="Calibri" w:cs="Arial"/>
                <w:color w:val="auto"/>
                <w:sz w:val="21"/>
                <w:szCs w:val="21"/>
              </w:rPr>
              <w:t>；</w:t>
            </w:r>
            <w:r>
              <w:rPr>
                <w:rFonts w:ascii="Calibri" w:hAnsi="Calibri" w:cs="Arial"/>
                <w:color w:val="auto"/>
                <w:sz w:val="21"/>
                <w:szCs w:val="21"/>
              </w:rPr>
              <w:t xml:space="preserve"> </w:t>
            </w:r>
          </w:p>
          <w:p>
            <w:pPr>
              <w:pStyle w:val="2"/>
              <w:spacing w:line="360" w:lineRule="exact"/>
              <w:contextualSpacing/>
              <w:rPr>
                <w:rFonts w:ascii="Calibri" w:hAnsi="Calibri" w:cs="Arial"/>
                <w:color w:val="auto"/>
                <w:sz w:val="21"/>
                <w:szCs w:val="21"/>
              </w:rPr>
            </w:pPr>
            <w:r>
              <w:rPr>
                <w:rFonts w:hint="eastAsia" w:ascii="Calibri" w:hAnsi="Calibri" w:cs="Arial"/>
                <w:color w:val="auto"/>
                <w:sz w:val="21"/>
                <w:szCs w:val="21"/>
              </w:rPr>
              <w:t>（</w:t>
            </w:r>
            <w:r>
              <w:rPr>
                <w:rFonts w:ascii="Calibri" w:hAnsi="Calibri" w:cs="Arial"/>
                <w:color w:val="auto"/>
                <w:sz w:val="21"/>
                <w:szCs w:val="21"/>
              </w:rPr>
              <w:t>2</w:t>
            </w:r>
            <w:r>
              <w:rPr>
                <w:rFonts w:hint="eastAsia" w:ascii="Calibri" w:hAnsi="Calibri" w:cs="Arial"/>
                <w:color w:val="auto"/>
                <w:sz w:val="21"/>
                <w:szCs w:val="21"/>
              </w:rPr>
              <w:t>）如果投标人的评标价</w:t>
            </w:r>
            <w:r>
              <w:rPr>
                <w:rFonts w:ascii="Calibri" w:hAnsi="Calibri" w:cs="Arial"/>
                <w:color w:val="auto"/>
                <w:sz w:val="21"/>
                <w:szCs w:val="21"/>
              </w:rPr>
              <w:t>≤</w:t>
            </w:r>
            <w:r>
              <w:rPr>
                <w:rFonts w:hint="eastAsia" w:ascii="Calibri" w:hAnsi="Calibri" w:cs="Arial"/>
                <w:color w:val="auto"/>
                <w:sz w:val="21"/>
                <w:szCs w:val="21"/>
              </w:rPr>
              <w:t>评标基准价，则评标价得分＝</w:t>
            </w:r>
            <w:r>
              <w:rPr>
                <w:rFonts w:ascii="Calibri" w:hAnsi="Calibri" w:cs="Arial"/>
                <w:color w:val="auto"/>
                <w:sz w:val="21"/>
                <w:szCs w:val="21"/>
              </w:rPr>
              <w:t>F</w:t>
            </w:r>
            <w:r>
              <w:rPr>
                <w:rFonts w:hint="eastAsia" w:ascii="Calibri" w:hAnsi="Calibri" w:cs="Arial"/>
                <w:color w:val="auto"/>
                <w:sz w:val="21"/>
                <w:szCs w:val="21"/>
              </w:rPr>
              <w:t>＋偏差率</w:t>
            </w:r>
            <w:r>
              <w:rPr>
                <w:rFonts w:ascii="Calibri" w:hAnsi="Calibri" w:cs="Arial"/>
                <w:color w:val="auto"/>
                <w:sz w:val="21"/>
                <w:szCs w:val="21"/>
              </w:rPr>
              <w:t>× 100× E2</w:t>
            </w:r>
            <w:r>
              <w:rPr>
                <w:rFonts w:hint="eastAsia" w:ascii="Calibri" w:hAnsi="Calibri" w:cs="Arial"/>
                <w:color w:val="auto"/>
                <w:sz w:val="21"/>
                <w:szCs w:val="21"/>
              </w:rPr>
              <w:t>。</w:t>
            </w:r>
            <w:r>
              <w:rPr>
                <w:rFonts w:ascii="Calibri" w:hAnsi="Calibri" w:cs="Arial"/>
                <w:color w:val="auto"/>
                <w:sz w:val="21"/>
                <w:szCs w:val="21"/>
              </w:rPr>
              <w:t xml:space="preserve"> </w:t>
            </w:r>
          </w:p>
          <w:p>
            <w:pPr>
              <w:pStyle w:val="2"/>
              <w:spacing w:line="360" w:lineRule="exact"/>
              <w:contextualSpacing/>
              <w:rPr>
                <w:rFonts w:hint="eastAsia" w:ascii="Times New Roman" w:cs="Times New Roman"/>
                <w:color w:val="auto"/>
                <w:sz w:val="21"/>
                <w:szCs w:val="21"/>
              </w:rPr>
            </w:pPr>
            <w:r>
              <w:rPr>
                <w:rFonts w:hint="eastAsia" w:ascii="Calibri" w:hAnsi="Calibri" w:cs="Arial"/>
                <w:color w:val="auto"/>
                <w:sz w:val="21"/>
                <w:szCs w:val="21"/>
              </w:rPr>
              <w:t>其中：</w:t>
            </w:r>
            <w:r>
              <w:rPr>
                <w:rFonts w:ascii="Calibri" w:hAnsi="Calibri" w:cs="Arial"/>
                <w:color w:val="auto"/>
                <w:sz w:val="21"/>
                <w:szCs w:val="21"/>
              </w:rPr>
              <w:t>F是投标价所占的评分满分值10分，E1</w:t>
            </w:r>
            <w:r>
              <w:rPr>
                <w:rFonts w:hint="eastAsia" w:ascii="Calibri" w:hAnsi="Calibri" w:cs="Arial"/>
                <w:color w:val="auto"/>
                <w:sz w:val="21"/>
                <w:szCs w:val="21"/>
              </w:rPr>
              <w:t>是评标价每高于评标基准价一个百分点的扣分值0.5，</w:t>
            </w:r>
            <w:r>
              <w:rPr>
                <w:rFonts w:ascii="Calibri" w:hAnsi="Calibri" w:cs="Arial"/>
                <w:color w:val="auto"/>
                <w:sz w:val="21"/>
                <w:szCs w:val="21"/>
              </w:rPr>
              <w:t>E2</w:t>
            </w:r>
            <w:r>
              <w:rPr>
                <w:rFonts w:hint="eastAsia" w:ascii="Calibri" w:hAnsi="Calibri" w:cs="Arial"/>
                <w:color w:val="auto"/>
                <w:sz w:val="21"/>
                <w:szCs w:val="21"/>
              </w:rPr>
              <w:t>是评标价每低于评标基准价一个百分点的扣分值0.3。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61" w:hRule="atLeast"/>
          <w:jc w:val="center"/>
        </w:trPr>
        <w:tc>
          <w:tcPr>
            <w:tcW w:w="713" w:type="dxa"/>
            <w:vMerge w:val="restart"/>
            <w:noWrap w:val="0"/>
            <w:vAlign w:val="center"/>
          </w:tcPr>
          <w:p>
            <w:pPr>
              <w:pStyle w:val="2"/>
              <w:spacing w:line="360" w:lineRule="exact"/>
              <w:contextualSpacing/>
              <w:jc w:val="center"/>
              <w:rPr>
                <w:color w:val="auto"/>
                <w:sz w:val="21"/>
                <w:szCs w:val="21"/>
              </w:rPr>
            </w:pPr>
            <w:r>
              <w:rPr>
                <w:color w:val="auto"/>
                <w:sz w:val="21"/>
                <w:szCs w:val="21"/>
              </w:rPr>
              <w:t>2.2.4</w:t>
            </w:r>
            <w:r>
              <w:rPr>
                <w:rFonts w:hint="eastAsia"/>
                <w:color w:val="auto"/>
                <w:sz w:val="21"/>
                <w:szCs w:val="21"/>
              </w:rPr>
              <w:t>（</w:t>
            </w:r>
            <w:r>
              <w:rPr>
                <w:color w:val="auto"/>
                <w:sz w:val="21"/>
                <w:szCs w:val="21"/>
              </w:rPr>
              <w:t>4</w:t>
            </w:r>
            <w:r>
              <w:rPr>
                <w:rFonts w:hint="eastAsia"/>
                <w:color w:val="auto"/>
                <w:sz w:val="21"/>
                <w:szCs w:val="21"/>
              </w:rPr>
              <w:t>）</w:t>
            </w:r>
            <w:r>
              <w:rPr>
                <w:color w:val="auto"/>
                <w:sz w:val="21"/>
                <w:szCs w:val="21"/>
              </w:rPr>
              <w:t xml:space="preserve"> </w:t>
            </w:r>
          </w:p>
          <w:p>
            <w:pPr>
              <w:adjustRightInd w:val="0"/>
              <w:spacing w:line="360" w:lineRule="exact"/>
              <w:contextualSpacing/>
              <w:jc w:val="center"/>
              <w:rPr>
                <w:rFonts w:hint="eastAsia" w:ascii="宋体" w:hAnsi="宋体"/>
                <w:sz w:val="21"/>
                <w:szCs w:val="21"/>
              </w:rPr>
            </w:pPr>
          </w:p>
        </w:tc>
        <w:tc>
          <w:tcPr>
            <w:tcW w:w="275" w:type="dxa"/>
            <w:vMerge w:val="restart"/>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其他因素</w:t>
            </w:r>
          </w:p>
        </w:tc>
        <w:tc>
          <w:tcPr>
            <w:tcW w:w="439" w:type="dxa"/>
            <w:noWrap w:val="0"/>
            <w:vAlign w:val="center"/>
          </w:tcPr>
          <w:p>
            <w:pPr>
              <w:adjustRightInd w:val="0"/>
              <w:spacing w:line="360" w:lineRule="exact"/>
              <w:contextualSpacing/>
              <w:jc w:val="center"/>
              <w:rPr>
                <w:rFonts w:hint="eastAsia" w:ascii="宋体" w:hAnsi="宋体"/>
                <w:sz w:val="21"/>
                <w:szCs w:val="21"/>
              </w:rPr>
            </w:pPr>
            <w:r>
              <w:rPr>
                <w:rFonts w:hint="eastAsia" w:hAnsi="宋体"/>
                <w:sz w:val="21"/>
                <w:szCs w:val="21"/>
              </w:rPr>
              <w:t>技术能力</w:t>
            </w:r>
          </w:p>
        </w:tc>
        <w:tc>
          <w:tcPr>
            <w:tcW w:w="709" w:type="dxa"/>
            <w:noWrap w:val="0"/>
            <w:vAlign w:val="center"/>
          </w:tcPr>
          <w:p>
            <w:pPr>
              <w:adjustRightInd w:val="0"/>
              <w:spacing w:line="360" w:lineRule="exact"/>
              <w:contextualSpacing/>
              <w:jc w:val="center"/>
              <w:rPr>
                <w:rFonts w:hint="eastAsia" w:ascii="宋体" w:hAnsi="宋体"/>
                <w:sz w:val="21"/>
                <w:szCs w:val="21"/>
              </w:rPr>
            </w:pPr>
            <w:r>
              <w:rPr>
                <w:rFonts w:hint="eastAsia"/>
                <w:sz w:val="21"/>
                <w:szCs w:val="21"/>
              </w:rPr>
              <w:t>5</w:t>
            </w:r>
            <w:r>
              <w:rPr>
                <w:sz w:val="21"/>
                <w:szCs w:val="21"/>
              </w:rPr>
              <w:t>分</w:t>
            </w:r>
          </w:p>
        </w:tc>
        <w:tc>
          <w:tcPr>
            <w:tcW w:w="1133" w:type="dxa"/>
            <w:noWrap w:val="0"/>
            <w:vAlign w:val="center"/>
          </w:tcPr>
          <w:p>
            <w:pPr>
              <w:autoSpaceDE w:val="0"/>
              <w:autoSpaceDN w:val="0"/>
              <w:adjustRightInd w:val="0"/>
              <w:spacing w:line="360" w:lineRule="exact"/>
              <w:contextualSpacing/>
              <w:jc w:val="center"/>
              <w:rPr>
                <w:rFonts w:hint="eastAsia"/>
                <w:sz w:val="21"/>
                <w:szCs w:val="21"/>
              </w:rPr>
            </w:pPr>
            <w:r>
              <w:rPr>
                <w:rFonts w:hint="eastAsia"/>
                <w:sz w:val="21"/>
                <w:szCs w:val="21"/>
              </w:rPr>
              <w:t>技术能力</w:t>
            </w:r>
          </w:p>
        </w:tc>
        <w:tc>
          <w:tcPr>
            <w:tcW w:w="705" w:type="dxa"/>
            <w:noWrap w:val="0"/>
            <w:vAlign w:val="center"/>
          </w:tcPr>
          <w:p>
            <w:pPr>
              <w:tabs>
                <w:tab w:val="left" w:pos="460"/>
              </w:tabs>
              <w:autoSpaceDE w:val="0"/>
              <w:autoSpaceDN w:val="0"/>
              <w:adjustRightInd w:val="0"/>
              <w:spacing w:line="360" w:lineRule="exact"/>
              <w:contextualSpacing/>
              <w:jc w:val="center"/>
              <w:rPr>
                <w:sz w:val="21"/>
                <w:szCs w:val="21"/>
              </w:rPr>
            </w:pPr>
            <w:r>
              <w:rPr>
                <w:rFonts w:hint="eastAsia"/>
                <w:sz w:val="21"/>
                <w:szCs w:val="21"/>
              </w:rPr>
              <w:t>5</w:t>
            </w:r>
            <w:r>
              <w:rPr>
                <w:sz w:val="21"/>
                <w:szCs w:val="21"/>
              </w:rPr>
              <w:t>分</w:t>
            </w:r>
          </w:p>
        </w:tc>
        <w:tc>
          <w:tcPr>
            <w:tcW w:w="5412" w:type="dxa"/>
            <w:gridSpan w:val="3"/>
            <w:noWrap w:val="0"/>
            <w:vAlign w:val="center"/>
          </w:tcPr>
          <w:p>
            <w:pPr>
              <w:adjustRightInd w:val="0"/>
              <w:spacing w:line="360" w:lineRule="exact"/>
              <w:ind w:firstLine="210" w:firstLineChars="100"/>
              <w:contextualSpacing/>
              <w:rPr>
                <w:rFonts w:hint="eastAsia" w:ascii="宋体" w:hAnsi="宋体"/>
                <w:sz w:val="21"/>
                <w:szCs w:val="21"/>
              </w:rPr>
            </w:pPr>
            <w:r>
              <w:rPr>
                <w:rFonts w:ascii="宋体" w:hAnsi="宋体"/>
                <w:sz w:val="21"/>
                <w:szCs w:val="21"/>
              </w:rPr>
              <w:t>满足招标文件资格审查条件最低要求的，得</w:t>
            </w:r>
            <w:r>
              <w:rPr>
                <w:rFonts w:hint="eastAsia" w:ascii="宋体" w:hAnsi="宋体"/>
                <w:sz w:val="21"/>
                <w:szCs w:val="21"/>
              </w:rPr>
              <w:t>5</w:t>
            </w:r>
            <w:r>
              <w:rPr>
                <w:rFonts w:ascii="宋体" w:hAnsi="宋体"/>
                <w:sz w:val="21"/>
                <w:szCs w:val="21"/>
              </w:rPr>
              <w:t>分</w:t>
            </w:r>
            <w:r>
              <w:rPr>
                <w:rFonts w:hint="eastAsia" w:ascii="宋体" w:hAnsi="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51" w:hRule="atLeast"/>
          <w:jc w:val="center"/>
        </w:trPr>
        <w:tc>
          <w:tcPr>
            <w:tcW w:w="713" w:type="dxa"/>
            <w:vMerge w:val="continue"/>
            <w:noWrap w:val="0"/>
            <w:vAlign w:val="center"/>
          </w:tcPr>
          <w:p>
            <w:pPr>
              <w:adjustRightInd w:val="0"/>
              <w:spacing w:line="360" w:lineRule="exact"/>
              <w:contextualSpacing/>
              <w:jc w:val="center"/>
              <w:rPr>
                <w:rFonts w:hint="eastAsia" w:ascii="宋体" w:hAnsi="宋体"/>
                <w:sz w:val="21"/>
                <w:szCs w:val="21"/>
              </w:rPr>
            </w:pPr>
          </w:p>
        </w:tc>
        <w:tc>
          <w:tcPr>
            <w:tcW w:w="275" w:type="dxa"/>
            <w:vMerge w:val="continue"/>
            <w:noWrap w:val="0"/>
            <w:vAlign w:val="center"/>
          </w:tcPr>
          <w:p>
            <w:pPr>
              <w:adjustRightInd w:val="0"/>
              <w:spacing w:line="360" w:lineRule="exact"/>
              <w:contextualSpacing/>
              <w:jc w:val="center"/>
              <w:rPr>
                <w:rFonts w:hint="eastAsia" w:ascii="宋体" w:hAnsi="宋体"/>
                <w:sz w:val="21"/>
                <w:szCs w:val="21"/>
              </w:rPr>
            </w:pPr>
          </w:p>
        </w:tc>
        <w:tc>
          <w:tcPr>
            <w:tcW w:w="439" w:type="dxa"/>
            <w:vMerge w:val="restart"/>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业绩</w:t>
            </w:r>
          </w:p>
        </w:tc>
        <w:tc>
          <w:tcPr>
            <w:tcW w:w="709" w:type="dxa"/>
            <w:vMerge w:val="restart"/>
            <w:noWrap w:val="0"/>
            <w:vAlign w:val="center"/>
          </w:tcPr>
          <w:p>
            <w:pPr>
              <w:adjustRightInd w:val="0"/>
              <w:spacing w:line="360" w:lineRule="exact"/>
              <w:contextualSpacing/>
              <w:jc w:val="center"/>
              <w:rPr>
                <w:rFonts w:hint="eastAsia" w:ascii="宋体" w:hAnsi="宋体"/>
                <w:sz w:val="21"/>
                <w:szCs w:val="21"/>
              </w:rPr>
            </w:pPr>
            <w:r>
              <w:rPr>
                <w:rFonts w:hint="eastAsia" w:ascii="宋体" w:hAnsi="宋体"/>
                <w:sz w:val="21"/>
                <w:szCs w:val="21"/>
              </w:rPr>
              <w:t>10分</w:t>
            </w:r>
          </w:p>
        </w:tc>
        <w:tc>
          <w:tcPr>
            <w:tcW w:w="1133" w:type="dxa"/>
            <w:noWrap w:val="0"/>
            <w:vAlign w:val="center"/>
          </w:tcPr>
          <w:p>
            <w:pPr>
              <w:autoSpaceDE w:val="0"/>
              <w:autoSpaceDN w:val="0"/>
              <w:adjustRightInd w:val="0"/>
              <w:spacing w:line="360" w:lineRule="exact"/>
              <w:contextualSpacing/>
              <w:jc w:val="center"/>
              <w:rPr>
                <w:sz w:val="21"/>
                <w:szCs w:val="21"/>
              </w:rPr>
            </w:pPr>
            <w:r>
              <w:rPr>
                <w:sz w:val="21"/>
                <w:szCs w:val="21"/>
              </w:rPr>
              <w:t>基本分</w:t>
            </w:r>
          </w:p>
        </w:tc>
        <w:tc>
          <w:tcPr>
            <w:tcW w:w="705" w:type="dxa"/>
            <w:noWrap w:val="0"/>
            <w:vAlign w:val="center"/>
          </w:tcPr>
          <w:p>
            <w:pPr>
              <w:tabs>
                <w:tab w:val="left" w:pos="460"/>
              </w:tabs>
              <w:autoSpaceDE w:val="0"/>
              <w:autoSpaceDN w:val="0"/>
              <w:adjustRightInd w:val="0"/>
              <w:spacing w:line="360" w:lineRule="exact"/>
              <w:contextualSpacing/>
              <w:jc w:val="center"/>
              <w:rPr>
                <w:sz w:val="21"/>
                <w:szCs w:val="21"/>
              </w:rPr>
            </w:pPr>
            <w:r>
              <w:rPr>
                <w:rFonts w:hint="eastAsia"/>
                <w:sz w:val="21"/>
                <w:szCs w:val="21"/>
              </w:rPr>
              <w:t>6</w:t>
            </w:r>
            <w:r>
              <w:rPr>
                <w:sz w:val="21"/>
                <w:szCs w:val="21"/>
              </w:rPr>
              <w:t>分</w:t>
            </w:r>
          </w:p>
        </w:tc>
        <w:tc>
          <w:tcPr>
            <w:tcW w:w="5412" w:type="dxa"/>
            <w:gridSpan w:val="3"/>
            <w:noWrap w:val="0"/>
            <w:vAlign w:val="center"/>
          </w:tcPr>
          <w:p>
            <w:pPr>
              <w:adjustRightInd w:val="0"/>
              <w:spacing w:line="360" w:lineRule="exact"/>
              <w:ind w:firstLine="210" w:firstLineChars="100"/>
              <w:contextualSpacing/>
              <w:rPr>
                <w:rFonts w:hint="eastAsia" w:ascii="宋体" w:hAnsi="宋体"/>
                <w:sz w:val="21"/>
                <w:szCs w:val="21"/>
              </w:rPr>
            </w:pPr>
            <w:r>
              <w:rPr>
                <w:rFonts w:ascii="宋体" w:hAnsi="宋体"/>
                <w:sz w:val="21"/>
                <w:szCs w:val="21"/>
              </w:rPr>
              <w:t>满足招标文件资格审查条件最低要求的，得基本分</w:t>
            </w:r>
            <w:r>
              <w:rPr>
                <w:rFonts w:hint="eastAsia" w:ascii="宋体" w:hAnsi="宋体"/>
                <w:sz w:val="21"/>
                <w:szCs w:val="21"/>
              </w:rPr>
              <w:t>6</w:t>
            </w:r>
            <w:r>
              <w:rPr>
                <w:rFonts w:ascii="宋体" w:hAnsi="宋体"/>
                <w:sz w:val="21"/>
                <w:szCs w:val="21"/>
              </w:rPr>
              <w:t>分</w:t>
            </w:r>
            <w:r>
              <w:rPr>
                <w:rFonts w:hint="eastAsia" w:ascii="宋体" w:hAnsi="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1" w:hRule="atLeast"/>
          <w:jc w:val="center"/>
        </w:trPr>
        <w:tc>
          <w:tcPr>
            <w:tcW w:w="713" w:type="dxa"/>
            <w:vMerge w:val="continue"/>
            <w:noWrap w:val="0"/>
            <w:vAlign w:val="center"/>
          </w:tcPr>
          <w:p>
            <w:pPr>
              <w:adjustRightInd w:val="0"/>
              <w:spacing w:line="360" w:lineRule="exact"/>
              <w:contextualSpacing/>
              <w:jc w:val="center"/>
              <w:rPr>
                <w:rFonts w:hint="eastAsia" w:ascii="宋体" w:hAnsi="宋体"/>
                <w:sz w:val="21"/>
                <w:szCs w:val="21"/>
              </w:rPr>
            </w:pPr>
          </w:p>
        </w:tc>
        <w:tc>
          <w:tcPr>
            <w:tcW w:w="275" w:type="dxa"/>
            <w:vMerge w:val="continue"/>
            <w:noWrap w:val="0"/>
            <w:vAlign w:val="center"/>
          </w:tcPr>
          <w:p>
            <w:pPr>
              <w:adjustRightInd w:val="0"/>
              <w:spacing w:line="360" w:lineRule="exact"/>
              <w:contextualSpacing/>
              <w:jc w:val="center"/>
              <w:rPr>
                <w:rFonts w:hint="eastAsia" w:ascii="宋体" w:hAnsi="宋体"/>
                <w:sz w:val="21"/>
                <w:szCs w:val="21"/>
              </w:rPr>
            </w:pPr>
          </w:p>
        </w:tc>
        <w:tc>
          <w:tcPr>
            <w:tcW w:w="439" w:type="dxa"/>
            <w:vMerge w:val="continue"/>
            <w:noWrap w:val="0"/>
            <w:vAlign w:val="center"/>
          </w:tcPr>
          <w:p>
            <w:pPr>
              <w:adjustRightInd w:val="0"/>
              <w:spacing w:line="360" w:lineRule="exact"/>
              <w:contextualSpacing/>
              <w:jc w:val="center"/>
              <w:rPr>
                <w:rFonts w:hint="eastAsia" w:ascii="宋体" w:hAnsi="宋体"/>
                <w:sz w:val="21"/>
                <w:szCs w:val="21"/>
              </w:rPr>
            </w:pPr>
          </w:p>
        </w:tc>
        <w:tc>
          <w:tcPr>
            <w:tcW w:w="709" w:type="dxa"/>
            <w:vMerge w:val="continue"/>
            <w:noWrap w:val="0"/>
            <w:vAlign w:val="center"/>
          </w:tcPr>
          <w:p>
            <w:pPr>
              <w:adjustRightInd w:val="0"/>
              <w:spacing w:line="360" w:lineRule="exact"/>
              <w:contextualSpacing/>
              <w:jc w:val="center"/>
              <w:rPr>
                <w:rFonts w:hint="eastAsia" w:ascii="宋体" w:hAnsi="宋体"/>
                <w:sz w:val="21"/>
                <w:szCs w:val="21"/>
              </w:rPr>
            </w:pPr>
          </w:p>
        </w:tc>
        <w:tc>
          <w:tcPr>
            <w:tcW w:w="1133" w:type="dxa"/>
            <w:noWrap w:val="0"/>
            <w:vAlign w:val="center"/>
          </w:tcPr>
          <w:p>
            <w:pPr>
              <w:autoSpaceDE w:val="0"/>
              <w:autoSpaceDN w:val="0"/>
              <w:adjustRightInd w:val="0"/>
              <w:spacing w:line="360" w:lineRule="exact"/>
              <w:contextualSpacing/>
              <w:jc w:val="center"/>
              <w:rPr>
                <w:sz w:val="21"/>
                <w:szCs w:val="21"/>
              </w:rPr>
            </w:pPr>
            <w:r>
              <w:rPr>
                <w:rFonts w:hint="eastAsia"/>
                <w:sz w:val="21"/>
                <w:szCs w:val="21"/>
              </w:rPr>
              <w:t>业绩</w:t>
            </w:r>
          </w:p>
        </w:tc>
        <w:tc>
          <w:tcPr>
            <w:tcW w:w="705" w:type="dxa"/>
            <w:noWrap w:val="0"/>
            <w:vAlign w:val="center"/>
          </w:tcPr>
          <w:p>
            <w:pPr>
              <w:tabs>
                <w:tab w:val="left" w:pos="460"/>
              </w:tabs>
              <w:autoSpaceDE w:val="0"/>
              <w:autoSpaceDN w:val="0"/>
              <w:adjustRightInd w:val="0"/>
              <w:spacing w:line="360" w:lineRule="exact"/>
              <w:contextualSpacing/>
              <w:jc w:val="center"/>
              <w:rPr>
                <w:sz w:val="21"/>
                <w:szCs w:val="21"/>
              </w:rPr>
            </w:pPr>
            <w:r>
              <w:rPr>
                <w:rFonts w:hint="eastAsia"/>
                <w:sz w:val="21"/>
                <w:szCs w:val="21"/>
              </w:rPr>
              <w:t>4</w:t>
            </w:r>
            <w:r>
              <w:rPr>
                <w:sz w:val="21"/>
                <w:szCs w:val="21"/>
              </w:rPr>
              <w:t>分</w:t>
            </w:r>
          </w:p>
        </w:tc>
        <w:tc>
          <w:tcPr>
            <w:tcW w:w="5412" w:type="dxa"/>
            <w:gridSpan w:val="3"/>
            <w:noWrap w:val="0"/>
            <w:vAlign w:val="center"/>
          </w:tcPr>
          <w:p>
            <w:pPr>
              <w:pStyle w:val="6"/>
              <w:rPr>
                <w:rFonts w:hint="eastAsia"/>
              </w:rPr>
            </w:pPr>
            <w:r>
              <w:rPr>
                <w:sz w:val="21"/>
                <w:szCs w:val="21"/>
              </w:rPr>
              <w:t>满足招标文件资格审查条件最低要求</w:t>
            </w:r>
            <w:r>
              <w:rPr>
                <w:rFonts w:hint="eastAsia"/>
                <w:sz w:val="21"/>
                <w:szCs w:val="21"/>
              </w:rPr>
              <w:t>基础上</w:t>
            </w:r>
            <w:r>
              <w:rPr>
                <w:sz w:val="21"/>
                <w:szCs w:val="21"/>
              </w:rPr>
              <w:t>，</w:t>
            </w:r>
            <w:r>
              <w:t>每增加</w:t>
            </w:r>
            <w:r>
              <w:rPr>
                <w:rFonts w:hint="eastAsia"/>
              </w:rPr>
              <w:t>1条以往（不限年限）</w:t>
            </w:r>
            <w:r>
              <w:rPr>
                <w:rFonts w:hint="eastAsia"/>
                <w:lang w:eastAsia="zh-CN"/>
              </w:rPr>
              <w:t>完成的</w:t>
            </w:r>
            <w:r>
              <w:rPr>
                <w:rFonts w:hint="eastAsia"/>
              </w:rPr>
              <w:t>里程不小于40km的新建或改（扩）建</w:t>
            </w:r>
            <w:r>
              <w:rPr>
                <w:rFonts w:hint="eastAsia"/>
                <w:lang w:eastAsia="zh-CN"/>
              </w:rPr>
              <w:t>，</w:t>
            </w:r>
            <w:r>
              <w:rPr>
                <w:rFonts w:hint="eastAsia"/>
              </w:rPr>
              <w:t>高速公路主体土建工程勘察设计或高速公路勘察设计咨询服务或高速公路地勘监理服务的加2分，最多加4分。</w:t>
            </w:r>
          </w:p>
          <w:p>
            <w:pPr>
              <w:adjustRightInd w:val="0"/>
              <w:spacing w:line="360" w:lineRule="exact"/>
              <w:ind w:firstLine="210" w:firstLineChars="100"/>
              <w:contextualSpacing/>
              <w:rPr>
                <w:rFonts w:hint="eastAsia" w:ascii="宋体" w:hAnsi="宋体"/>
                <w:sz w:val="21"/>
                <w:szCs w:val="21"/>
              </w:rPr>
            </w:pPr>
            <w:r>
              <w:rPr>
                <w:rFonts w:hint="eastAsia"/>
                <w:sz w:val="21"/>
                <w:szCs w:val="21"/>
              </w:rPr>
              <w:t>在上述业绩中的</w:t>
            </w:r>
            <w:r>
              <w:rPr>
                <w:rFonts w:hint="eastAsia" w:ascii="宋体" w:hAnsi="宋体"/>
                <w:sz w:val="21"/>
                <w:szCs w:val="21"/>
              </w:rPr>
              <w:t>设计</w:t>
            </w:r>
            <w:r>
              <w:rPr>
                <w:rFonts w:ascii="宋体" w:hAnsi="宋体"/>
                <w:sz w:val="21"/>
                <w:szCs w:val="21"/>
              </w:rPr>
              <w:t>咨询服务</w:t>
            </w:r>
            <w:r>
              <w:rPr>
                <w:rFonts w:hint="eastAsia" w:ascii="宋体" w:hAnsi="宋体"/>
                <w:sz w:val="21"/>
                <w:szCs w:val="21"/>
              </w:rPr>
              <w:t>或</w:t>
            </w:r>
            <w:r>
              <w:rPr>
                <w:rFonts w:ascii="宋体" w:hAnsi="宋体"/>
                <w:sz w:val="21"/>
                <w:szCs w:val="21"/>
              </w:rPr>
              <w:t>地勘监理</w:t>
            </w:r>
            <w:r>
              <w:rPr>
                <w:rFonts w:hint="eastAsia"/>
                <w:sz w:val="21"/>
                <w:szCs w:val="21"/>
              </w:rPr>
              <w:t>服务可不在同一标段；同一标段中的</w:t>
            </w:r>
            <w:r>
              <w:rPr>
                <w:rFonts w:hint="eastAsia" w:ascii="宋体" w:hAnsi="宋体"/>
                <w:sz w:val="21"/>
                <w:szCs w:val="21"/>
              </w:rPr>
              <w:t>勘察设计</w:t>
            </w:r>
            <w:r>
              <w:rPr>
                <w:rFonts w:ascii="宋体" w:hAnsi="宋体"/>
                <w:sz w:val="21"/>
                <w:szCs w:val="21"/>
              </w:rPr>
              <w:t>咨询服务</w:t>
            </w:r>
            <w:r>
              <w:rPr>
                <w:rFonts w:hint="eastAsia" w:ascii="宋体" w:hAnsi="宋体"/>
                <w:sz w:val="21"/>
                <w:szCs w:val="21"/>
              </w:rPr>
              <w:t>、</w:t>
            </w:r>
            <w:r>
              <w:rPr>
                <w:rFonts w:ascii="宋体" w:hAnsi="宋体"/>
                <w:sz w:val="21"/>
                <w:szCs w:val="21"/>
              </w:rPr>
              <w:t>地勘监理</w:t>
            </w:r>
            <w:r>
              <w:rPr>
                <w:rFonts w:hint="eastAsia"/>
                <w:sz w:val="21"/>
                <w:szCs w:val="21"/>
              </w:rPr>
              <w:t>服务可分别计算。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5" w:hRule="atLeast"/>
          <w:jc w:val="center"/>
        </w:trPr>
        <w:tc>
          <w:tcPr>
            <w:tcW w:w="713" w:type="dxa"/>
            <w:vMerge w:val="continue"/>
            <w:noWrap w:val="0"/>
            <w:vAlign w:val="center"/>
          </w:tcPr>
          <w:p>
            <w:pPr>
              <w:adjustRightInd w:val="0"/>
              <w:spacing w:line="360" w:lineRule="exact"/>
              <w:contextualSpacing/>
              <w:jc w:val="center"/>
              <w:rPr>
                <w:rFonts w:hint="eastAsia" w:ascii="宋体" w:hAnsi="宋体"/>
                <w:sz w:val="21"/>
                <w:szCs w:val="21"/>
              </w:rPr>
            </w:pPr>
          </w:p>
        </w:tc>
        <w:tc>
          <w:tcPr>
            <w:tcW w:w="275" w:type="dxa"/>
            <w:vMerge w:val="continue"/>
            <w:noWrap w:val="0"/>
            <w:vAlign w:val="center"/>
          </w:tcPr>
          <w:p>
            <w:pPr>
              <w:adjustRightInd w:val="0"/>
              <w:spacing w:line="360" w:lineRule="exact"/>
              <w:contextualSpacing/>
              <w:jc w:val="center"/>
              <w:rPr>
                <w:rFonts w:hint="eastAsia" w:ascii="宋体" w:hAnsi="宋体"/>
                <w:sz w:val="21"/>
                <w:szCs w:val="21"/>
              </w:rPr>
            </w:pPr>
          </w:p>
        </w:tc>
        <w:tc>
          <w:tcPr>
            <w:tcW w:w="439" w:type="dxa"/>
            <w:noWrap w:val="0"/>
            <w:vAlign w:val="center"/>
          </w:tcPr>
          <w:p>
            <w:pPr>
              <w:adjustRightInd w:val="0"/>
              <w:spacing w:line="360" w:lineRule="exact"/>
              <w:contextualSpacing/>
              <w:jc w:val="center"/>
              <w:rPr>
                <w:rFonts w:hint="eastAsia" w:ascii="宋体" w:hAnsi="宋体"/>
                <w:sz w:val="21"/>
                <w:szCs w:val="21"/>
              </w:rPr>
            </w:pPr>
            <w:r>
              <w:rPr>
                <w:rFonts w:hint="eastAsia" w:hAnsi="宋体"/>
                <w:sz w:val="21"/>
                <w:szCs w:val="21"/>
              </w:rPr>
              <w:t>履约信誉</w:t>
            </w:r>
          </w:p>
        </w:tc>
        <w:tc>
          <w:tcPr>
            <w:tcW w:w="709" w:type="dxa"/>
            <w:noWrap w:val="0"/>
            <w:vAlign w:val="center"/>
          </w:tcPr>
          <w:p>
            <w:pPr>
              <w:adjustRightInd w:val="0"/>
              <w:spacing w:line="360" w:lineRule="exact"/>
              <w:contextualSpacing/>
              <w:jc w:val="center"/>
              <w:rPr>
                <w:rFonts w:hint="eastAsia" w:ascii="宋体" w:hAnsi="宋体"/>
                <w:sz w:val="21"/>
                <w:szCs w:val="21"/>
              </w:rPr>
            </w:pPr>
            <w:r>
              <w:rPr>
                <w:rFonts w:hint="eastAsia"/>
                <w:sz w:val="21"/>
                <w:szCs w:val="21"/>
              </w:rPr>
              <w:t>5</w:t>
            </w:r>
            <w:r>
              <w:rPr>
                <w:sz w:val="21"/>
                <w:szCs w:val="21"/>
              </w:rPr>
              <w:t>分</w:t>
            </w:r>
          </w:p>
        </w:tc>
        <w:tc>
          <w:tcPr>
            <w:tcW w:w="1133" w:type="dxa"/>
            <w:noWrap w:val="0"/>
            <w:vAlign w:val="center"/>
          </w:tcPr>
          <w:p>
            <w:pPr>
              <w:autoSpaceDE w:val="0"/>
              <w:autoSpaceDN w:val="0"/>
              <w:adjustRightInd w:val="0"/>
              <w:spacing w:line="360" w:lineRule="exact"/>
              <w:contextualSpacing/>
              <w:jc w:val="center"/>
              <w:rPr>
                <w:sz w:val="21"/>
                <w:szCs w:val="21"/>
              </w:rPr>
            </w:pPr>
            <w:r>
              <w:rPr>
                <w:rFonts w:hint="eastAsia" w:hAnsi="宋体"/>
                <w:sz w:val="21"/>
                <w:szCs w:val="21"/>
              </w:rPr>
              <w:t>履约信誉</w:t>
            </w:r>
          </w:p>
        </w:tc>
        <w:tc>
          <w:tcPr>
            <w:tcW w:w="705" w:type="dxa"/>
            <w:noWrap w:val="0"/>
            <w:vAlign w:val="center"/>
          </w:tcPr>
          <w:p>
            <w:pPr>
              <w:tabs>
                <w:tab w:val="left" w:pos="460"/>
              </w:tabs>
              <w:autoSpaceDE w:val="0"/>
              <w:autoSpaceDN w:val="0"/>
              <w:adjustRightInd w:val="0"/>
              <w:spacing w:line="360" w:lineRule="exact"/>
              <w:contextualSpacing/>
              <w:jc w:val="center"/>
              <w:rPr>
                <w:rFonts w:hint="eastAsia"/>
                <w:sz w:val="21"/>
                <w:szCs w:val="21"/>
              </w:rPr>
            </w:pPr>
            <w:r>
              <w:rPr>
                <w:rFonts w:hint="eastAsia"/>
                <w:sz w:val="21"/>
                <w:szCs w:val="21"/>
              </w:rPr>
              <w:t>5分</w:t>
            </w:r>
          </w:p>
        </w:tc>
        <w:tc>
          <w:tcPr>
            <w:tcW w:w="5412" w:type="dxa"/>
            <w:gridSpan w:val="3"/>
            <w:noWrap w:val="0"/>
            <w:vAlign w:val="center"/>
          </w:tcPr>
          <w:p>
            <w:pPr>
              <w:adjustRightInd w:val="0"/>
              <w:spacing w:line="360" w:lineRule="exact"/>
              <w:contextualSpacing/>
              <w:rPr>
                <w:rFonts w:hint="eastAsia" w:ascii="宋体" w:hAnsi="宋体"/>
                <w:sz w:val="21"/>
                <w:szCs w:val="21"/>
              </w:rPr>
            </w:pPr>
            <w:r>
              <w:rPr>
                <w:rFonts w:ascii="宋体" w:hAnsi="宋体"/>
                <w:sz w:val="21"/>
                <w:szCs w:val="21"/>
              </w:rPr>
              <w:t>满足招标文件资格审查条件最低要求的，得</w:t>
            </w:r>
            <w:r>
              <w:rPr>
                <w:rFonts w:hint="eastAsia" w:ascii="宋体" w:hAnsi="宋体"/>
                <w:sz w:val="21"/>
                <w:szCs w:val="21"/>
              </w:rPr>
              <w:t>5</w:t>
            </w:r>
            <w:r>
              <w:rPr>
                <w:rFonts w:ascii="宋体" w:hAnsi="宋体"/>
                <w:sz w:val="21"/>
                <w:szCs w:val="21"/>
              </w:rPr>
              <w:t>分</w:t>
            </w:r>
            <w:r>
              <w:rPr>
                <w:rFonts w:hint="eastAsia" w:ascii="宋体" w:hAnsi="宋体"/>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472" w:hRule="atLeast"/>
          <w:jc w:val="center"/>
        </w:trPr>
        <w:tc>
          <w:tcPr>
            <w:tcW w:w="9386" w:type="dxa"/>
            <w:gridSpan w:val="9"/>
            <w:noWrap w:val="0"/>
            <w:vAlign w:val="top"/>
          </w:tcPr>
          <w:p>
            <w:pPr>
              <w:adjustRightInd w:val="0"/>
              <w:spacing w:line="360" w:lineRule="exact"/>
              <w:contextualSpacing/>
              <w:jc w:val="both"/>
              <w:rPr>
                <w:rFonts w:hint="eastAsia"/>
                <w:sz w:val="21"/>
                <w:szCs w:val="21"/>
              </w:rPr>
            </w:pPr>
            <w:r>
              <w:rPr>
                <w:rFonts w:hint="eastAsia"/>
                <w:sz w:val="21"/>
                <w:szCs w:val="21"/>
              </w:rPr>
              <w:t>需要补充的其他内容：</w:t>
            </w:r>
          </w:p>
          <w:p>
            <w:pPr>
              <w:adjustRightInd w:val="0"/>
              <w:spacing w:line="360" w:lineRule="exact"/>
              <w:contextualSpacing/>
              <w:jc w:val="both"/>
              <w:rPr>
                <w:rFonts w:ascii="宋体" w:hAnsi="宋体"/>
                <w:sz w:val="21"/>
                <w:szCs w:val="21"/>
              </w:rPr>
            </w:pPr>
            <w:r>
              <w:rPr>
                <w:rFonts w:hint="eastAsia" w:eastAsia="宋体" w:cs="Times New Roman"/>
                <w:sz w:val="21"/>
                <w:szCs w:val="21"/>
              </w:rPr>
              <w:t>招标人应根据项目具体情况确定各评分因素及评分因素权重分值，并对各评分因素进行细分（如有）、确定各评分因素细分项的分值，各评分因素权重分值合计应为 100 分。 各评分因素（评标价和履约信誉评分项除外） 得分一般不得低于其权重分值的 60%，且各评分因素得分应以评标委员会各成员的打分平均值确定， 评标委员会成员总数为 7 人以上时， 该平均值以去掉一个最高分和一个最低分后计算。评标委员会成员对某一项评分因素的评分低于权重分值 60%的，应在评标报告中作出说明。</w:t>
            </w:r>
          </w:p>
        </w:tc>
      </w:tr>
    </w:tbl>
    <w:p>
      <w:pPr>
        <w:adjustRightInd w:val="0"/>
        <w:contextualSpacing/>
        <w:rPr>
          <w:rFonts w:hint="eastAsia"/>
          <w:sz w:val="21"/>
          <w:szCs w:val="21"/>
        </w:rPr>
      </w:pPr>
    </w:p>
    <w:p>
      <w:pPr>
        <w:adjustRightInd w:val="0"/>
        <w:contextualSpacing/>
        <w:rPr>
          <w:rFonts w:hint="eastAsia"/>
          <w:sz w:val="18"/>
        </w:rPr>
      </w:pPr>
    </w:p>
    <w:p>
      <w:pPr>
        <w:adjustRightInd w:val="0"/>
        <w:contextualSpacing/>
        <w:rPr>
          <w:sz w:val="18"/>
        </w:rPr>
        <w:sectPr>
          <w:pgSz w:w="11907" w:h="16840"/>
          <w:pgMar w:top="1418" w:right="1418" w:bottom="1418" w:left="1588" w:header="851" w:footer="992" w:gutter="0"/>
          <w:cols w:space="720" w:num="1"/>
          <w:docGrid w:linePitch="360" w:charSpace="0"/>
        </w:sectPr>
      </w:pPr>
    </w:p>
    <w:p>
      <w:pPr>
        <w:adjustRightInd w:val="0"/>
        <w:contextualSpacing/>
        <w:rPr>
          <w:rFonts w:hint="eastAsia"/>
        </w:rPr>
      </w:pPr>
    </w:p>
    <w:p>
      <w:pPr>
        <w:pStyle w:val="5"/>
        <w:adjustRightInd w:val="0"/>
        <w:spacing w:before="0" w:after="0" w:line="400" w:lineRule="exact"/>
        <w:contextualSpacing/>
        <w:rPr>
          <w:rFonts w:ascii="宋体" w:hAnsi="宋体" w:cs="宋体"/>
        </w:rPr>
      </w:pPr>
      <w:bookmarkStart w:id="3" w:name="_Toc21371"/>
      <w:r>
        <w:rPr>
          <w:rFonts w:hint="eastAsia" w:ascii="宋体" w:hAnsi="宋体" w:cs="宋体"/>
        </w:rPr>
        <w:t>1.</w:t>
      </w:r>
      <w:r>
        <w:rPr>
          <w:rFonts w:ascii="宋体" w:hAnsi="宋体" w:cs="宋体"/>
        </w:rPr>
        <w:t>评标方法</w:t>
      </w:r>
      <w:bookmarkEnd w:id="3"/>
    </w:p>
    <w:p>
      <w:pPr>
        <w:adjustRightInd w:val="0"/>
        <w:spacing w:line="400" w:lineRule="exact"/>
        <w:ind w:firstLine="480" w:firstLineChars="200"/>
        <w:contextualSpacing/>
        <w:rPr>
          <w:rFonts w:ascii="宋体" w:hAnsi="宋体"/>
          <w:sz w:val="24"/>
        </w:rPr>
      </w:pPr>
      <w:r>
        <w:rPr>
          <w:rFonts w:ascii="宋体" w:hAnsi="宋体"/>
          <w:sz w:val="24"/>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pStyle w:val="5"/>
        <w:adjustRightInd w:val="0"/>
        <w:spacing w:before="0" w:after="0" w:line="400" w:lineRule="exact"/>
        <w:contextualSpacing/>
        <w:rPr>
          <w:rFonts w:hint="eastAsia" w:ascii="宋体" w:hAnsi="宋体" w:cs="宋体"/>
        </w:rPr>
      </w:pPr>
      <w:bookmarkStart w:id="4" w:name="_Toc2401"/>
      <w:r>
        <w:rPr>
          <w:rFonts w:hint="eastAsia" w:ascii="宋体" w:hAnsi="宋体" w:cs="宋体"/>
        </w:rPr>
        <w:t>2.</w:t>
      </w:r>
      <w:r>
        <w:rPr>
          <w:rFonts w:ascii="宋体" w:hAnsi="宋体" w:cs="宋体"/>
        </w:rPr>
        <w:t>评审标准</w:t>
      </w:r>
      <w:bookmarkEnd w:id="4"/>
    </w:p>
    <w:p>
      <w:pPr>
        <w:tabs>
          <w:tab w:val="left" w:pos="620"/>
        </w:tabs>
        <w:adjustRightInd w:val="0"/>
        <w:spacing w:line="400" w:lineRule="exact"/>
        <w:contextualSpacing/>
        <w:rPr>
          <w:rFonts w:ascii="宋体" w:hAnsi="宋体"/>
          <w:b/>
          <w:sz w:val="28"/>
        </w:rPr>
      </w:pPr>
      <w:r>
        <w:rPr>
          <w:rFonts w:ascii="宋体" w:hAnsi="宋体"/>
          <w:b/>
          <w:sz w:val="28"/>
        </w:rPr>
        <w:t>2.1 初步评审标准</w:t>
      </w:r>
    </w:p>
    <w:p>
      <w:pPr>
        <w:adjustRightInd w:val="0"/>
        <w:spacing w:line="400" w:lineRule="exact"/>
        <w:ind w:firstLine="480" w:firstLineChars="200"/>
        <w:contextualSpacing/>
        <w:rPr>
          <w:rFonts w:ascii="宋体" w:hAnsi="宋体"/>
          <w:sz w:val="24"/>
        </w:rPr>
      </w:pPr>
      <w:r>
        <w:rPr>
          <w:rFonts w:ascii="宋体" w:hAnsi="宋体"/>
          <w:sz w:val="24"/>
        </w:rPr>
        <w:t>2.1.1 形式评审标准：见评标办法前附表。</w:t>
      </w:r>
    </w:p>
    <w:p>
      <w:pPr>
        <w:adjustRightInd w:val="0"/>
        <w:spacing w:line="400" w:lineRule="exact"/>
        <w:ind w:firstLine="480" w:firstLineChars="200"/>
        <w:contextualSpacing/>
        <w:rPr>
          <w:rFonts w:ascii="宋体" w:hAnsi="宋体"/>
          <w:sz w:val="24"/>
        </w:rPr>
      </w:pPr>
      <w:r>
        <w:rPr>
          <w:rFonts w:ascii="宋体" w:hAnsi="宋体"/>
          <w:sz w:val="24"/>
        </w:rPr>
        <w:t>2.1.2 资格评审标准：见评标办法前附表。（适用于未进行资格预审的）</w:t>
      </w:r>
    </w:p>
    <w:p>
      <w:pPr>
        <w:adjustRightInd w:val="0"/>
        <w:spacing w:line="400" w:lineRule="exact"/>
        <w:ind w:firstLine="480" w:firstLineChars="200"/>
        <w:contextualSpacing/>
        <w:rPr>
          <w:rFonts w:hint="eastAsia" w:ascii="宋体" w:hAnsi="宋体"/>
          <w:sz w:val="24"/>
        </w:rPr>
      </w:pPr>
      <w:r>
        <w:rPr>
          <w:rFonts w:ascii="宋体" w:hAnsi="宋体"/>
          <w:sz w:val="24"/>
        </w:rPr>
        <w:t>2.1.2 资格评审标准：见资格预审文件第三章“资格审查办法”详细审查标准。（适用于已进行资格预审的）</w:t>
      </w:r>
    </w:p>
    <w:p>
      <w:pPr>
        <w:adjustRightInd w:val="0"/>
        <w:spacing w:line="400" w:lineRule="exact"/>
        <w:ind w:firstLine="480" w:firstLineChars="200"/>
        <w:contextualSpacing/>
        <w:rPr>
          <w:rFonts w:ascii="宋体" w:hAnsi="宋体"/>
          <w:sz w:val="24"/>
        </w:rPr>
      </w:pPr>
      <w:r>
        <w:rPr>
          <w:rFonts w:ascii="宋体" w:hAnsi="宋体"/>
          <w:sz w:val="24"/>
        </w:rPr>
        <w:t>2.1.3 响应性评审标准：见评标办法前附表。</w:t>
      </w:r>
    </w:p>
    <w:p>
      <w:pPr>
        <w:tabs>
          <w:tab w:val="left" w:pos="620"/>
        </w:tabs>
        <w:adjustRightInd w:val="0"/>
        <w:spacing w:line="400" w:lineRule="exact"/>
        <w:contextualSpacing/>
        <w:rPr>
          <w:rFonts w:ascii="宋体" w:hAnsi="宋体"/>
          <w:b/>
          <w:sz w:val="28"/>
        </w:rPr>
      </w:pPr>
      <w:r>
        <w:rPr>
          <w:rFonts w:ascii="宋体" w:hAnsi="宋体"/>
          <w:b/>
          <w:sz w:val="28"/>
        </w:rPr>
        <w:t>2.2 分值构成与评分标准</w:t>
      </w:r>
    </w:p>
    <w:p>
      <w:pPr>
        <w:tabs>
          <w:tab w:val="left" w:pos="620"/>
        </w:tabs>
        <w:adjustRightInd w:val="0"/>
        <w:spacing w:line="400" w:lineRule="exact"/>
        <w:ind w:firstLine="562" w:firstLineChars="200"/>
        <w:contextualSpacing/>
        <w:rPr>
          <w:rFonts w:ascii="宋体" w:hAnsi="宋体"/>
          <w:b/>
          <w:sz w:val="28"/>
        </w:rPr>
      </w:pPr>
      <w:r>
        <w:rPr>
          <w:rFonts w:ascii="宋体" w:hAnsi="宋体"/>
          <w:b/>
          <w:sz w:val="28"/>
        </w:rPr>
        <w:t>2.2.1 分值构成</w:t>
      </w:r>
    </w:p>
    <w:p>
      <w:pPr>
        <w:adjustRightInd w:val="0"/>
        <w:spacing w:line="400" w:lineRule="exact"/>
        <w:ind w:firstLine="480" w:firstLineChars="200"/>
        <w:contextualSpacing/>
        <w:rPr>
          <w:rFonts w:ascii="宋体" w:hAnsi="宋体"/>
          <w:sz w:val="24"/>
        </w:rPr>
      </w:pPr>
      <w:r>
        <w:rPr>
          <w:rFonts w:ascii="宋体" w:hAnsi="宋体"/>
          <w:sz w:val="24"/>
        </w:rPr>
        <w:t>（1）技术建议书：见评标办法前附表；</w:t>
      </w:r>
    </w:p>
    <w:p>
      <w:pPr>
        <w:adjustRightInd w:val="0"/>
        <w:spacing w:line="400" w:lineRule="exact"/>
        <w:ind w:firstLine="480" w:firstLineChars="200"/>
        <w:contextualSpacing/>
        <w:rPr>
          <w:rFonts w:ascii="宋体" w:hAnsi="宋体"/>
          <w:sz w:val="24"/>
        </w:rPr>
      </w:pPr>
      <w:r>
        <w:rPr>
          <w:rFonts w:ascii="宋体" w:hAnsi="宋体"/>
          <w:sz w:val="24"/>
        </w:rPr>
        <w:t>（2）主要人员：见评标办法前附表；</w:t>
      </w:r>
    </w:p>
    <w:p>
      <w:pPr>
        <w:adjustRightInd w:val="0"/>
        <w:spacing w:line="400" w:lineRule="exact"/>
        <w:ind w:firstLine="480" w:firstLineChars="200"/>
        <w:contextualSpacing/>
        <w:rPr>
          <w:rFonts w:ascii="宋体" w:hAnsi="宋体"/>
          <w:sz w:val="24"/>
        </w:rPr>
      </w:pPr>
      <w:r>
        <w:rPr>
          <w:rFonts w:ascii="宋体" w:hAnsi="宋体"/>
          <w:sz w:val="24"/>
        </w:rPr>
        <w:t>（3）评标价：见评标办法前附表；</w:t>
      </w:r>
    </w:p>
    <w:p>
      <w:pPr>
        <w:adjustRightInd w:val="0"/>
        <w:spacing w:line="400" w:lineRule="exact"/>
        <w:ind w:firstLine="480" w:firstLineChars="200"/>
        <w:contextualSpacing/>
        <w:rPr>
          <w:rFonts w:ascii="宋体" w:hAnsi="宋体"/>
          <w:sz w:val="24"/>
        </w:rPr>
      </w:pPr>
      <w:r>
        <w:rPr>
          <w:rFonts w:ascii="宋体" w:hAnsi="宋体"/>
          <w:sz w:val="24"/>
        </w:rPr>
        <w:t>（4）其他评分因素：见评标办法前附表。</w:t>
      </w:r>
    </w:p>
    <w:p>
      <w:pPr>
        <w:tabs>
          <w:tab w:val="left" w:pos="620"/>
        </w:tabs>
        <w:adjustRightInd w:val="0"/>
        <w:spacing w:line="400" w:lineRule="exact"/>
        <w:contextualSpacing/>
        <w:rPr>
          <w:rFonts w:ascii="宋体" w:hAnsi="宋体"/>
          <w:b/>
          <w:sz w:val="28"/>
        </w:rPr>
      </w:pPr>
      <w:r>
        <w:rPr>
          <w:rFonts w:ascii="宋体" w:hAnsi="宋体"/>
          <w:b/>
          <w:sz w:val="28"/>
        </w:rPr>
        <w:t>2.2.2 评标基准价计算</w:t>
      </w:r>
    </w:p>
    <w:p>
      <w:pPr>
        <w:adjustRightInd w:val="0"/>
        <w:spacing w:line="400" w:lineRule="exact"/>
        <w:ind w:firstLine="480" w:firstLineChars="200"/>
        <w:contextualSpacing/>
        <w:rPr>
          <w:rFonts w:ascii="宋体" w:hAnsi="宋体"/>
          <w:sz w:val="24"/>
        </w:rPr>
      </w:pPr>
      <w:r>
        <w:rPr>
          <w:rFonts w:ascii="宋体" w:hAnsi="宋体"/>
          <w:sz w:val="24"/>
        </w:rPr>
        <w:t>评标基准价计算方法：见评标办法前附表。</w:t>
      </w:r>
    </w:p>
    <w:p>
      <w:pPr>
        <w:tabs>
          <w:tab w:val="left" w:pos="620"/>
        </w:tabs>
        <w:adjustRightInd w:val="0"/>
        <w:spacing w:line="400" w:lineRule="exact"/>
        <w:contextualSpacing/>
        <w:rPr>
          <w:rFonts w:ascii="宋体" w:hAnsi="宋体"/>
          <w:b/>
          <w:sz w:val="28"/>
        </w:rPr>
      </w:pPr>
      <w:r>
        <w:rPr>
          <w:rFonts w:ascii="宋体" w:hAnsi="宋体"/>
          <w:b/>
          <w:sz w:val="28"/>
        </w:rPr>
        <w:t>2.2.3 评标价的偏差率计算</w:t>
      </w:r>
    </w:p>
    <w:p>
      <w:pPr>
        <w:adjustRightInd w:val="0"/>
        <w:spacing w:line="400" w:lineRule="exact"/>
        <w:ind w:firstLine="480" w:firstLineChars="200"/>
        <w:contextualSpacing/>
        <w:rPr>
          <w:rFonts w:ascii="宋体" w:hAnsi="宋体"/>
          <w:sz w:val="24"/>
        </w:rPr>
      </w:pPr>
      <w:r>
        <w:rPr>
          <w:rFonts w:ascii="宋体" w:hAnsi="宋体"/>
          <w:sz w:val="24"/>
        </w:rPr>
        <w:t>评标价的偏差率计算公式：见评标办法前附表。</w:t>
      </w:r>
    </w:p>
    <w:p>
      <w:pPr>
        <w:tabs>
          <w:tab w:val="left" w:pos="620"/>
        </w:tabs>
        <w:adjustRightInd w:val="0"/>
        <w:spacing w:line="400" w:lineRule="exact"/>
        <w:contextualSpacing/>
        <w:rPr>
          <w:rFonts w:ascii="宋体" w:hAnsi="宋体"/>
          <w:b/>
          <w:sz w:val="28"/>
        </w:rPr>
      </w:pPr>
      <w:r>
        <w:rPr>
          <w:rFonts w:ascii="宋体" w:hAnsi="宋体"/>
          <w:b/>
          <w:sz w:val="28"/>
        </w:rPr>
        <w:t>2.2.4 评分标准</w:t>
      </w:r>
    </w:p>
    <w:p>
      <w:pPr>
        <w:adjustRightInd w:val="0"/>
        <w:spacing w:line="400" w:lineRule="exact"/>
        <w:ind w:firstLine="480" w:firstLineChars="200"/>
        <w:contextualSpacing/>
        <w:rPr>
          <w:rFonts w:hint="eastAsia" w:ascii="宋体" w:hAnsi="宋体"/>
          <w:sz w:val="24"/>
        </w:rPr>
      </w:pPr>
      <w:r>
        <w:rPr>
          <w:rFonts w:ascii="宋体" w:hAnsi="宋体"/>
          <w:sz w:val="24"/>
        </w:rPr>
        <w:t>（1）技术建议书评分标准：见评标办法前附表；</w:t>
      </w:r>
    </w:p>
    <w:p>
      <w:pPr>
        <w:adjustRightInd w:val="0"/>
        <w:spacing w:line="400" w:lineRule="exact"/>
        <w:ind w:firstLine="480" w:firstLineChars="200"/>
        <w:contextualSpacing/>
        <w:rPr>
          <w:rFonts w:hint="eastAsia" w:ascii="宋体" w:hAnsi="宋体"/>
          <w:sz w:val="24"/>
        </w:rPr>
      </w:pPr>
      <w:r>
        <w:rPr>
          <w:rFonts w:ascii="宋体" w:hAnsi="宋体"/>
          <w:sz w:val="24"/>
        </w:rPr>
        <w:t>（2）主要人员评分标准：见评标办法前附表；</w:t>
      </w:r>
    </w:p>
    <w:p>
      <w:pPr>
        <w:adjustRightInd w:val="0"/>
        <w:spacing w:line="400" w:lineRule="exact"/>
        <w:ind w:firstLine="480" w:firstLineChars="200"/>
        <w:contextualSpacing/>
        <w:rPr>
          <w:rFonts w:hint="eastAsia" w:ascii="宋体" w:hAnsi="宋体"/>
          <w:sz w:val="24"/>
        </w:rPr>
      </w:pPr>
      <w:r>
        <w:rPr>
          <w:rFonts w:ascii="宋体" w:hAnsi="宋体"/>
          <w:sz w:val="24"/>
        </w:rPr>
        <w:t>（3）评标价评分标准：见评标办法前附表；</w:t>
      </w:r>
    </w:p>
    <w:p>
      <w:pPr>
        <w:adjustRightInd w:val="0"/>
        <w:spacing w:line="400" w:lineRule="exact"/>
        <w:ind w:firstLine="480" w:firstLineChars="200"/>
        <w:contextualSpacing/>
        <w:rPr>
          <w:rFonts w:ascii="宋体" w:hAnsi="宋体"/>
          <w:sz w:val="24"/>
        </w:rPr>
      </w:pPr>
      <w:r>
        <w:rPr>
          <w:rFonts w:hint="eastAsia" w:ascii="宋体" w:hAnsi="宋体"/>
          <w:sz w:val="24"/>
        </w:rPr>
        <w:t>（4）</w:t>
      </w:r>
      <w:r>
        <w:rPr>
          <w:rFonts w:ascii="宋体" w:hAnsi="宋体"/>
          <w:sz w:val="24"/>
        </w:rPr>
        <w:t>其他因素评分标准：见评标办法前附表。</w:t>
      </w:r>
    </w:p>
    <w:p>
      <w:pPr>
        <w:pStyle w:val="5"/>
        <w:adjustRightInd w:val="0"/>
        <w:spacing w:before="0" w:after="0" w:line="400" w:lineRule="exact"/>
        <w:contextualSpacing/>
        <w:rPr>
          <w:rFonts w:ascii="宋体" w:hAnsi="宋体" w:cs="宋体"/>
        </w:rPr>
      </w:pPr>
      <w:bookmarkStart w:id="5" w:name="_Toc16127"/>
      <w:r>
        <w:rPr>
          <w:rFonts w:hint="eastAsia" w:ascii="宋体" w:hAnsi="宋体" w:cs="宋体"/>
        </w:rPr>
        <w:t>3.</w:t>
      </w:r>
      <w:r>
        <w:rPr>
          <w:rFonts w:ascii="宋体" w:hAnsi="宋体" w:cs="宋体"/>
        </w:rPr>
        <w:t>评标程序</w:t>
      </w:r>
      <w:bookmarkEnd w:id="5"/>
    </w:p>
    <w:p>
      <w:pPr>
        <w:tabs>
          <w:tab w:val="left" w:pos="620"/>
        </w:tabs>
        <w:adjustRightInd w:val="0"/>
        <w:spacing w:line="400" w:lineRule="exact"/>
        <w:contextualSpacing/>
        <w:rPr>
          <w:rFonts w:ascii="宋体" w:hAnsi="宋体"/>
          <w:b/>
          <w:sz w:val="28"/>
        </w:rPr>
      </w:pPr>
      <w:r>
        <w:rPr>
          <w:rFonts w:ascii="宋体" w:hAnsi="宋体"/>
          <w:b/>
          <w:sz w:val="28"/>
        </w:rPr>
        <w:t>3.1 第一个信封初步评审</w:t>
      </w:r>
    </w:p>
    <w:p>
      <w:pPr>
        <w:adjustRightInd w:val="0"/>
        <w:spacing w:line="400" w:lineRule="exact"/>
        <w:ind w:firstLine="480" w:firstLineChars="200"/>
        <w:contextualSpacing/>
        <w:rPr>
          <w:rFonts w:hint="eastAsia" w:ascii="宋体" w:hAnsi="宋体"/>
          <w:sz w:val="24"/>
        </w:rPr>
      </w:pPr>
      <w:r>
        <w:rPr>
          <w:rFonts w:ascii="宋体" w:hAnsi="宋体"/>
          <w:sz w:val="24"/>
        </w:rPr>
        <w:t>3.1.1 评标委员会可以要求投标人提交第二章“投标人须知”第 3.5.1 项至第 3.5.5项规定的有关证明和证件的原件，以便核验。评标委员会依据本章第 2.1 款规定的标准对投标文件第一个信封（商务及技术文件）进行初步评审。有一项不符合评审标准的，评标委员会应否决其投标。（适用于未进行资格预审的）</w:t>
      </w:r>
    </w:p>
    <w:p>
      <w:pPr>
        <w:adjustRightInd w:val="0"/>
        <w:spacing w:line="400" w:lineRule="exact"/>
        <w:ind w:firstLine="480" w:firstLineChars="200"/>
        <w:contextualSpacing/>
        <w:rPr>
          <w:rFonts w:ascii="宋体" w:hAnsi="宋体"/>
          <w:sz w:val="24"/>
        </w:rPr>
      </w:pPr>
      <w:r>
        <w:rPr>
          <w:rFonts w:ascii="宋体" w:hAnsi="宋体"/>
          <w:sz w:val="24"/>
        </w:rPr>
        <w:t>3.1.1 评标委员会依据本章第 2.1.1 项、第 2.1.3 项规定的评审标准对投标文件第一个信封（商务及技术文件）进行初步评审。有一项不符合评审标准的，评标委员会应否决其投标。当投标人资格预审申请文件的内容发生重大变化时，评标委员会依据本章第 2.1.2 项规定的标准对其更新资料进行评审。（适用于已进行资格预审的）</w:t>
      </w:r>
    </w:p>
    <w:p>
      <w:pPr>
        <w:tabs>
          <w:tab w:val="left" w:pos="620"/>
        </w:tabs>
        <w:adjustRightInd w:val="0"/>
        <w:spacing w:line="400" w:lineRule="exact"/>
        <w:contextualSpacing/>
        <w:rPr>
          <w:rFonts w:ascii="宋体" w:hAnsi="宋体"/>
          <w:sz w:val="24"/>
        </w:rPr>
      </w:pPr>
      <w:r>
        <w:rPr>
          <w:rFonts w:ascii="宋体" w:hAnsi="宋体"/>
          <w:b/>
          <w:sz w:val="28"/>
        </w:rPr>
        <w:t>3.2 第一个信封详细评审</w:t>
      </w:r>
    </w:p>
    <w:p>
      <w:pPr>
        <w:adjustRightInd w:val="0"/>
        <w:spacing w:line="400" w:lineRule="exact"/>
        <w:ind w:firstLine="480" w:firstLineChars="200"/>
        <w:contextualSpacing/>
        <w:rPr>
          <w:rFonts w:ascii="宋体" w:hAnsi="宋体"/>
          <w:sz w:val="24"/>
        </w:rPr>
      </w:pPr>
      <w:r>
        <w:rPr>
          <w:rFonts w:ascii="宋体" w:hAnsi="宋体"/>
          <w:sz w:val="24"/>
        </w:rPr>
        <w:t>3.2.1 评标委员会按本章第 2.2 款规定的量化因素和分值进行打分，并计算出各投标人的商务和技术得分。</w:t>
      </w:r>
    </w:p>
    <w:p>
      <w:pPr>
        <w:adjustRightInd w:val="0"/>
        <w:spacing w:line="400" w:lineRule="exact"/>
        <w:ind w:firstLine="480" w:firstLineChars="200"/>
        <w:contextualSpacing/>
        <w:rPr>
          <w:rFonts w:ascii="宋体" w:hAnsi="宋体"/>
          <w:sz w:val="24"/>
        </w:rPr>
      </w:pPr>
      <w:r>
        <w:rPr>
          <w:rFonts w:ascii="宋体" w:hAnsi="宋体"/>
          <w:sz w:val="24"/>
        </w:rPr>
        <w:t>（1）按本章第 2.2.4 项（1）目规定的评审因素和分值对技术建议书部分计算出得分 A；</w:t>
      </w:r>
    </w:p>
    <w:p>
      <w:pPr>
        <w:adjustRightInd w:val="0"/>
        <w:spacing w:line="400" w:lineRule="exact"/>
        <w:ind w:firstLine="480" w:firstLineChars="200"/>
        <w:contextualSpacing/>
        <w:rPr>
          <w:rFonts w:hint="eastAsia" w:ascii="宋体" w:hAnsi="宋体"/>
          <w:sz w:val="24"/>
        </w:rPr>
      </w:pPr>
      <w:r>
        <w:rPr>
          <w:rFonts w:ascii="宋体" w:hAnsi="宋体"/>
          <w:sz w:val="24"/>
        </w:rPr>
        <w:t>（2）按本章第 2.2.4 项（2）目规定的评审因素和分值对主要人员部分计算出得</w:t>
      </w:r>
      <w:r>
        <w:rPr>
          <w:rFonts w:hint="eastAsia" w:ascii="宋体" w:hAnsi="宋体"/>
          <w:sz w:val="24"/>
        </w:rPr>
        <w:t>分B；</w:t>
      </w:r>
    </w:p>
    <w:p>
      <w:pPr>
        <w:adjustRightInd w:val="0"/>
        <w:spacing w:line="400" w:lineRule="exact"/>
        <w:ind w:firstLine="480" w:firstLineChars="200"/>
        <w:contextualSpacing/>
        <w:rPr>
          <w:rFonts w:ascii="宋体" w:hAnsi="宋体"/>
          <w:sz w:val="24"/>
        </w:rPr>
      </w:pPr>
      <w:r>
        <w:rPr>
          <w:rFonts w:ascii="宋体" w:hAnsi="宋体"/>
          <w:sz w:val="24"/>
        </w:rPr>
        <w:t>（3）按本章第 2.2.4 项（4）目规定的评审因素和分值对其他部分计算出得分 D。</w:t>
      </w:r>
    </w:p>
    <w:p>
      <w:pPr>
        <w:adjustRightInd w:val="0"/>
        <w:spacing w:line="400" w:lineRule="exact"/>
        <w:ind w:firstLine="480" w:firstLineChars="200"/>
        <w:contextualSpacing/>
        <w:rPr>
          <w:rFonts w:ascii="宋体" w:hAnsi="宋体"/>
          <w:sz w:val="24"/>
        </w:rPr>
      </w:pPr>
      <w:r>
        <w:rPr>
          <w:rFonts w:ascii="宋体" w:hAnsi="宋体"/>
          <w:sz w:val="24"/>
        </w:rPr>
        <w:t>3.2.2  投标人的商务和技术得分分值计算保留小数点后两位，小数点后第三位四舍五入”。</w:t>
      </w:r>
    </w:p>
    <w:p>
      <w:pPr>
        <w:adjustRightInd w:val="0"/>
        <w:spacing w:line="400" w:lineRule="exact"/>
        <w:ind w:firstLine="480" w:firstLineChars="200"/>
        <w:contextualSpacing/>
        <w:rPr>
          <w:rFonts w:hint="eastAsia" w:ascii="宋体" w:hAnsi="宋体"/>
          <w:sz w:val="24"/>
        </w:rPr>
      </w:pPr>
      <w:r>
        <w:rPr>
          <w:rFonts w:hint="eastAsia" w:ascii="宋体" w:hAnsi="宋体"/>
          <w:sz w:val="24"/>
        </w:rPr>
        <w:t xml:space="preserve">3.2.3  </w:t>
      </w:r>
      <w:r>
        <w:rPr>
          <w:rFonts w:ascii="宋体" w:hAnsi="宋体"/>
          <w:sz w:val="24"/>
        </w:rPr>
        <w:t>投标人的商务和技术得分=A+B+D。</w:t>
      </w:r>
    </w:p>
    <w:p>
      <w:pPr>
        <w:tabs>
          <w:tab w:val="left" w:pos="620"/>
        </w:tabs>
        <w:adjustRightInd w:val="0"/>
        <w:spacing w:line="400" w:lineRule="exact"/>
        <w:contextualSpacing/>
        <w:rPr>
          <w:rFonts w:ascii="宋体" w:hAnsi="宋体"/>
          <w:b/>
          <w:sz w:val="28"/>
        </w:rPr>
      </w:pPr>
      <w:r>
        <w:rPr>
          <w:rFonts w:hint="eastAsia" w:ascii="宋体" w:hAnsi="宋体"/>
          <w:b/>
          <w:sz w:val="28"/>
        </w:rPr>
        <w:t>3.3</w:t>
      </w:r>
      <w:r>
        <w:rPr>
          <w:rFonts w:ascii="宋体" w:hAnsi="宋体"/>
          <w:b/>
          <w:sz w:val="28"/>
        </w:rPr>
        <w:t>第二个信封开标</w:t>
      </w:r>
    </w:p>
    <w:p>
      <w:pPr>
        <w:adjustRightInd w:val="0"/>
        <w:spacing w:line="400" w:lineRule="exact"/>
        <w:ind w:firstLine="480" w:firstLineChars="200"/>
        <w:contextualSpacing/>
        <w:rPr>
          <w:rFonts w:hint="eastAsia" w:ascii="宋体" w:hAnsi="宋体"/>
          <w:sz w:val="24"/>
        </w:rPr>
      </w:pPr>
      <w:r>
        <w:rPr>
          <w:rFonts w:ascii="宋体" w:hAnsi="宋体"/>
          <w:sz w:val="24"/>
        </w:rPr>
        <w:t>第一个信封（商务及技术文件）评审结束后，招标人将按照第二章“投标人须知”</w:t>
      </w:r>
      <w:r>
        <w:rPr>
          <w:rFonts w:hint="eastAsia" w:ascii="宋体" w:hAnsi="宋体"/>
          <w:sz w:val="24"/>
        </w:rPr>
        <w:t>第</w:t>
      </w:r>
      <w:r>
        <w:rPr>
          <w:rFonts w:ascii="宋体" w:hAnsi="宋体"/>
          <w:sz w:val="24"/>
        </w:rPr>
        <w:t>5.1 款规定的时间和地点对通过投标文件第一个信封（商务及技术文件）评审的投标文件第二个信封（报价文件）进行开标。</w:t>
      </w:r>
    </w:p>
    <w:p>
      <w:pPr>
        <w:tabs>
          <w:tab w:val="left" w:pos="620"/>
        </w:tabs>
        <w:adjustRightInd w:val="0"/>
        <w:spacing w:line="400" w:lineRule="exact"/>
        <w:contextualSpacing/>
        <w:rPr>
          <w:rFonts w:hint="eastAsia" w:ascii="宋体" w:hAnsi="宋体"/>
          <w:b/>
          <w:sz w:val="28"/>
        </w:rPr>
      </w:pPr>
      <w:r>
        <w:rPr>
          <w:rFonts w:ascii="宋体" w:hAnsi="宋体"/>
          <w:b/>
          <w:sz w:val="28"/>
        </w:rPr>
        <w:t>3.4 第二个信封初步评审</w:t>
      </w:r>
    </w:p>
    <w:p>
      <w:pPr>
        <w:adjustRightInd w:val="0"/>
        <w:spacing w:line="400" w:lineRule="exact"/>
        <w:ind w:firstLine="480" w:firstLineChars="200"/>
        <w:contextualSpacing/>
        <w:rPr>
          <w:rFonts w:ascii="宋体" w:hAnsi="宋体"/>
          <w:sz w:val="24"/>
        </w:rPr>
      </w:pPr>
      <w:r>
        <w:rPr>
          <w:rFonts w:ascii="宋体" w:hAnsi="宋体"/>
          <w:sz w:val="24"/>
        </w:rPr>
        <w:t>3.4.1 评标委员会依据本章第 2.1.1 项、第 2.1.3 项规定的评审标准对投标文件第二个信封（报价文件）进行初步评审。有一项不符合评审标准的，评标委员会应否决其投标。</w:t>
      </w:r>
    </w:p>
    <w:p>
      <w:pPr>
        <w:adjustRightInd w:val="0"/>
        <w:spacing w:line="400" w:lineRule="exact"/>
        <w:ind w:firstLine="480" w:firstLineChars="200"/>
        <w:contextualSpacing/>
        <w:rPr>
          <w:rFonts w:ascii="宋体" w:hAnsi="宋体"/>
          <w:sz w:val="24"/>
        </w:rPr>
      </w:pPr>
      <w:r>
        <w:rPr>
          <w:rFonts w:ascii="宋体" w:hAnsi="宋体"/>
          <w:sz w:val="24"/>
        </w:rPr>
        <w:t>3.4.2 投标报价有算术错误的，评标委员会按以下原则对投标报价进行修正，修正的价格经投标人书面确认后具有约束力。投标人不接受修正价格的，评标委员会应否决其投标。</w:t>
      </w:r>
    </w:p>
    <w:p>
      <w:pPr>
        <w:adjustRightInd w:val="0"/>
        <w:spacing w:line="400" w:lineRule="exact"/>
        <w:ind w:firstLine="480" w:firstLineChars="200"/>
        <w:contextualSpacing/>
        <w:rPr>
          <w:rFonts w:ascii="宋体" w:hAnsi="宋体"/>
          <w:sz w:val="24"/>
        </w:rPr>
      </w:pPr>
      <w:r>
        <w:rPr>
          <w:rFonts w:ascii="宋体" w:hAnsi="宋体"/>
          <w:sz w:val="24"/>
        </w:rPr>
        <w:t>（1）投标文件中的大写金额与小写金额不一致的，以大写金额为准；</w:t>
      </w:r>
    </w:p>
    <w:p>
      <w:pPr>
        <w:adjustRightInd w:val="0"/>
        <w:spacing w:line="400" w:lineRule="exact"/>
        <w:ind w:firstLine="480" w:firstLineChars="200"/>
        <w:contextualSpacing/>
        <w:rPr>
          <w:rFonts w:ascii="宋体" w:hAnsi="宋体"/>
          <w:sz w:val="24"/>
        </w:rPr>
      </w:pPr>
      <w:r>
        <w:rPr>
          <w:rFonts w:ascii="宋体" w:hAnsi="宋体"/>
          <w:sz w:val="24"/>
        </w:rPr>
        <w:t>（2）总价金额与依据单价计算出的结果不一致的，以单价金额为准修正总价，但单价金额小数点有明显错误的除外；</w:t>
      </w:r>
    </w:p>
    <w:p>
      <w:pPr>
        <w:adjustRightInd w:val="0"/>
        <w:spacing w:line="400" w:lineRule="exact"/>
        <w:ind w:firstLine="480" w:firstLineChars="200"/>
        <w:contextualSpacing/>
        <w:rPr>
          <w:rFonts w:ascii="宋体" w:hAnsi="宋体"/>
          <w:sz w:val="24"/>
        </w:rPr>
      </w:pPr>
      <w:r>
        <w:rPr>
          <w:rFonts w:ascii="宋体" w:hAnsi="宋体"/>
          <w:sz w:val="24"/>
        </w:rPr>
        <w:t>（3）当单价与数量相乘不等于合价时，以单价计算为准，如果单价有明显的小数点位置差错，应以标出的合价为准，同时对单价予以修正；</w:t>
      </w:r>
    </w:p>
    <w:p>
      <w:pPr>
        <w:adjustRightInd w:val="0"/>
        <w:spacing w:line="400" w:lineRule="exact"/>
        <w:ind w:firstLine="480" w:firstLineChars="200"/>
        <w:contextualSpacing/>
        <w:rPr>
          <w:rFonts w:ascii="宋体" w:hAnsi="宋体"/>
          <w:sz w:val="24"/>
        </w:rPr>
      </w:pPr>
      <w:r>
        <w:rPr>
          <w:rFonts w:ascii="宋体" w:hAnsi="宋体"/>
          <w:sz w:val="24"/>
        </w:rPr>
        <w:t>（4）当各子目的合价累计不等于总价时，应以各子目合价累计数为准，修正总价。</w:t>
      </w:r>
    </w:p>
    <w:p>
      <w:pPr>
        <w:adjustRightInd w:val="0"/>
        <w:spacing w:line="400" w:lineRule="exact"/>
        <w:ind w:firstLine="480" w:firstLineChars="200"/>
        <w:contextualSpacing/>
        <w:rPr>
          <w:rFonts w:ascii="宋体" w:hAnsi="宋体"/>
          <w:sz w:val="24"/>
        </w:rPr>
      </w:pPr>
      <w:r>
        <w:rPr>
          <w:rFonts w:ascii="宋体" w:hAnsi="宋体"/>
          <w:sz w:val="24"/>
        </w:rPr>
        <w:t>3.4.3 修正后的最终投标报价若超过最高投标限价（如有），评标委员会应否决其投标。</w:t>
      </w:r>
    </w:p>
    <w:p>
      <w:pPr>
        <w:adjustRightInd w:val="0"/>
        <w:spacing w:line="400" w:lineRule="exact"/>
        <w:ind w:firstLine="480" w:firstLineChars="200"/>
        <w:contextualSpacing/>
        <w:rPr>
          <w:rFonts w:ascii="宋体" w:hAnsi="宋体"/>
          <w:sz w:val="24"/>
        </w:rPr>
      </w:pPr>
      <w:r>
        <w:rPr>
          <w:rFonts w:ascii="宋体" w:hAnsi="宋体"/>
          <w:sz w:val="24"/>
        </w:rPr>
        <w:t>3.4.4 修正后的最终投标报价仅作为签订合同的一个依据，不参与评标价得分的计算。</w:t>
      </w:r>
    </w:p>
    <w:p>
      <w:pPr>
        <w:tabs>
          <w:tab w:val="left" w:pos="620"/>
        </w:tabs>
        <w:adjustRightInd w:val="0"/>
        <w:spacing w:line="400" w:lineRule="exact"/>
        <w:contextualSpacing/>
        <w:rPr>
          <w:rFonts w:ascii="宋体" w:hAnsi="宋体"/>
          <w:b/>
          <w:sz w:val="28"/>
        </w:rPr>
      </w:pPr>
      <w:r>
        <w:rPr>
          <w:rFonts w:ascii="宋体" w:hAnsi="宋体"/>
          <w:b/>
          <w:sz w:val="28"/>
        </w:rPr>
        <w:t>3.5 第二个信封详细评审</w:t>
      </w:r>
    </w:p>
    <w:p>
      <w:pPr>
        <w:adjustRightInd w:val="0"/>
        <w:spacing w:line="400" w:lineRule="exact"/>
        <w:ind w:firstLine="480" w:firstLineChars="200"/>
        <w:contextualSpacing/>
        <w:rPr>
          <w:rFonts w:ascii="宋体" w:hAnsi="宋体"/>
          <w:sz w:val="24"/>
        </w:rPr>
      </w:pPr>
      <w:r>
        <w:rPr>
          <w:rFonts w:ascii="宋体" w:hAnsi="宋体"/>
          <w:sz w:val="24"/>
        </w:rPr>
        <w:t>3.5.1 评标委员会按本章第 2.2.4 项（3）目规定的评审因素和分值对评标价计算出得分 C。评标价得分分值计算保留小数点后两位，小数点后第三位“四舍五入”。</w:t>
      </w:r>
    </w:p>
    <w:p>
      <w:pPr>
        <w:adjustRightInd w:val="0"/>
        <w:spacing w:line="400" w:lineRule="exact"/>
        <w:ind w:firstLine="480" w:firstLineChars="200"/>
        <w:contextualSpacing/>
        <w:rPr>
          <w:rFonts w:ascii="宋体" w:hAnsi="宋体"/>
          <w:sz w:val="24"/>
        </w:rPr>
      </w:pPr>
      <w:r>
        <w:rPr>
          <w:rFonts w:ascii="宋体" w:hAnsi="宋体"/>
          <w:sz w:val="24"/>
        </w:rPr>
        <w:t>3.5.2 投标人综合得分=投标人的商务和技术得分+C。</w:t>
      </w:r>
    </w:p>
    <w:p>
      <w:pPr>
        <w:adjustRightInd w:val="0"/>
        <w:spacing w:line="400" w:lineRule="exact"/>
        <w:ind w:firstLine="480" w:firstLineChars="200"/>
        <w:contextualSpacing/>
        <w:rPr>
          <w:rFonts w:ascii="宋体" w:hAnsi="宋体"/>
          <w:sz w:val="24"/>
        </w:rPr>
      </w:pPr>
      <w:r>
        <w:rPr>
          <w:rFonts w:ascii="宋体" w:hAnsi="宋体"/>
          <w:sz w:val="24"/>
        </w:rPr>
        <w:t>3.5.3 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tabs>
          <w:tab w:val="left" w:pos="620"/>
        </w:tabs>
        <w:adjustRightInd w:val="0"/>
        <w:spacing w:line="400" w:lineRule="exact"/>
        <w:contextualSpacing/>
        <w:rPr>
          <w:rFonts w:ascii="宋体" w:hAnsi="宋体"/>
          <w:b/>
          <w:sz w:val="28"/>
        </w:rPr>
      </w:pPr>
      <w:r>
        <w:rPr>
          <w:rFonts w:ascii="宋体" w:hAnsi="宋体"/>
          <w:b/>
          <w:sz w:val="28"/>
        </w:rPr>
        <w:t>3.6 投标文件相关信息的核查</w:t>
      </w:r>
    </w:p>
    <w:p>
      <w:pPr>
        <w:adjustRightInd w:val="0"/>
        <w:spacing w:line="400" w:lineRule="exact"/>
        <w:ind w:firstLine="480" w:firstLineChars="200"/>
        <w:contextualSpacing/>
        <w:rPr>
          <w:rFonts w:ascii="宋体" w:hAnsi="宋体"/>
          <w:sz w:val="24"/>
        </w:rPr>
      </w:pPr>
      <w:r>
        <w:rPr>
          <w:rFonts w:ascii="宋体" w:hAnsi="宋体"/>
          <w:sz w:val="24"/>
        </w:rPr>
        <w:t>3.6.1 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adjustRightInd w:val="0"/>
        <w:spacing w:line="400" w:lineRule="exact"/>
        <w:ind w:firstLine="480" w:firstLineChars="200"/>
        <w:contextualSpacing/>
        <w:rPr>
          <w:rFonts w:ascii="宋体" w:hAnsi="宋体"/>
          <w:sz w:val="24"/>
        </w:rPr>
      </w:pPr>
      <w:r>
        <w:rPr>
          <w:rFonts w:ascii="宋体" w:hAnsi="宋体"/>
          <w:sz w:val="24"/>
        </w:rPr>
        <w:t>3.6.2 评标委员会应对在评标过程中发现的投标人与投标人之间、投标人与招标人之间存在的串通投标的情形进行评审和认定。投标人存在串通投标、弄虚作假、行贿等违法行为的，评标委员会应否决其投标。</w:t>
      </w:r>
    </w:p>
    <w:p>
      <w:pPr>
        <w:adjustRightInd w:val="0"/>
        <w:spacing w:line="400" w:lineRule="exact"/>
        <w:ind w:firstLine="480" w:firstLineChars="200"/>
        <w:contextualSpacing/>
        <w:rPr>
          <w:rFonts w:ascii="宋体" w:hAnsi="宋体"/>
          <w:sz w:val="24"/>
        </w:rPr>
      </w:pPr>
      <w:r>
        <w:rPr>
          <w:rFonts w:ascii="宋体" w:hAnsi="宋体"/>
          <w:sz w:val="24"/>
        </w:rPr>
        <w:t>（1）有下列情形之一的，属于投标人相互串通投标：</w:t>
      </w:r>
    </w:p>
    <w:p>
      <w:pPr>
        <w:adjustRightInd w:val="0"/>
        <w:spacing w:line="400" w:lineRule="exact"/>
        <w:ind w:firstLine="480" w:firstLineChars="200"/>
        <w:contextualSpacing/>
        <w:rPr>
          <w:rFonts w:hint="eastAsia" w:ascii="宋体" w:hAnsi="宋体"/>
          <w:sz w:val="24"/>
        </w:rPr>
      </w:pPr>
      <w:r>
        <w:rPr>
          <w:rFonts w:ascii="宋体" w:hAnsi="宋体"/>
          <w:sz w:val="24"/>
        </w:rPr>
        <w:t>a.投标人之间协商投标报价等投标文件的实质性内容；</w:t>
      </w:r>
    </w:p>
    <w:p>
      <w:pPr>
        <w:adjustRightInd w:val="0"/>
        <w:spacing w:line="400" w:lineRule="exact"/>
        <w:ind w:firstLine="480" w:firstLineChars="200"/>
        <w:contextualSpacing/>
        <w:rPr>
          <w:rFonts w:ascii="宋体" w:hAnsi="宋体"/>
          <w:sz w:val="24"/>
        </w:rPr>
      </w:pPr>
      <w:r>
        <w:rPr>
          <w:rFonts w:ascii="宋体" w:hAnsi="宋体"/>
          <w:sz w:val="24"/>
        </w:rPr>
        <w:t>b.投标人之间约定中标人；</w:t>
      </w:r>
    </w:p>
    <w:p>
      <w:pPr>
        <w:adjustRightInd w:val="0"/>
        <w:spacing w:line="400" w:lineRule="exact"/>
        <w:ind w:firstLine="480" w:firstLineChars="200"/>
        <w:contextualSpacing/>
        <w:rPr>
          <w:rFonts w:ascii="宋体" w:hAnsi="宋体"/>
          <w:sz w:val="24"/>
        </w:rPr>
      </w:pPr>
      <w:r>
        <w:rPr>
          <w:rFonts w:ascii="宋体" w:hAnsi="宋体"/>
          <w:sz w:val="24"/>
        </w:rPr>
        <w:t>c.投标人之间约定部分投标人放弃投标或中标；</w:t>
      </w:r>
    </w:p>
    <w:p>
      <w:pPr>
        <w:adjustRightInd w:val="0"/>
        <w:spacing w:line="400" w:lineRule="exact"/>
        <w:ind w:firstLine="480" w:firstLineChars="200"/>
        <w:contextualSpacing/>
        <w:rPr>
          <w:rFonts w:hint="eastAsia" w:ascii="宋体" w:hAnsi="宋体"/>
          <w:sz w:val="24"/>
        </w:rPr>
      </w:pPr>
      <w:r>
        <w:rPr>
          <w:rFonts w:ascii="宋体" w:hAnsi="宋体"/>
          <w:sz w:val="24"/>
        </w:rPr>
        <w:t>d.属于同一集团、协会、商会等组织成员的投标人按照该组织要求协同投标；</w:t>
      </w:r>
    </w:p>
    <w:p>
      <w:pPr>
        <w:adjustRightInd w:val="0"/>
        <w:spacing w:line="400" w:lineRule="exact"/>
        <w:ind w:firstLine="480" w:firstLineChars="200"/>
        <w:contextualSpacing/>
        <w:rPr>
          <w:rFonts w:hint="eastAsia" w:ascii="宋体" w:hAnsi="宋体"/>
          <w:sz w:val="24"/>
        </w:rPr>
      </w:pPr>
      <w:r>
        <w:rPr>
          <w:rFonts w:ascii="宋体" w:hAnsi="宋体"/>
          <w:sz w:val="24"/>
        </w:rPr>
        <w:t>e.投标人之间为谋取中标或排斥特定投标人而采取的其他联合行动。</w:t>
      </w:r>
    </w:p>
    <w:p>
      <w:pPr>
        <w:adjustRightInd w:val="0"/>
        <w:spacing w:line="400" w:lineRule="exact"/>
        <w:ind w:firstLine="480" w:firstLineChars="200"/>
        <w:contextualSpacing/>
        <w:rPr>
          <w:rFonts w:ascii="宋体" w:hAnsi="宋体"/>
          <w:sz w:val="24"/>
        </w:rPr>
      </w:pPr>
      <w:r>
        <w:rPr>
          <w:rFonts w:ascii="宋体" w:hAnsi="宋体"/>
          <w:sz w:val="24"/>
        </w:rPr>
        <w:t>（2）有下列情形之一的，视为投标人相互串通投标：</w:t>
      </w:r>
    </w:p>
    <w:p>
      <w:pPr>
        <w:adjustRightInd w:val="0"/>
        <w:spacing w:line="400" w:lineRule="exact"/>
        <w:ind w:firstLine="480" w:firstLineChars="200"/>
        <w:contextualSpacing/>
        <w:rPr>
          <w:rFonts w:ascii="宋体" w:hAnsi="宋体"/>
          <w:sz w:val="24"/>
        </w:rPr>
      </w:pPr>
      <w:r>
        <w:rPr>
          <w:rFonts w:ascii="宋体" w:hAnsi="宋体"/>
          <w:sz w:val="24"/>
        </w:rPr>
        <w:t>a.不同投标人的投标文件由同一单位或个人编制；</w:t>
      </w:r>
    </w:p>
    <w:p>
      <w:pPr>
        <w:adjustRightInd w:val="0"/>
        <w:spacing w:line="400" w:lineRule="exact"/>
        <w:ind w:firstLine="480" w:firstLineChars="200"/>
        <w:contextualSpacing/>
        <w:rPr>
          <w:rFonts w:ascii="宋体" w:hAnsi="宋体"/>
          <w:sz w:val="24"/>
        </w:rPr>
      </w:pPr>
      <w:r>
        <w:rPr>
          <w:rFonts w:ascii="宋体" w:hAnsi="宋体"/>
          <w:sz w:val="24"/>
        </w:rPr>
        <w:t>b.不同投标人委托同一单位或个人办理投标事宜；</w:t>
      </w:r>
    </w:p>
    <w:p>
      <w:pPr>
        <w:adjustRightInd w:val="0"/>
        <w:spacing w:line="400" w:lineRule="exact"/>
        <w:ind w:firstLine="480" w:firstLineChars="200"/>
        <w:contextualSpacing/>
        <w:rPr>
          <w:rFonts w:ascii="宋体" w:hAnsi="宋体"/>
          <w:sz w:val="24"/>
        </w:rPr>
      </w:pPr>
      <w:r>
        <w:rPr>
          <w:rFonts w:ascii="宋体" w:hAnsi="宋体"/>
          <w:sz w:val="24"/>
        </w:rPr>
        <w:t>c.不同投标人的投标文件载明的项目管理成员为同一人；</w:t>
      </w:r>
    </w:p>
    <w:p>
      <w:pPr>
        <w:adjustRightInd w:val="0"/>
        <w:spacing w:line="400" w:lineRule="exact"/>
        <w:ind w:firstLine="480" w:firstLineChars="200"/>
        <w:contextualSpacing/>
        <w:rPr>
          <w:rFonts w:ascii="宋体" w:hAnsi="宋体"/>
          <w:sz w:val="24"/>
        </w:rPr>
      </w:pPr>
      <w:r>
        <w:rPr>
          <w:rFonts w:ascii="宋体" w:hAnsi="宋体"/>
          <w:sz w:val="24"/>
        </w:rPr>
        <w:t>d.不同投标人的投标文件异常一致或投标报价呈规律性差异；</w:t>
      </w:r>
    </w:p>
    <w:p>
      <w:pPr>
        <w:adjustRightInd w:val="0"/>
        <w:spacing w:line="400" w:lineRule="exact"/>
        <w:ind w:firstLine="480" w:firstLineChars="200"/>
        <w:contextualSpacing/>
        <w:rPr>
          <w:rFonts w:ascii="宋体" w:hAnsi="宋体"/>
          <w:sz w:val="24"/>
        </w:rPr>
      </w:pPr>
      <w:r>
        <w:rPr>
          <w:rFonts w:ascii="宋体" w:hAnsi="宋体"/>
          <w:sz w:val="24"/>
        </w:rPr>
        <w:t>e.不同投标人的投标文件相互混装；</w:t>
      </w:r>
    </w:p>
    <w:p>
      <w:pPr>
        <w:adjustRightInd w:val="0"/>
        <w:spacing w:line="400" w:lineRule="exact"/>
        <w:ind w:firstLine="480" w:firstLineChars="200"/>
        <w:contextualSpacing/>
        <w:rPr>
          <w:rFonts w:ascii="宋体" w:hAnsi="宋体"/>
          <w:sz w:val="24"/>
        </w:rPr>
      </w:pPr>
      <w:r>
        <w:rPr>
          <w:rFonts w:ascii="宋体" w:hAnsi="宋体"/>
          <w:sz w:val="24"/>
        </w:rPr>
        <w:t>f.不同投标人的投标保证金从同一单位或个人的账户转出。</w:t>
      </w:r>
    </w:p>
    <w:p>
      <w:pPr>
        <w:adjustRightInd w:val="0"/>
        <w:spacing w:line="400" w:lineRule="exact"/>
        <w:ind w:firstLine="480" w:firstLineChars="200"/>
        <w:contextualSpacing/>
        <w:rPr>
          <w:rFonts w:ascii="宋体" w:hAnsi="宋体"/>
          <w:sz w:val="24"/>
        </w:rPr>
      </w:pPr>
      <w:r>
        <w:rPr>
          <w:rFonts w:ascii="宋体" w:hAnsi="宋体"/>
          <w:sz w:val="24"/>
        </w:rPr>
        <w:t>（3）有下列情形之一的，属于招标人与投标人串通投标：</w:t>
      </w:r>
    </w:p>
    <w:p>
      <w:pPr>
        <w:adjustRightInd w:val="0"/>
        <w:spacing w:line="400" w:lineRule="exact"/>
        <w:ind w:firstLine="480" w:firstLineChars="200"/>
        <w:contextualSpacing/>
        <w:rPr>
          <w:rFonts w:hint="eastAsia" w:ascii="宋体" w:hAnsi="宋体"/>
          <w:sz w:val="24"/>
        </w:rPr>
      </w:pPr>
      <w:r>
        <w:rPr>
          <w:rFonts w:ascii="宋体" w:hAnsi="宋体"/>
          <w:sz w:val="24"/>
        </w:rPr>
        <w:t>a.招标人在开标前开启投标文件并将有关信息泄露给其他投标人</w:t>
      </w:r>
      <w:r>
        <w:rPr>
          <w:rFonts w:hint="eastAsia" w:ascii="宋体" w:hAnsi="宋体"/>
          <w:sz w:val="24"/>
        </w:rPr>
        <w:t>；</w:t>
      </w:r>
      <w:r>
        <w:rPr>
          <w:rFonts w:ascii="宋体" w:hAnsi="宋体"/>
          <w:sz w:val="24"/>
        </w:rPr>
        <w:t xml:space="preserve"> </w:t>
      </w:r>
    </w:p>
    <w:p>
      <w:pPr>
        <w:adjustRightInd w:val="0"/>
        <w:spacing w:line="400" w:lineRule="exact"/>
        <w:ind w:firstLine="480" w:firstLineChars="200"/>
        <w:contextualSpacing/>
        <w:rPr>
          <w:rFonts w:hint="eastAsia" w:ascii="宋体" w:hAnsi="宋体"/>
          <w:sz w:val="24"/>
        </w:rPr>
      </w:pPr>
      <w:r>
        <w:rPr>
          <w:rFonts w:ascii="宋体" w:hAnsi="宋体"/>
          <w:sz w:val="24"/>
        </w:rPr>
        <w:t>b.招标人直接或间接向投标人泄露标底、评标委员会成员等信息；</w:t>
      </w:r>
    </w:p>
    <w:p>
      <w:pPr>
        <w:adjustRightInd w:val="0"/>
        <w:spacing w:line="400" w:lineRule="exact"/>
        <w:ind w:firstLine="480" w:firstLineChars="200"/>
        <w:contextualSpacing/>
        <w:rPr>
          <w:rFonts w:hint="eastAsia" w:ascii="宋体" w:hAnsi="宋体"/>
          <w:sz w:val="24"/>
        </w:rPr>
      </w:pPr>
      <w:r>
        <w:rPr>
          <w:rFonts w:ascii="宋体" w:hAnsi="宋体"/>
          <w:sz w:val="24"/>
        </w:rPr>
        <w:t>c.招标人明示或暗示投标人压低或抬高投标报价；</w:t>
      </w:r>
    </w:p>
    <w:p>
      <w:pPr>
        <w:adjustRightInd w:val="0"/>
        <w:spacing w:line="400" w:lineRule="exact"/>
        <w:ind w:firstLine="480" w:firstLineChars="200"/>
        <w:contextualSpacing/>
        <w:rPr>
          <w:rFonts w:ascii="宋体" w:hAnsi="宋体"/>
          <w:sz w:val="24"/>
        </w:rPr>
      </w:pPr>
      <w:r>
        <w:rPr>
          <w:rFonts w:ascii="宋体" w:hAnsi="宋体"/>
          <w:sz w:val="24"/>
        </w:rPr>
        <w:t>d.招标人授意投标人撤换、修改投标文件；</w:t>
      </w:r>
    </w:p>
    <w:p>
      <w:pPr>
        <w:adjustRightInd w:val="0"/>
        <w:spacing w:line="400" w:lineRule="exact"/>
        <w:ind w:firstLine="480" w:firstLineChars="200"/>
        <w:contextualSpacing/>
        <w:rPr>
          <w:rFonts w:ascii="宋体" w:hAnsi="宋体"/>
          <w:sz w:val="24"/>
        </w:rPr>
      </w:pPr>
      <w:r>
        <w:rPr>
          <w:rFonts w:ascii="宋体" w:hAnsi="宋体"/>
          <w:sz w:val="24"/>
        </w:rPr>
        <w:t>e.招标人明示或暗示投标人为特定投标人中标提供方便；</w:t>
      </w:r>
    </w:p>
    <w:p>
      <w:pPr>
        <w:adjustRightInd w:val="0"/>
        <w:spacing w:line="400" w:lineRule="exact"/>
        <w:ind w:firstLine="480" w:firstLineChars="200"/>
        <w:contextualSpacing/>
        <w:rPr>
          <w:rFonts w:ascii="宋体" w:hAnsi="宋体"/>
          <w:sz w:val="24"/>
        </w:rPr>
      </w:pPr>
      <w:r>
        <w:rPr>
          <w:rFonts w:ascii="宋体" w:hAnsi="宋体"/>
          <w:sz w:val="24"/>
        </w:rPr>
        <w:t>f.招标人与投标人为谋求特定投标人中标而采取的其他串通行为。</w:t>
      </w:r>
    </w:p>
    <w:p>
      <w:pPr>
        <w:adjustRightInd w:val="0"/>
        <w:spacing w:line="400" w:lineRule="exact"/>
        <w:ind w:firstLine="480" w:firstLineChars="200"/>
        <w:contextualSpacing/>
        <w:rPr>
          <w:rFonts w:ascii="宋体" w:hAnsi="宋体"/>
          <w:sz w:val="24"/>
        </w:rPr>
      </w:pPr>
      <w:r>
        <w:rPr>
          <w:rFonts w:ascii="宋体" w:hAnsi="宋体"/>
          <w:sz w:val="24"/>
        </w:rPr>
        <w:t>（4）投标人有下列情形之一的，属于弄虚作假的行为：</w:t>
      </w:r>
    </w:p>
    <w:p>
      <w:pPr>
        <w:adjustRightInd w:val="0"/>
        <w:spacing w:line="400" w:lineRule="exact"/>
        <w:ind w:firstLine="480" w:firstLineChars="200"/>
        <w:contextualSpacing/>
        <w:rPr>
          <w:rFonts w:ascii="宋体" w:hAnsi="宋体"/>
          <w:sz w:val="24"/>
        </w:rPr>
      </w:pPr>
      <w:r>
        <w:rPr>
          <w:rFonts w:ascii="宋体" w:hAnsi="宋体"/>
          <w:sz w:val="24"/>
        </w:rPr>
        <w:t>a.使用通过受让或租借等方式获取的资格、资质证书投标；</w:t>
      </w:r>
    </w:p>
    <w:p>
      <w:pPr>
        <w:adjustRightInd w:val="0"/>
        <w:spacing w:line="400" w:lineRule="exact"/>
        <w:ind w:firstLine="480" w:firstLineChars="200"/>
        <w:contextualSpacing/>
        <w:rPr>
          <w:rFonts w:ascii="宋体" w:hAnsi="宋体"/>
          <w:sz w:val="24"/>
        </w:rPr>
      </w:pPr>
      <w:r>
        <w:rPr>
          <w:rFonts w:ascii="宋体" w:hAnsi="宋体"/>
          <w:sz w:val="24"/>
        </w:rPr>
        <w:t>b.使用伪造、变造的许可证件；</w:t>
      </w:r>
    </w:p>
    <w:p>
      <w:pPr>
        <w:adjustRightInd w:val="0"/>
        <w:spacing w:line="400" w:lineRule="exact"/>
        <w:ind w:firstLine="480" w:firstLineChars="200"/>
        <w:contextualSpacing/>
        <w:rPr>
          <w:rFonts w:ascii="宋体" w:hAnsi="宋体"/>
          <w:sz w:val="24"/>
        </w:rPr>
      </w:pPr>
      <w:r>
        <w:rPr>
          <w:rFonts w:ascii="宋体" w:hAnsi="宋体"/>
          <w:sz w:val="24"/>
        </w:rPr>
        <w:t>c.提供虚假的业绩；</w:t>
      </w:r>
    </w:p>
    <w:p>
      <w:pPr>
        <w:adjustRightInd w:val="0"/>
        <w:spacing w:line="400" w:lineRule="exact"/>
        <w:ind w:firstLine="480" w:firstLineChars="200"/>
        <w:contextualSpacing/>
        <w:rPr>
          <w:rFonts w:ascii="宋体" w:hAnsi="宋体"/>
          <w:sz w:val="24"/>
        </w:rPr>
      </w:pPr>
      <w:r>
        <w:rPr>
          <w:rFonts w:ascii="宋体" w:hAnsi="宋体"/>
          <w:sz w:val="24"/>
        </w:rPr>
        <w:t>d.提供虚假的项目负责人或主要技术人员简历、劳动关系证明；</w:t>
      </w:r>
    </w:p>
    <w:p>
      <w:pPr>
        <w:adjustRightInd w:val="0"/>
        <w:spacing w:line="400" w:lineRule="exact"/>
        <w:ind w:firstLine="480" w:firstLineChars="200"/>
        <w:contextualSpacing/>
        <w:rPr>
          <w:rFonts w:ascii="宋体" w:hAnsi="宋体"/>
          <w:sz w:val="24"/>
        </w:rPr>
      </w:pPr>
      <w:r>
        <w:rPr>
          <w:rFonts w:ascii="宋体" w:hAnsi="宋体"/>
          <w:sz w:val="24"/>
        </w:rPr>
        <w:t>e.提供虚假的信用状况；</w:t>
      </w:r>
    </w:p>
    <w:p>
      <w:pPr>
        <w:adjustRightInd w:val="0"/>
        <w:spacing w:line="400" w:lineRule="exact"/>
        <w:ind w:firstLine="480" w:firstLineChars="200"/>
        <w:contextualSpacing/>
        <w:rPr>
          <w:rFonts w:ascii="宋体" w:hAnsi="宋体"/>
          <w:sz w:val="24"/>
        </w:rPr>
      </w:pPr>
      <w:r>
        <w:rPr>
          <w:rFonts w:ascii="宋体" w:hAnsi="宋体"/>
          <w:sz w:val="24"/>
        </w:rPr>
        <w:t>f.其他弄虚作假的行为。</w:t>
      </w:r>
    </w:p>
    <w:p>
      <w:pPr>
        <w:adjustRightInd w:val="0"/>
        <w:spacing w:line="400" w:lineRule="exact"/>
        <w:ind w:firstLine="480" w:firstLineChars="200"/>
        <w:contextualSpacing/>
        <w:rPr>
          <w:rFonts w:ascii="宋体" w:hAnsi="宋体"/>
          <w:sz w:val="24"/>
        </w:rPr>
      </w:pPr>
      <w:r>
        <w:rPr>
          <w:rFonts w:ascii="宋体" w:hAnsi="宋体"/>
          <w:sz w:val="24"/>
        </w:rPr>
        <w:t>3.7 投标文件的澄清和说明</w:t>
      </w:r>
    </w:p>
    <w:p>
      <w:pPr>
        <w:adjustRightInd w:val="0"/>
        <w:spacing w:line="400" w:lineRule="exact"/>
        <w:ind w:firstLine="480" w:firstLineChars="200"/>
        <w:contextualSpacing/>
        <w:rPr>
          <w:rFonts w:ascii="宋体" w:hAnsi="宋体"/>
          <w:sz w:val="24"/>
        </w:rPr>
      </w:pPr>
      <w:r>
        <w:rPr>
          <w:rFonts w:ascii="宋体" w:hAnsi="宋体"/>
          <w:sz w:val="24"/>
        </w:rPr>
        <w:t>3.7.1 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adjustRightInd w:val="0"/>
        <w:spacing w:line="400" w:lineRule="exact"/>
        <w:ind w:firstLine="480" w:firstLineChars="200"/>
        <w:contextualSpacing/>
        <w:rPr>
          <w:rFonts w:ascii="宋体" w:hAnsi="宋体"/>
          <w:sz w:val="24"/>
        </w:rPr>
      </w:pPr>
      <w:r>
        <w:rPr>
          <w:rFonts w:ascii="宋体" w:hAnsi="宋体"/>
          <w:sz w:val="24"/>
        </w:rPr>
        <w:t>3.7.2 澄清和说明不得超出投标文件的范围或改变投标文件的实质性内容（算术性错误的修正除外）。投标人的书面澄清、说明属于投标文件的组成部分。</w:t>
      </w:r>
    </w:p>
    <w:p>
      <w:pPr>
        <w:adjustRightInd w:val="0"/>
        <w:spacing w:line="400" w:lineRule="exact"/>
        <w:ind w:firstLine="480" w:firstLineChars="200"/>
        <w:contextualSpacing/>
        <w:rPr>
          <w:rFonts w:ascii="宋体" w:hAnsi="宋体"/>
          <w:sz w:val="24"/>
        </w:rPr>
      </w:pPr>
      <w:r>
        <w:rPr>
          <w:rFonts w:ascii="宋体" w:hAnsi="宋体"/>
          <w:sz w:val="24"/>
        </w:rPr>
        <w:t>3.7.3 评标委员会不得暗示或诱导投标人作出澄清、说明，对投标人提交的澄清、说明有疑问的，可以要求投标人进一步澄清或说明，直至满足评标委员会的要求。</w:t>
      </w:r>
    </w:p>
    <w:p>
      <w:pPr>
        <w:adjustRightInd w:val="0"/>
        <w:spacing w:line="400" w:lineRule="exact"/>
        <w:ind w:firstLine="480" w:firstLineChars="200"/>
        <w:contextualSpacing/>
        <w:rPr>
          <w:rFonts w:ascii="宋体" w:hAnsi="宋体"/>
          <w:sz w:val="24"/>
        </w:rPr>
      </w:pPr>
      <w:r>
        <w:rPr>
          <w:rFonts w:ascii="宋体" w:hAnsi="宋体"/>
          <w:sz w:val="24"/>
        </w:rPr>
        <w:t>3.7.4 凡超出招标文件规定的或给发包人带来未曾要求的利益的变化、偏差或其他因素在评标时不予考虑。</w:t>
      </w:r>
    </w:p>
    <w:p>
      <w:pPr>
        <w:tabs>
          <w:tab w:val="left" w:pos="620"/>
        </w:tabs>
        <w:adjustRightInd w:val="0"/>
        <w:spacing w:line="400" w:lineRule="exact"/>
        <w:contextualSpacing/>
        <w:rPr>
          <w:rFonts w:ascii="宋体" w:hAnsi="宋体"/>
          <w:b/>
          <w:sz w:val="28"/>
        </w:rPr>
      </w:pPr>
      <w:r>
        <w:rPr>
          <w:rFonts w:ascii="宋体" w:hAnsi="宋体"/>
          <w:b/>
          <w:sz w:val="28"/>
        </w:rPr>
        <w:t>3.8 不得否决投标的情形</w:t>
      </w:r>
    </w:p>
    <w:p>
      <w:pPr>
        <w:adjustRightInd w:val="0"/>
        <w:spacing w:line="400" w:lineRule="exact"/>
        <w:ind w:firstLine="480" w:firstLineChars="200"/>
        <w:contextualSpacing/>
        <w:rPr>
          <w:rFonts w:ascii="宋体" w:hAnsi="宋体"/>
          <w:sz w:val="24"/>
        </w:rPr>
      </w:pPr>
      <w:r>
        <w:rPr>
          <w:rFonts w:ascii="宋体" w:hAnsi="宋体"/>
          <w:sz w:val="24"/>
        </w:rPr>
        <w:t>投标文件存在第二章“投标人须知”第 1.12.3 项所列情形的，均视为细微偏差，评标委员会不得否决投标人的投标，应按照第二章“投标人须知”第 1.12.4 项规定的原则处理。</w:t>
      </w:r>
    </w:p>
    <w:p>
      <w:pPr>
        <w:tabs>
          <w:tab w:val="left" w:pos="620"/>
        </w:tabs>
        <w:adjustRightInd w:val="0"/>
        <w:spacing w:line="400" w:lineRule="exact"/>
        <w:contextualSpacing/>
        <w:rPr>
          <w:rFonts w:ascii="宋体" w:hAnsi="宋体"/>
          <w:b/>
          <w:sz w:val="28"/>
        </w:rPr>
      </w:pPr>
      <w:r>
        <w:rPr>
          <w:rFonts w:ascii="宋体" w:hAnsi="宋体"/>
          <w:b/>
          <w:sz w:val="28"/>
        </w:rPr>
        <w:t>3.9 评标结果</w:t>
      </w:r>
    </w:p>
    <w:p>
      <w:pPr>
        <w:adjustRightInd w:val="0"/>
        <w:spacing w:line="400" w:lineRule="exact"/>
        <w:ind w:firstLine="480" w:firstLineChars="200"/>
        <w:contextualSpacing/>
        <w:rPr>
          <w:rFonts w:ascii="宋体" w:hAnsi="宋体"/>
          <w:sz w:val="24"/>
        </w:rPr>
      </w:pPr>
      <w:r>
        <w:rPr>
          <w:rFonts w:ascii="宋体" w:hAnsi="宋体"/>
          <w:sz w:val="24"/>
        </w:rPr>
        <w:t>3.9.1 除第二章“投标人须知”前附表授权直接确定中标人外，评标委员会按照得分由高到低的顺序推荐中标候选人，并标明排序。</w:t>
      </w:r>
    </w:p>
    <w:p>
      <w:pPr>
        <w:adjustRightInd w:val="0"/>
        <w:spacing w:line="400" w:lineRule="exact"/>
        <w:ind w:firstLine="480" w:firstLineChars="200"/>
        <w:contextualSpacing/>
        <w:rPr>
          <w:rFonts w:ascii="宋体" w:hAnsi="宋体"/>
          <w:sz w:val="24"/>
        </w:rPr>
      </w:pPr>
      <w:r>
        <w:rPr>
          <w:rFonts w:ascii="宋体" w:hAnsi="宋体"/>
          <w:sz w:val="24"/>
        </w:rPr>
        <w:t>3.9.2 评标委员会完成评标后，应向招标人提交书面评标报告。</w:t>
      </w:r>
    </w:p>
    <w:p>
      <w:pPr>
        <w:adjustRightInd w:val="0"/>
        <w:spacing w:line="400" w:lineRule="exact"/>
        <w:ind w:firstLine="480" w:firstLineChars="200"/>
        <w:contextualSpacing/>
        <w:rPr>
          <w:rFonts w:ascii="宋体" w:hAnsi="宋体"/>
          <w:sz w:val="24"/>
        </w:rPr>
        <w:sectPr>
          <w:type w:val="nextColumn"/>
          <w:pgSz w:w="11907" w:h="16840"/>
          <w:pgMar w:top="1418" w:right="1418" w:bottom="1418" w:left="1588" w:header="851" w:footer="992" w:gutter="0"/>
          <w:cols w:space="720" w:num="1"/>
          <w:docGrid w:linePitch="360" w:charSpace="0"/>
        </w:sectPr>
      </w:pPr>
    </w:p>
    <w:p>
      <w:pPr>
        <w:pStyle w:val="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right="0"/>
        <w:jc w:val="left"/>
        <w:textAlignment w:val="auto"/>
        <w:rPr>
          <w:rFonts w:hint="default" w:ascii="宋体" w:hAnsi="宋体" w:eastAsia="宋体" w:cs="宋体"/>
          <w:color w:val="333333"/>
          <w:sz w:val="24"/>
          <w:szCs w:val="24"/>
          <w:highlight w:val="none"/>
          <w:lang w:val="en-US" w:eastAsia="zh-CN"/>
        </w:rPr>
      </w:pPr>
    </w:p>
    <w:sectPr>
      <w:footerReference r:id="rId3" w:type="default"/>
      <w:pgSz w:w="11906" w:h="16838"/>
      <w:pgMar w:top="1134" w:right="1080" w:bottom="1134" w:left="1080"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61</w:t>
    </w:r>
    <w:r>
      <w:fldChar w:fldCharType="end"/>
    </w:r>
  </w:p>
  <w:p>
    <w:pPr>
      <w:pStyle w:val="7"/>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CC1841"/>
    <w:multiLevelType w:val="singleLevel"/>
    <w:tmpl w:val="2DCC1841"/>
    <w:lvl w:ilvl="0" w:tentative="0">
      <w:start w:val="1"/>
      <w:numFmt w:val="decimal"/>
      <w:suff w:val="nothing"/>
      <w:lvlText w:val="（%1）"/>
      <w:lvlJc w:val="left"/>
      <w:pPr>
        <w:ind w:left="-10"/>
      </w:pPr>
    </w:lvl>
  </w:abstractNum>
  <w:abstractNum w:abstractNumId="1">
    <w:nsid w:val="45C47DF2"/>
    <w:multiLevelType w:val="singleLevel"/>
    <w:tmpl w:val="45C47DF2"/>
    <w:lvl w:ilvl="0" w:tentative="0">
      <w:start w:val="1"/>
      <w:numFmt w:val="low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7A6A0CB7"/>
    <w:rsid w:val="00B26204"/>
    <w:rsid w:val="0EC82EBB"/>
    <w:rsid w:val="115002E9"/>
    <w:rsid w:val="12F046F7"/>
    <w:rsid w:val="167B652F"/>
    <w:rsid w:val="17ED47B4"/>
    <w:rsid w:val="25325DEC"/>
    <w:rsid w:val="26617302"/>
    <w:rsid w:val="3A3C08C0"/>
    <w:rsid w:val="478438E2"/>
    <w:rsid w:val="5F201E86"/>
    <w:rsid w:val="6CDF053F"/>
    <w:rsid w:val="7803506E"/>
    <w:rsid w:val="7A6A0CB7"/>
    <w:rsid w:val="7E6D6A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qFormat/>
    <w:uiPriority w:val="9"/>
    <w:pPr>
      <w:keepNext/>
      <w:keepLines/>
      <w:spacing w:before="260" w:after="260" w:line="416" w:lineRule="auto"/>
      <w:outlineLvl w:val="2"/>
    </w:pPr>
    <w:rPr>
      <w:b/>
      <w:bCs/>
      <w:kern w:val="0"/>
      <w:sz w:val="32"/>
      <w:szCs w:val="32"/>
    </w:rPr>
  </w:style>
  <w:style w:type="paragraph" w:styleId="5">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annotation text"/>
    <w:basedOn w:val="1"/>
    <w:semiHidden/>
    <w:qFormat/>
    <w:uiPriority w:val="0"/>
    <w:pPr>
      <w:widowControl w:val="0"/>
    </w:pPr>
    <w:rPr>
      <w:rFonts w:ascii="Times New Roman" w:hAnsi="Times New Roman" w:cs="Times New Roman"/>
      <w:kern w:val="2"/>
      <w:sz w:val="24"/>
    </w:rPr>
  </w:style>
  <w:style w:type="paragraph" w:styleId="7">
    <w:name w:val="Body Text"/>
    <w:basedOn w:val="1"/>
    <w:qFormat/>
    <w:uiPriority w:val="0"/>
    <w:rPr>
      <w:sz w:val="24"/>
      <w:szCs w:val="24"/>
    </w:rPr>
  </w:style>
  <w:style w:type="paragraph" w:styleId="8">
    <w:name w:val="footer"/>
    <w:basedOn w:val="1"/>
    <w:unhideWhenUsed/>
    <w:qFormat/>
    <w:uiPriority w:val="99"/>
    <w:pPr>
      <w:tabs>
        <w:tab w:val="center" w:pos="4153"/>
        <w:tab w:val="right" w:pos="8306"/>
      </w:tabs>
      <w:snapToGrid w:val="0"/>
    </w:pPr>
    <w:rPr>
      <w:sz w:val="18"/>
      <w:szCs w:val="18"/>
    </w:rPr>
  </w:style>
  <w:style w:type="paragraph" w:styleId="9">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2">
    <w:name w:val="Strong"/>
    <w:basedOn w:val="11"/>
    <w:qFormat/>
    <w:uiPriority w:val="0"/>
  </w:style>
  <w:style w:type="character" w:styleId="13">
    <w:name w:val="FollowedHyperlink"/>
    <w:basedOn w:val="11"/>
    <w:uiPriority w:val="0"/>
    <w:rPr>
      <w:color w:val="800080"/>
      <w:u w:val="none"/>
    </w:rPr>
  </w:style>
  <w:style w:type="character" w:styleId="14">
    <w:name w:val="Emphasis"/>
    <w:basedOn w:val="11"/>
    <w:qFormat/>
    <w:uiPriority w:val="0"/>
  </w:style>
  <w:style w:type="character" w:styleId="15">
    <w:name w:val="HTML Definition"/>
    <w:basedOn w:val="11"/>
    <w:uiPriority w:val="0"/>
  </w:style>
  <w:style w:type="character" w:styleId="16">
    <w:name w:val="HTML Typewriter"/>
    <w:basedOn w:val="11"/>
    <w:uiPriority w:val="0"/>
    <w:rPr>
      <w:rFonts w:hint="default" w:ascii="monospace" w:hAnsi="monospace" w:eastAsia="monospace" w:cs="monospace"/>
      <w:sz w:val="20"/>
    </w:rPr>
  </w:style>
  <w:style w:type="character" w:styleId="17">
    <w:name w:val="HTML Acronym"/>
    <w:basedOn w:val="11"/>
    <w:uiPriority w:val="0"/>
  </w:style>
  <w:style w:type="character" w:styleId="18">
    <w:name w:val="HTML Variable"/>
    <w:basedOn w:val="11"/>
    <w:uiPriority w:val="0"/>
  </w:style>
  <w:style w:type="character" w:styleId="19">
    <w:name w:val="Hyperlink"/>
    <w:basedOn w:val="11"/>
    <w:uiPriority w:val="0"/>
    <w:rPr>
      <w:color w:val="0000FF"/>
      <w:u w:val="none"/>
    </w:rPr>
  </w:style>
  <w:style w:type="character" w:styleId="20">
    <w:name w:val="HTML Code"/>
    <w:basedOn w:val="11"/>
    <w:uiPriority w:val="0"/>
    <w:rPr>
      <w:rFonts w:hint="default" w:ascii="monospace" w:hAnsi="monospace" w:eastAsia="monospace" w:cs="monospace"/>
      <w:sz w:val="20"/>
    </w:rPr>
  </w:style>
  <w:style w:type="character" w:styleId="21">
    <w:name w:val="annotation reference"/>
    <w:unhideWhenUsed/>
    <w:qFormat/>
    <w:uiPriority w:val="99"/>
    <w:rPr>
      <w:sz w:val="21"/>
      <w:szCs w:val="21"/>
    </w:rPr>
  </w:style>
  <w:style w:type="character" w:styleId="22">
    <w:name w:val="HTML Cite"/>
    <w:basedOn w:val="11"/>
    <w:uiPriority w:val="0"/>
  </w:style>
  <w:style w:type="character" w:styleId="23">
    <w:name w:val="HTML Keyboard"/>
    <w:basedOn w:val="11"/>
    <w:uiPriority w:val="0"/>
    <w:rPr>
      <w:rFonts w:ascii="monospace" w:hAnsi="monospace" w:eastAsia="monospace" w:cs="monospace"/>
      <w:sz w:val="20"/>
    </w:rPr>
  </w:style>
  <w:style w:type="character" w:styleId="24">
    <w:name w:val="HTML Sample"/>
    <w:basedOn w:val="11"/>
    <w:uiPriority w:val="0"/>
    <w:rPr>
      <w:rFonts w:hint="default" w:ascii="monospace" w:hAnsi="monospace" w:eastAsia="monospace" w:cs="monospace"/>
    </w:rPr>
  </w:style>
  <w:style w:type="character" w:customStyle="1" w:styleId="25">
    <w:name w:val="first-child"/>
    <w:basedOn w:val="11"/>
    <w:uiPriority w:val="0"/>
  </w:style>
  <w:style w:type="character" w:customStyle="1" w:styleId="26">
    <w:name w:val="layui-layer-tabnow"/>
    <w:basedOn w:val="11"/>
    <w:uiPriority w:val="0"/>
    <w:rPr>
      <w:bdr w:val="single" w:color="CCCCCC" w:sz="6" w:space="0"/>
      <w:shd w:val="clear" w:color="auto" w:fill="FFFFFF"/>
    </w:rPr>
  </w:style>
  <w:style w:type="paragraph" w:customStyle="1" w:styleId="27">
    <w:name w:val="Table Paragraph"/>
    <w:basedOn w:val="1"/>
    <w:qFormat/>
    <w:uiPriority w:val="99"/>
    <w:pPr>
      <w:widowControl w:val="0"/>
    </w:pPr>
    <w:rPr>
      <w:rFonts w:ascii="Times New Roman" w:hAnsi="Times New Roman" w:cs="Times New Roman"/>
      <w:sz w:val="22"/>
      <w:szCs w:val="22"/>
      <w:lang w:eastAsia="en-US"/>
    </w:rPr>
  </w:style>
  <w:style w:type="paragraph" w:customStyle="1" w:styleId="28">
    <w:name w:val="Normal_9"/>
    <w:qFormat/>
    <w:uiPriority w:val="0"/>
    <w:rPr>
      <w:rFonts w:ascii="Times New Roman" w:hAnsi="Times New Roman" w:eastAsia="Times New Roman" w:cs="Times New Roman"/>
      <w:sz w:val="24"/>
      <w:szCs w:val="24"/>
      <w:lang w:val="en-US" w:eastAsia="zh-CN" w:bidi="ar-SA"/>
    </w:rPr>
  </w:style>
  <w:style w:type="paragraph" w:customStyle="1" w:styleId="29">
    <w:name w:val="列出段落"/>
    <w:basedOn w:val="1"/>
    <w:qFormat/>
    <w:uiPriority w:val="1"/>
    <w:pPr>
      <w:ind w:left="424" w:firstLine="4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8375</Words>
  <Characters>9064</Characters>
  <Lines>0</Lines>
  <Paragraphs>0</Paragraphs>
  <TotalTime>0</TotalTime>
  <ScaleCrop>false</ScaleCrop>
  <LinksUpToDate>false</LinksUpToDate>
  <CharactersWithSpaces>9294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2020-05-28T08:52:00Z</dcterms:created>
  <dc:creator>Administrator</dc:creator>
  <cp:lastModifiedBy>Administrator</cp:lastModifiedBy>
  <cp:lastPrinted>2022-06-16T04:46:13Z</cp:lastPrinted>
  <dcterms:modified xsi:type="dcterms:W3CDTF">2023-03-11T02:12:09Z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F15699EB4FBB435EA0AF46AB1E0643B8</vt:lpwstr>
  </property>
</Properties>
</file>