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hint="eastAsia" w:ascii="宋体" w:hAnsi="宋体" w:cs="宋体"/>
          <w:b/>
          <w:bCs/>
          <w:sz w:val="38"/>
          <w:szCs w:val="38"/>
          <w:highlight w:val="none"/>
          <w:lang w:eastAsia="zh-CN"/>
        </w:rPr>
      </w:pPr>
      <w:bookmarkStart w:id="1" w:name="_GoBack"/>
      <w:r>
        <w:rPr>
          <w:rFonts w:hint="eastAsia" w:ascii="宋体" w:hAnsi="宋体" w:cs="宋体"/>
          <w:b/>
          <w:bCs/>
          <w:sz w:val="38"/>
          <w:szCs w:val="38"/>
          <w:highlight w:val="none"/>
          <w:lang w:eastAsia="zh-CN"/>
        </w:rPr>
        <w:t>信丰至南雄（赣粤界）高速公路新建项目机电工程</w:t>
      </w:r>
    </w:p>
    <w:p>
      <w:pPr>
        <w:adjustRightInd w:val="0"/>
        <w:snapToGrid w:val="0"/>
        <w:spacing w:line="360" w:lineRule="auto"/>
        <w:ind w:firstLine="0" w:firstLineChars="0"/>
        <w:jc w:val="center"/>
        <w:rPr>
          <w:rFonts w:hint="eastAsia" w:ascii="宋体" w:hAnsi="宋体" w:eastAsia="宋体" w:cs="宋体"/>
          <w:sz w:val="38"/>
          <w:szCs w:val="38"/>
          <w:highlight w:val="none"/>
          <w:lang w:eastAsia="zh-CN"/>
        </w:rPr>
      </w:pPr>
      <w:r>
        <w:rPr>
          <w:rFonts w:hint="eastAsia" w:ascii="宋体" w:hAnsi="宋体" w:eastAsia="宋体" w:cs="宋体"/>
          <w:b/>
          <w:bCs/>
          <w:sz w:val="38"/>
          <w:szCs w:val="38"/>
          <w:highlight w:val="none"/>
        </w:rPr>
        <w:t>施工招标</w:t>
      </w:r>
      <w:r>
        <w:rPr>
          <w:rFonts w:hint="eastAsia" w:ascii="宋体" w:hAnsi="宋体" w:eastAsia="宋体" w:cs="宋体"/>
          <w:b/>
          <w:bCs/>
          <w:sz w:val="38"/>
          <w:szCs w:val="38"/>
          <w:highlight w:val="none"/>
          <w:lang w:eastAsia="zh-CN"/>
        </w:rPr>
        <w:t>关键内容公开</w:t>
      </w:r>
    </w:p>
    <w:bookmarkEnd w:id="1"/>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根据《公路工程建设项目招标投标管理办法》的规定，现对</w:t>
      </w:r>
      <w:r>
        <w:rPr>
          <w:rFonts w:hint="eastAsia" w:ascii="宋体" w:hAnsi="宋体" w:cs="宋体"/>
          <w:color w:val="auto"/>
          <w:sz w:val="24"/>
          <w:szCs w:val="24"/>
          <w:highlight w:val="none"/>
          <w:lang w:eastAsia="zh-CN"/>
        </w:rPr>
        <w:t>信丰至南雄（赣粤界）高速公路新建项目机电工程施工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文件中的关键内容进行公开：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一、项目概况</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cs="宋体"/>
          <w:color w:val="auto"/>
          <w:sz w:val="24"/>
          <w:szCs w:val="24"/>
          <w:highlight w:val="none"/>
          <w:lang w:eastAsia="zh-CN"/>
        </w:rPr>
        <w:t>信丰至南雄（赣粤界）高速公路新建项目机电工程施工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二、投标人资格要求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详见</w:t>
      </w:r>
      <w:r>
        <w:rPr>
          <w:rFonts w:hint="eastAsia" w:ascii="宋体" w:hAnsi="宋体" w:cs="宋体"/>
          <w:color w:val="auto"/>
          <w:sz w:val="24"/>
          <w:szCs w:val="24"/>
          <w:highlight w:val="none"/>
          <w:lang w:eastAsia="zh-CN"/>
        </w:rPr>
        <w:t>信丰至南雄（赣粤界）高速公路新建项目机电工程施工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三、评标办法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本次招标采用</w:t>
      </w:r>
      <w:r>
        <w:rPr>
          <w:rFonts w:hint="eastAsia" w:ascii="宋体" w:hAnsi="宋体" w:cs="宋体"/>
          <w:color w:val="auto"/>
          <w:sz w:val="24"/>
          <w:szCs w:val="24"/>
          <w:highlight w:val="none"/>
          <w:lang w:val="en-US" w:eastAsia="zh-CN"/>
        </w:rPr>
        <w:t>合理低价</w:t>
      </w:r>
      <w:r>
        <w:rPr>
          <w:rFonts w:hint="eastAsia" w:ascii="宋体" w:hAnsi="宋体" w:eastAsia="宋体" w:cs="宋体"/>
          <w:color w:val="auto"/>
          <w:sz w:val="24"/>
          <w:szCs w:val="24"/>
          <w:highlight w:val="none"/>
          <w:lang w:val="en-US" w:eastAsia="zh-CN"/>
        </w:rPr>
        <w:t>法</w:t>
      </w:r>
      <w:r>
        <w:rPr>
          <w:rFonts w:hint="eastAsia" w:ascii="宋体" w:hAnsi="宋体" w:eastAsia="宋体" w:cs="宋体"/>
          <w:color w:val="auto"/>
          <w:sz w:val="24"/>
          <w:szCs w:val="24"/>
          <w:highlight w:val="none"/>
        </w:rPr>
        <w:t>（详见附件）。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四、联系方式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   标   人：</w:t>
      </w:r>
      <w:r>
        <w:rPr>
          <w:rFonts w:hint="eastAsia" w:ascii="宋体" w:hAnsi="宋体"/>
          <w:color w:val="auto"/>
          <w:spacing w:val="0"/>
          <w:sz w:val="24"/>
          <w:highlight w:val="none"/>
          <w:lang w:eastAsia="zh-CN"/>
        </w:rPr>
        <w:t>赣州交通控股集团有限公司</w:t>
      </w: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地        址：江西省赣州市章贡区沙河镇赣州绕城高速赣州东出口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人：温女士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        话：0797-8289692</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招标代理机构：江西省赣南公路勘察设计院</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址：赣州市章江新区赞贤路36号</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人：赖工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电        话：0797-8088235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电子邮件：</w:t>
      </w:r>
      <w:r>
        <w:rPr>
          <w:rFonts w:hint="eastAsia" w:ascii="宋体" w:hAnsi="宋体" w:eastAsia="宋体" w:cs="宋体"/>
          <w:color w:val="auto"/>
          <w:sz w:val="24"/>
          <w:szCs w:val="24"/>
          <w:highlight w:val="none"/>
          <w:lang w:eastAsia="zh-CN"/>
        </w:rPr>
        <w:fldChar w:fldCharType="begin"/>
      </w:r>
      <w:r>
        <w:rPr>
          <w:rFonts w:hint="eastAsia" w:ascii="宋体" w:hAnsi="宋体" w:eastAsia="宋体" w:cs="宋体"/>
          <w:color w:val="auto"/>
          <w:sz w:val="24"/>
          <w:szCs w:val="24"/>
          <w:highlight w:val="none"/>
          <w:lang w:eastAsia="zh-CN"/>
        </w:rPr>
        <w:instrText xml:space="preserve"> HYPERLINK "mailto:gnglkcsjy@163.com" </w:instrText>
      </w:r>
      <w:r>
        <w:rPr>
          <w:rFonts w:hint="eastAsia" w:ascii="宋体" w:hAnsi="宋体" w:eastAsia="宋体" w:cs="宋体"/>
          <w:color w:val="auto"/>
          <w:sz w:val="24"/>
          <w:szCs w:val="24"/>
          <w:highlight w:val="none"/>
          <w:lang w:eastAsia="zh-CN"/>
        </w:rPr>
        <w:fldChar w:fldCharType="separate"/>
      </w:r>
      <w:r>
        <w:rPr>
          <w:rStyle w:val="11"/>
          <w:rFonts w:hint="eastAsia" w:ascii="宋体" w:hAnsi="宋体" w:eastAsia="宋体" w:cs="宋体"/>
          <w:color w:val="auto"/>
          <w:sz w:val="24"/>
          <w:szCs w:val="24"/>
          <w:highlight w:val="none"/>
          <w:lang w:eastAsia="zh-CN"/>
        </w:rPr>
        <w:t>gnglkcsjy@163.com</w:t>
      </w:r>
      <w:r>
        <w:rPr>
          <w:rFonts w:hint="eastAsia" w:ascii="宋体" w:hAnsi="宋体" w:eastAsia="宋体" w:cs="宋体"/>
          <w:color w:val="auto"/>
          <w:sz w:val="24"/>
          <w:szCs w:val="24"/>
          <w:highlight w:val="none"/>
          <w:lang w:eastAsia="zh-CN"/>
        </w:rPr>
        <w:fldChar w:fldCharType="end"/>
      </w:r>
    </w:p>
    <w:p>
      <w:pPr>
        <w:pStyle w:val="2"/>
        <w:spacing w:beforeLines="0" w:afterLines="0"/>
        <w:jc w:val="left"/>
        <w:rPr>
          <w:rFonts w:hint="eastAsia" w:ascii="宋体" w:hAnsi="宋体" w:eastAsia="宋体" w:cs="宋体"/>
          <w:szCs w:val="28"/>
          <w:highlight w:val="none"/>
          <w:lang w:val="en-US" w:eastAsia="zh-CN"/>
        </w:rPr>
        <w:sectPr>
          <w:pgSz w:w="11907" w:h="16840"/>
          <w:pgMar w:top="1418" w:right="1418" w:bottom="1418" w:left="1588" w:header="851" w:footer="992" w:gutter="0"/>
          <w:cols w:space="720" w:num="1"/>
          <w:docGrid w:linePitch="360" w:charSpace="0"/>
        </w:sect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bookmarkStart w:id="0" w:name="_Toc9094"/>
      <w:r>
        <w:rPr>
          <w:rFonts w:hint="eastAsia" w:ascii="宋体" w:hAnsi="宋体" w:eastAsia="宋体" w:cs="宋体"/>
          <w:b/>
          <w:bCs/>
          <w:color w:val="auto"/>
          <w:sz w:val="24"/>
          <w:szCs w:val="24"/>
          <w:highlight w:val="none"/>
          <w:lang w:val="en-US" w:eastAsia="zh-CN"/>
        </w:rPr>
        <w:t>评标办法</w:t>
      </w:r>
    </w:p>
    <w:tbl>
      <w:tblPr>
        <w:tblStyle w:val="9"/>
        <w:tblW w:w="9480" w:type="dxa"/>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15"/>
        <w:gridCol w:w="7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1860" w:type="dxa"/>
            <w:gridSpan w:val="2"/>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b/>
                <w:sz w:val="24"/>
                <w:szCs w:val="24"/>
                <w:highlight w:val="none"/>
              </w:rPr>
            </w:pPr>
            <w:r>
              <w:rPr>
                <w:rFonts w:hint="default" w:ascii="宋体"/>
                <w:b/>
                <w:sz w:val="24"/>
                <w:szCs w:val="24"/>
                <w:highlight w:val="none"/>
              </w:rPr>
              <w:t>条款号</w:t>
            </w:r>
          </w:p>
        </w:tc>
        <w:tc>
          <w:tcPr>
            <w:tcW w:w="7620" w:type="dxa"/>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400" w:lineRule="atLeast"/>
              <w:jc w:val="center"/>
              <w:rPr>
                <w:rFonts w:hint="default"/>
                <w:b/>
                <w:sz w:val="24"/>
                <w:szCs w:val="24"/>
                <w:highlight w:val="none"/>
              </w:rPr>
            </w:pPr>
            <w:r>
              <w:rPr>
                <w:rFonts w:hint="default" w:ascii="宋体"/>
                <w:b/>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645" w:type="dxa"/>
            <w:tcBorders>
              <w:top w:val="single" w:color="auto" w:sz="4"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both"/>
              <w:rPr>
                <w:rFonts w:hint="default" w:ascii="宋体" w:hAnsi="宋体"/>
                <w:sz w:val="24"/>
                <w:szCs w:val="24"/>
                <w:highlight w:val="none"/>
              </w:rPr>
            </w:pPr>
            <w:r>
              <w:rPr>
                <w:rFonts w:hint="default" w:ascii="宋体" w:hAnsi="宋体"/>
                <w:sz w:val="24"/>
                <w:szCs w:val="24"/>
                <w:highlight w:val="none"/>
              </w:rPr>
              <w:t>1</w:t>
            </w:r>
          </w:p>
        </w:tc>
        <w:tc>
          <w:tcPr>
            <w:tcW w:w="1215" w:type="dxa"/>
            <w:tcBorders>
              <w:top w:val="single" w:color="auto" w:sz="4"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标</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办</w:t>
            </w:r>
          </w:p>
          <w:p>
            <w:pPr>
              <w:autoSpaceDE w:val="0"/>
              <w:autoSpaceDN w:val="0"/>
              <w:adjustRightInd w:val="0"/>
              <w:spacing w:beforeLines="0" w:afterLines="0" w:line="400" w:lineRule="atLeast"/>
              <w:jc w:val="left"/>
              <w:rPr>
                <w:rFonts w:hint="default" w:ascii="宋体" w:hAnsi="宋体"/>
                <w:sz w:val="24"/>
                <w:szCs w:val="24"/>
                <w:highlight w:val="none"/>
              </w:rPr>
            </w:pPr>
            <w:r>
              <w:rPr>
                <w:rFonts w:hint="default" w:ascii="宋体"/>
                <w:sz w:val="24"/>
                <w:szCs w:val="24"/>
                <w:highlight w:val="none"/>
              </w:rPr>
              <w:t>法</w:t>
            </w:r>
          </w:p>
        </w:tc>
        <w:tc>
          <w:tcPr>
            <w:tcW w:w="7620" w:type="dxa"/>
            <w:tcBorders>
              <w:top w:val="single" w:color="auto" w:sz="4"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本次评标采用合理低价法。</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单个投标人最多可通过第一信封（商务及技术文件）评审的类别应符合第一章第3.3款规定，同时应满足各类别最多可通过第一信封（商务及技术文件）评审的资格数量不超过其相应类别已递交的投标保证金份数。</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根据第二信封（报价文件）开标现场随机确定的评标基准价计算方法和相应参数确定评标基准价（投标报价超过最高投标限价的，不参与评标基准价的计算），对第二次开标有效的投标文件第二信封（报价文件），按照本章第2.2款规定的标准进行评分，并按投标人得分由高到低的顺序进行排名推荐3家中标候选人，或根据招标人授权直接确定中标人，但投标报价低于其成本的除外。当得分相同时，以信用等级高者优先；再相同时，依次以注册资金高者、注册时间前者优先。</w:t>
            </w:r>
          </w:p>
        </w:tc>
      </w:tr>
    </w:tbl>
    <w:tbl>
      <w:tblPr>
        <w:tblStyle w:val="9"/>
        <w:tblpPr w:leftFromText="180" w:rightFromText="180" w:vertAnchor="text" w:horzAnchor="page" w:tblpX="1837" w:tblpY="379"/>
        <w:tblOverlap w:val="never"/>
        <w:tblW w:w="94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02"/>
        <w:gridCol w:w="893"/>
        <w:gridCol w:w="660"/>
        <w:gridCol w:w="1515"/>
        <w:gridCol w:w="5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blHeader/>
        </w:trPr>
        <w:tc>
          <w:tcPr>
            <w:tcW w:w="1695" w:type="dxa"/>
            <w:gridSpan w:val="2"/>
            <w:tcBorders>
              <w:top w:val="single" w:color="auto" w:sz="12"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条款号</w:t>
            </w:r>
          </w:p>
        </w:tc>
        <w:tc>
          <w:tcPr>
            <w:tcW w:w="2175" w:type="dxa"/>
            <w:gridSpan w:val="2"/>
            <w:tcBorders>
              <w:top w:val="single" w:color="auto" w:sz="12"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评审因素</w:t>
            </w:r>
          </w:p>
        </w:tc>
        <w:tc>
          <w:tcPr>
            <w:tcW w:w="5595" w:type="dxa"/>
            <w:tcBorders>
              <w:top w:val="single" w:color="auto" w:sz="12" w:space="0"/>
              <w:left w:val="single" w:color="auto" w:sz="6" w:space="0"/>
              <w:bottom w:val="single" w:color="auto" w:sz="6" w:space="0"/>
              <w:right w:val="single" w:color="auto" w:sz="12"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2.1.1</w:t>
            </w:r>
          </w:p>
        </w:tc>
        <w:tc>
          <w:tcPr>
            <w:tcW w:w="893"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第</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封</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商</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务</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及</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技</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术</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件</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商</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务</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w:t>
            </w:r>
          </w:p>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件</w:t>
            </w:r>
          </w:p>
        </w:tc>
        <w:tc>
          <w:tcPr>
            <w:tcW w:w="660" w:type="dxa"/>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spacing w:line="480" w:lineRule="exact"/>
              <w:ind w:left="113" w:right="113"/>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形式评审、资格评审及响应性评审</w:t>
            </w: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投标函填写</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按招标文件规定填报了正确的项目名称、类别名称和补遗书编号（如有）、工期、工程质量要求及安全目标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spacing w:line="480" w:lineRule="exact"/>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投标函附录数据</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spacing w:line="480" w:lineRule="exact"/>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文件填写及组成</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spacing w:line="480" w:lineRule="exact"/>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文件签字盖章</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符合第二章“投标人须知”第3.7.3</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投标保证金</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符合第二章“投标人须知”第3.4.1项规定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优先选择次序</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投多个类别的投标人各类别投标文件填写的优先选择次序内容一致，类别和标段名称符合招标文件规定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营业执照、资质证书</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安全生产许可证</w:t>
            </w:r>
            <w:r>
              <w:rPr>
                <w:rFonts w:hint="eastAsia" w:asciiTheme="minorEastAsia" w:hAnsiTheme="minorEastAsia" w:eastAsiaTheme="minorEastAsia" w:cstheme="minorEastAsia"/>
                <w:szCs w:val="21"/>
                <w:highlight w:val="none"/>
                <w:lang w:eastAsia="zh-CN"/>
              </w:rPr>
              <w:t>和基本账户开户许可证</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营业执照、资质证书</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安全生产许可证</w:t>
            </w:r>
            <w:r>
              <w:rPr>
                <w:rFonts w:hint="eastAsia" w:asciiTheme="minorEastAsia" w:hAnsiTheme="minorEastAsia" w:eastAsiaTheme="minorEastAsia" w:cstheme="minorEastAsia"/>
                <w:szCs w:val="21"/>
                <w:highlight w:val="none"/>
                <w:lang w:eastAsia="zh-CN"/>
              </w:rPr>
              <w:t>和基本账户开户许可证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资质等级</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w:t>
            </w:r>
            <w:r>
              <w:rPr>
                <w:rFonts w:hint="eastAsia" w:asciiTheme="minorEastAsia" w:hAnsiTheme="minorEastAsia" w:eastAsiaTheme="minorEastAsia" w:cstheme="minorEastAsia"/>
                <w:szCs w:val="21"/>
                <w:highlight w:val="none"/>
                <w:lang w:eastAsia="zh-CN"/>
              </w:rPr>
              <w:t>“资格要求”的</w:t>
            </w:r>
            <w:r>
              <w:rPr>
                <w:rFonts w:hint="eastAsia" w:asciiTheme="minorEastAsia" w:hAnsiTheme="minorEastAsia" w:eastAsiaTheme="minorEastAsia" w:cstheme="minorEastAsia"/>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财务能力</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项“财务要求”</w:t>
            </w:r>
          </w:p>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类似项目业绩</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项“业绩要求”</w:t>
            </w:r>
          </w:p>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信誉</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项“信誉要求”</w:t>
            </w:r>
          </w:p>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项目经理和项目总工</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w:t>
            </w:r>
            <w:r>
              <w:rPr>
                <w:rFonts w:hint="eastAsia" w:asciiTheme="minorEastAsia" w:hAnsiTheme="minorEastAsia" w:eastAsiaTheme="minorEastAsia" w:cstheme="minorEastAsia"/>
                <w:szCs w:val="21"/>
                <w:highlight w:val="none"/>
                <w:lang w:eastAsia="zh-CN"/>
              </w:rPr>
              <w:t>“项目经理和项目总工资格”的</w:t>
            </w:r>
            <w:r>
              <w:rPr>
                <w:rFonts w:hint="eastAsia" w:asciiTheme="minorEastAsia" w:hAnsiTheme="minorEastAsia" w:eastAsiaTheme="minorEastAsia" w:cstheme="minorEastAsia"/>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其他管理和技术人员资格要求、主要机械设备和试验检测设备要求（如有）</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符合第二章“投标人须知”第 1.4.1 项“其他管理和技术人员资格要求” “主要机械设备和试验检测设备要求”的规定                 </w:t>
            </w:r>
          </w:p>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其他要求（如有）</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1.4.1 项</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其他要求</w:t>
            </w:r>
            <w:r>
              <w:rPr>
                <w:rFonts w:hint="eastAsia" w:asciiTheme="minorEastAsia" w:hAnsiTheme="minorEastAsia" w:eastAsiaTheme="minorEastAsia" w:cstheme="minorEastAsia"/>
                <w:szCs w:val="21"/>
                <w:highlight w:val="none"/>
                <w:lang w:eastAsia="zh-CN"/>
              </w:rPr>
              <w:t>”的</w:t>
            </w:r>
            <w:r>
              <w:rPr>
                <w:rFonts w:hint="eastAsia" w:asciiTheme="minorEastAsia" w:hAnsiTheme="minorEastAsia" w:eastAsiaTheme="minorEastAsia" w:cstheme="minorEastAsia"/>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投标人不得存在的情形</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投标人不得存在第二章“投标人须知”第 1.4.3 项或第 1.4.4 项规定的任何一种情形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工期目标</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1.3.2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质量目标</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1.3.3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安全目标</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 1.3.4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材料设备选型（适用于机电工程）</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pStyle w:val="12"/>
              <w:tabs>
                <w:tab w:val="left" w:pos="4252"/>
              </w:tabs>
              <w:snapToGrid w:val="0"/>
              <w:spacing w:line="264" w:lineRule="auto"/>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满足技术规范相关参数要求</w:t>
            </w:r>
            <w:r>
              <w:rPr>
                <w:rFonts w:hint="eastAsia" w:asciiTheme="minorEastAsia" w:hAnsiTheme="minorEastAsia" w:eastAsiaTheme="minorEastAsia" w:cstheme="minorEastAsia"/>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项目经理和项目总工人员选择</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符合第二章“投标人须知”第3.5.10项规定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分包</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如有分包计划，符合第二章“投标人须知”第</w:t>
            </w:r>
            <w:r>
              <w:rPr>
                <w:rFonts w:hint="eastAsia" w:asciiTheme="minorEastAsia" w:hAnsiTheme="minorEastAsia" w:eastAsiaTheme="minorEastAsia" w:cstheme="minorEastAsia"/>
                <w:b/>
                <w:szCs w:val="21"/>
                <w:highlight w:val="none"/>
                <w:u w:val="single"/>
              </w:rPr>
              <w:t>1</w:t>
            </w:r>
            <w:r>
              <w:rPr>
                <w:rFonts w:hint="eastAsia" w:asciiTheme="minorEastAsia" w:hAnsiTheme="minorEastAsia" w:eastAsiaTheme="minorEastAsia" w:cstheme="minorEastAsia"/>
                <w:b/>
                <w:szCs w:val="21"/>
                <w:highlight w:val="none"/>
                <w:u w:val="single"/>
                <w:lang w:val="en-US" w:eastAsia="zh-CN"/>
              </w:rPr>
              <w:t>.11</w:t>
            </w:r>
            <w:r>
              <w:rPr>
                <w:rFonts w:hint="eastAsia" w:asciiTheme="minorEastAsia" w:hAnsiTheme="minorEastAsia" w:eastAsiaTheme="minorEastAsia" w:cstheme="minorEastAsia"/>
                <w:szCs w:val="21"/>
                <w:highlight w:val="none"/>
              </w:rPr>
              <w:t>款规定，且按第九章“投标文件格式”的要求填写了“拟分包项目情况表”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both"/>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投标报价</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未出现有关投标报价的内容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投标函中其他补充说明内容</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权利义务符合招标文件规定</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a.投标人应接受招标文件规定的风险划分原则，未提出新的风险划分办法；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pacing w:val="-10"/>
                <w:szCs w:val="21"/>
                <w:highlight w:val="none"/>
              </w:rPr>
            </w:pPr>
            <w:r>
              <w:rPr>
                <w:rFonts w:hint="eastAsia" w:asciiTheme="minorEastAsia" w:hAnsiTheme="minorEastAsia" w:eastAsiaTheme="minorEastAsia" w:cstheme="minorEastAsia"/>
                <w:spacing w:val="-10"/>
                <w:szCs w:val="21"/>
                <w:highlight w:val="none"/>
              </w:rPr>
              <w:t>b.投标人未增加发包人的责任范围，或减少投标人义务；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ind w:left="120" w:leftChars="50"/>
              <w:jc w:val="center"/>
              <w:rPr>
                <w:rFonts w:asciiTheme="minorEastAsia" w:hAnsiTheme="minorEastAsia" w:eastAsiaTheme="minorEastAsia" w:cstheme="minorEastAsia"/>
                <w:szCs w:val="21"/>
                <w:highlight w:val="none"/>
              </w:rPr>
            </w:pP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c.投标人未提出不同的工程验收、计量、支付办法；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ind w:left="120" w:leftChars="50"/>
              <w:jc w:val="center"/>
              <w:rPr>
                <w:rFonts w:asciiTheme="minorEastAsia" w:hAnsiTheme="minorEastAsia" w:eastAsiaTheme="minorEastAsia" w:cstheme="minorEastAsia"/>
                <w:szCs w:val="21"/>
                <w:highlight w:val="none"/>
              </w:rPr>
            </w:pP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d.投标人对合同纠纷、事故处理办法未提出异议；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ind w:left="120" w:leftChars="50"/>
              <w:jc w:val="center"/>
              <w:rPr>
                <w:rFonts w:asciiTheme="minorEastAsia" w:hAnsiTheme="minorEastAsia" w:eastAsiaTheme="minorEastAsia" w:cstheme="minorEastAsia"/>
                <w:szCs w:val="21"/>
                <w:highlight w:val="none"/>
              </w:rPr>
            </w:pP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e.投标人在投标活动中无欺诈行为；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ind w:left="120" w:leftChars="50"/>
              <w:jc w:val="center"/>
              <w:rPr>
                <w:rFonts w:asciiTheme="minorEastAsia" w:hAnsiTheme="minorEastAsia" w:eastAsiaTheme="minorEastAsia" w:cstheme="minorEastAsia"/>
                <w:szCs w:val="21"/>
                <w:highlight w:val="none"/>
              </w:rPr>
            </w:pP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80" w:lineRule="exact"/>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2.1.2</w:t>
            </w:r>
          </w:p>
        </w:tc>
        <w:tc>
          <w:tcPr>
            <w:tcW w:w="893"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第</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封</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价</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件</w:t>
            </w:r>
          </w:p>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660" w:type="dxa"/>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初步评审</w:t>
            </w: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报价函填写</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按招标文件规定填报了正确的招标人名称、项目名称、标段名称、补遗书编号（如有）、投标报价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eastAsia="zh-CN"/>
              </w:rPr>
              <w:t>已标价</w:t>
            </w:r>
            <w:r>
              <w:rPr>
                <w:rFonts w:hint="eastAsia" w:asciiTheme="minorEastAsia" w:hAnsiTheme="minorEastAsia" w:eastAsiaTheme="minorEastAsia" w:cstheme="minorEastAsia"/>
                <w:szCs w:val="21"/>
                <w:highlight w:val="none"/>
              </w:rPr>
              <w:t>工程量清单文字说明</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已标价工程量清单文字说明与招标文件规定一致，未进行修改或删除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文件填写及组成</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left w:val="single" w:color="auto" w:sz="12"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893" w:type="dxa"/>
            <w:vMerge w:val="continue"/>
            <w:tcBorders>
              <w:left w:val="single" w:color="auto" w:sz="6" w:space="0"/>
              <w:right w:val="single" w:color="auto" w:sz="6" w:space="0"/>
              <w:tl2br w:val="nil"/>
              <w:tr2bl w:val="nil"/>
            </w:tcBorders>
            <w:vAlign w:val="center"/>
          </w:tcPr>
          <w:p>
            <w:pPr>
              <w:autoSpaceDE w:val="0"/>
              <w:autoSpaceDN w:val="0"/>
              <w:adjustRightInd w:val="0"/>
              <w:jc w:val="center"/>
              <w:rPr>
                <w:rFonts w:hint="eastAsia" w:asciiTheme="minorEastAsia" w:hAnsiTheme="minorEastAsia" w:eastAsiaTheme="minorEastAsia" w:cstheme="minorEastAsia"/>
                <w:szCs w:val="21"/>
                <w:highlight w:val="none"/>
              </w:rPr>
            </w:pPr>
          </w:p>
        </w:tc>
        <w:tc>
          <w:tcPr>
            <w:tcW w:w="660" w:type="dxa"/>
            <w:vMerge w:val="continue"/>
            <w:tcBorders>
              <w:left w:val="single" w:color="auto" w:sz="6" w:space="0"/>
              <w:right w:val="single" w:color="auto" w:sz="6" w:space="0"/>
              <w:tl2br w:val="nil"/>
              <w:tr2bl w:val="nil"/>
            </w:tcBorders>
            <w:textDirection w:val="tbRlV"/>
            <w:vAlign w:val="center"/>
          </w:tcPr>
          <w:p>
            <w:pPr>
              <w:autoSpaceDE w:val="0"/>
              <w:autoSpaceDN w:val="0"/>
              <w:adjustRightInd w:val="0"/>
              <w:ind w:left="113" w:right="113"/>
              <w:jc w:val="center"/>
              <w:rPr>
                <w:rFonts w:hint="eastAsia"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文件签字盖章</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spacing w:line="48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符合第二章“投标人须知”第3.7.3</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文件填写及组成</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4"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120" w:leftChars="5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已标价工程量清单</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未对工程量固化清单电子文件中的数据、格式和运算定义进行修改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4"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价格指数和权重表</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如有）</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填写符合招标文件规定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投标报价</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未超过招标人公布的最高投标限价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893"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660"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20" w:lineRule="exact"/>
              <w:ind w:left="0" w:leftChars="0" w:firstLine="0" w:firstLineChars="0"/>
              <w:jc w:val="both"/>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第二个信封（报价文件）递交</w:t>
            </w:r>
          </w:p>
        </w:tc>
        <w:tc>
          <w:tcPr>
            <w:tcW w:w="5595" w:type="dxa"/>
            <w:tcBorders>
              <w:top w:val="single" w:color="auto" w:sz="6" w:space="0"/>
              <w:left w:val="single" w:color="auto" w:sz="6" w:space="0"/>
              <w:bottom w:val="single" w:color="auto" w:sz="6" w:space="0"/>
              <w:right w:val="single" w:color="auto" w:sz="12" w:space="0"/>
              <w:tl2br w:val="nil"/>
              <w:tr2bl w:val="nil"/>
            </w:tcBorders>
            <w:vAlign w:val="center"/>
          </w:tcPr>
          <w:p>
            <w:pPr>
              <w:autoSpaceDE w:val="0"/>
              <w:autoSpaceDN w:val="0"/>
              <w:adjustRightInd w:val="0"/>
              <w:ind w:left="242" w:leftChars="101"/>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第二个信封（报价文件）的递交符合第一章“招标公告”第 5.2 款的要求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1695" w:type="dxa"/>
            <w:gridSpan w:val="2"/>
            <w:tcBorders>
              <w:top w:val="single" w:color="auto" w:sz="8" w:space="0"/>
              <w:left w:val="single" w:color="auto" w:sz="12" w:space="0"/>
              <w:bottom w:val="single" w:color="auto" w:sz="4" w:space="0"/>
              <w:right w:val="single" w:color="auto" w:sz="8"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2.2.1</w:t>
            </w:r>
          </w:p>
        </w:tc>
        <w:tc>
          <w:tcPr>
            <w:tcW w:w="2175" w:type="dxa"/>
            <w:gridSpan w:val="2"/>
            <w:tcBorders>
              <w:top w:val="single" w:color="auto" w:sz="8" w:space="0"/>
              <w:left w:val="single" w:color="auto" w:sz="8" w:space="0"/>
              <w:bottom w:val="single" w:color="auto" w:sz="4" w:space="0"/>
              <w:right w:val="single" w:color="auto" w:sz="8" w:space="0"/>
              <w:tl2br w:val="nil"/>
              <w:tr2bl w:val="nil"/>
            </w:tcBorders>
            <w:vAlign w:val="center"/>
          </w:tcPr>
          <w:p>
            <w:pPr>
              <w:autoSpaceDE w:val="0"/>
              <w:autoSpaceDN w:val="0"/>
              <w:adjustRightInd w:val="0"/>
              <w:spacing w:line="32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分值构成</w:t>
            </w:r>
          </w:p>
          <w:p>
            <w:pPr>
              <w:autoSpaceDE w:val="0"/>
              <w:autoSpaceDN w:val="0"/>
              <w:adjustRightInd w:val="0"/>
              <w:spacing w:line="32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(总分 100 分)</w:t>
            </w:r>
          </w:p>
        </w:tc>
        <w:tc>
          <w:tcPr>
            <w:tcW w:w="5595" w:type="dxa"/>
            <w:tcBorders>
              <w:top w:val="single" w:color="auto" w:sz="8" w:space="0"/>
              <w:left w:val="single" w:color="auto" w:sz="8" w:space="0"/>
              <w:bottom w:val="single" w:color="auto" w:sz="8" w:space="0"/>
              <w:right w:val="single" w:color="auto" w:sz="12" w:space="0"/>
              <w:tl2br w:val="nil"/>
              <w:tr2bl w:val="nil"/>
            </w:tcBorders>
            <w:vAlign w:val="center"/>
          </w:tcPr>
          <w:p>
            <w:pPr>
              <w:autoSpaceDE w:val="0"/>
              <w:autoSpaceDN w:val="0"/>
              <w:adjustRightInd w:val="0"/>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评标价： 100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405" w:hRule="atLeast"/>
        </w:trPr>
        <w:tc>
          <w:tcPr>
            <w:tcW w:w="1695" w:type="dxa"/>
            <w:gridSpan w:val="2"/>
            <w:tcBorders>
              <w:top w:val="single" w:color="auto" w:sz="8" w:space="0"/>
              <w:left w:val="single" w:color="auto" w:sz="12" w:space="0"/>
              <w:bottom w:val="single" w:color="auto" w:sz="8" w:space="0"/>
              <w:right w:val="single" w:color="auto" w:sz="8" w:space="0"/>
              <w:tl2br w:val="nil"/>
              <w:tr2bl w:val="nil"/>
            </w:tcBorders>
            <w:vAlign w:val="center"/>
          </w:tcPr>
          <w:p>
            <w:pPr>
              <w:autoSpaceDE w:val="0"/>
              <w:autoSpaceDN w:val="0"/>
              <w:adjustRightInd w:val="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2.2.2</w:t>
            </w:r>
          </w:p>
        </w:tc>
        <w:tc>
          <w:tcPr>
            <w:tcW w:w="2175" w:type="dxa"/>
            <w:gridSpan w:val="2"/>
            <w:tcBorders>
              <w:top w:val="single" w:color="auto" w:sz="8" w:space="0"/>
              <w:left w:val="single" w:color="auto" w:sz="8" w:space="0"/>
              <w:bottom w:val="single" w:color="auto" w:sz="8" w:space="0"/>
              <w:right w:val="single" w:color="auto" w:sz="8" w:space="0"/>
              <w:tl2br w:val="nil"/>
              <w:tr2bl w:val="nil"/>
            </w:tcBorders>
            <w:vAlign w:val="center"/>
          </w:tcPr>
          <w:p>
            <w:pPr>
              <w:autoSpaceDE w:val="0"/>
              <w:autoSpaceDN w:val="0"/>
              <w:adjustRightInd w:val="0"/>
              <w:spacing w:line="32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评标基准价</w:t>
            </w:r>
          </w:p>
          <w:p>
            <w:pPr>
              <w:autoSpaceDE w:val="0"/>
              <w:autoSpaceDN w:val="0"/>
              <w:adjustRightInd w:val="0"/>
              <w:spacing w:line="32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计算方法</w:t>
            </w:r>
          </w:p>
        </w:tc>
        <w:tc>
          <w:tcPr>
            <w:tcW w:w="5595" w:type="dxa"/>
            <w:tcBorders>
              <w:top w:val="single" w:color="auto" w:sz="8" w:space="0"/>
              <w:left w:val="single" w:color="auto" w:sz="8" w:space="0"/>
              <w:bottom w:val="single" w:color="auto" w:sz="8" w:space="0"/>
              <w:right w:val="single" w:color="auto" w:sz="12" w:space="0"/>
              <w:tl2br w:val="nil"/>
              <w:tr2bl w:val="nil"/>
            </w:tcBorders>
            <w:vAlign w:val="center"/>
          </w:tcPr>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本次招标设定的评标基准价计算方法，在第二信封（报价文件）开标现场，每个标段随机抽取其中的一种作为该标段评标基准价的计算方法。</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评标价E=投标报价函文字报价。</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当采用方法一、二、三时，评标基准价计算时去掉n1个最高评标价和n2个最低评标价。</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①当N&lt;6时，n1、n2均取0；</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②当N≥6时，去掉n1个最高评标价，去掉n2个最低评标价；</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n1在取值区间1～M-1中随机抽取（最小为1），n2在取值区间1～M+1中随机抽取；M=N/4，M向下取整。</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N为某标段第二信封（报价文件）现场开标有效的投标人数量，超过最高投标限价的投标人不参与计算。</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根据上述规则去除n1个最高值和n2个最低值后，其余评标价参与评标基准价的计算，评标基准价保留两位小数，小数点后第三位“四舍五入”。</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※方法一：二次平均法</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对参与评标基准价计算的所有评标价进行第一次平均，对所有小于或等于第一次平均值的评标价（不包括去掉的n2个最低评标价）进行第二次平均，第二次平均值即为评标基准价P。</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※方法二：随机系数法</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评标基准价P＝(Emax-Emin)×K+ Emin</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Emax——去掉n1个最高评标价后的最大值。</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Emin——去掉n2个最低评标价后的最小值。</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K——基准价系数，由在第二信封（报价文件）开标现场随机抽取的X、Y两个系数构成，K=(X+Y/10)/10，其中X、Y各设10个系数，分别为0、1、2、3、4、5、6、7、8、9。</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※方法三：随机权重法</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评标基准价P＝A×K+B×(1-K)</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A——去掉n1个最高评标价后的最大值</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B——参与评标基准价计算的所有评标价的平均值</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K——权重系数，由在第二信封（报价文件）开标现场随机抽取的X、Y两个系数构成，K=(X+Y/10)/10，其中X有4个系数，分别为3、4、5、6；Y有10个系数分别为0、1、2、3、4、5、6、7、8、9。</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方法四：随机低价法（适用于N≥5）</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评标基准价P＝去掉m个最低评标价的最低价</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m——在第二信封（报价文件）开标现场随机抽取，取值范围为n3～n4, 步距为1。</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n3=N×0.2，n4=N×0.7，n3、n4向下取整。</w:t>
            </w:r>
          </w:p>
          <w:p>
            <w:pPr>
              <w:autoSpaceDE w:val="0"/>
              <w:autoSpaceDN w:val="0"/>
              <w:adjustRightInd w:val="0"/>
              <w:spacing w:line="300" w:lineRule="atLeast"/>
              <w:ind w:left="134" w:leftChars="56" w:firstLine="343" w:firstLineChars="143"/>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评标基准价在整个评审期间保持不变，不随通过第二信封（报价文件）评审的投标人数量发生变化。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695" w:type="dxa"/>
            <w:gridSpan w:val="2"/>
            <w:tcBorders>
              <w:top w:val="single" w:color="auto" w:sz="8" w:space="0"/>
              <w:left w:val="single" w:color="auto" w:sz="12" w:space="0"/>
              <w:bottom w:val="single" w:color="auto" w:sz="8" w:space="0"/>
              <w:right w:val="single" w:color="auto" w:sz="8"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2.2.3</w:t>
            </w:r>
          </w:p>
        </w:tc>
        <w:tc>
          <w:tcPr>
            <w:tcW w:w="2175" w:type="dxa"/>
            <w:gridSpan w:val="2"/>
            <w:tcBorders>
              <w:top w:val="single" w:color="auto" w:sz="8" w:space="0"/>
              <w:left w:val="single" w:color="auto" w:sz="8" w:space="0"/>
              <w:bottom w:val="single" w:color="auto" w:sz="8" w:space="0"/>
              <w:right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投标报价的偏差率计算公式</w:t>
            </w:r>
          </w:p>
        </w:tc>
        <w:tc>
          <w:tcPr>
            <w:tcW w:w="5595" w:type="dxa"/>
            <w:tcBorders>
              <w:top w:val="single" w:color="auto" w:sz="8" w:space="0"/>
              <w:left w:val="single" w:color="auto" w:sz="8" w:space="0"/>
              <w:bottom w:val="single" w:color="auto" w:sz="8" w:space="0"/>
              <w:right w:val="single" w:color="auto" w:sz="12"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left="113" w:leftChars="47"/>
              <w:jc w:val="left"/>
              <w:textAlignment w:val="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偏差率=100%×(投标人投标报价-评标基准价)/评标基准价，偏差率保留小数点后</w:t>
            </w:r>
            <w:r>
              <w:rPr>
                <w:rFonts w:hint="eastAsia" w:asciiTheme="minorEastAsia" w:hAnsiTheme="minorEastAsia" w:eastAsiaTheme="minorEastAsia" w:cstheme="minorEastAsia"/>
                <w:szCs w:val="21"/>
                <w:highlight w:val="none"/>
                <w:lang w:val="en-US" w:eastAsia="zh-CN"/>
              </w:rPr>
              <w:t>9</w:t>
            </w:r>
            <w:r>
              <w:rPr>
                <w:rFonts w:hint="eastAsia" w:asciiTheme="minorEastAsia" w:hAnsiTheme="minorEastAsia" w:eastAsiaTheme="minorEastAsia" w:cstheme="minorEastAsia"/>
                <w:szCs w:val="21"/>
                <w:highlight w:val="none"/>
              </w:rPr>
              <w:t>位</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四舍五入</w:t>
            </w:r>
            <w:r>
              <w:rPr>
                <w:rFonts w:hint="eastAsia" w:asciiTheme="minorEastAsia" w:hAnsiTheme="minorEastAsia" w:eastAsiaTheme="minorEastAsia" w:cstheme="minorEastAsia"/>
                <w:szCs w:val="21"/>
                <w:highlight w:val="none"/>
                <w:lang w:eastAsia="zh-CN"/>
              </w:rPr>
              <w:t>法）</w:t>
            </w:r>
            <w:r>
              <w:rPr>
                <w:rFonts w:hint="eastAsia" w:asciiTheme="minorEastAsia" w:hAnsiTheme="minorEastAsia" w:eastAsiaTheme="minorEastAsia" w:cstheme="minor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475" w:hRule="atLeast"/>
        </w:trPr>
        <w:tc>
          <w:tcPr>
            <w:tcW w:w="1695" w:type="dxa"/>
            <w:gridSpan w:val="2"/>
            <w:tcBorders>
              <w:top w:val="single" w:color="auto" w:sz="8" w:space="0"/>
              <w:left w:val="single" w:color="auto" w:sz="12" w:space="0"/>
              <w:bottom w:val="single" w:color="auto" w:sz="12" w:space="0"/>
              <w:right w:val="single" w:color="auto" w:sz="8" w:space="0"/>
              <w:tl2br w:val="nil"/>
              <w:tr2bl w:val="nil"/>
            </w:tcBorders>
            <w:vAlign w:val="center"/>
          </w:tcPr>
          <w:p>
            <w:pPr>
              <w:autoSpaceDE w:val="0"/>
              <w:autoSpaceDN w:val="0"/>
              <w:adjustRightInd w:val="0"/>
              <w:spacing w:line="48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2.2.4</w:t>
            </w:r>
          </w:p>
        </w:tc>
        <w:tc>
          <w:tcPr>
            <w:tcW w:w="2175" w:type="dxa"/>
            <w:gridSpan w:val="2"/>
            <w:tcBorders>
              <w:top w:val="single" w:color="auto" w:sz="8" w:space="0"/>
              <w:left w:val="single" w:color="auto" w:sz="8" w:space="0"/>
              <w:bottom w:val="single" w:color="auto" w:sz="12" w:space="0"/>
              <w:right w:val="single" w:color="auto" w:sz="8" w:space="0"/>
              <w:tl2br w:val="nil"/>
              <w:tr2bl w:val="nil"/>
            </w:tcBorders>
            <w:vAlign w:val="center"/>
          </w:tcPr>
          <w:p>
            <w:pPr>
              <w:autoSpaceDE w:val="0"/>
              <w:autoSpaceDN w:val="0"/>
              <w:adjustRightInd w:val="0"/>
              <w:spacing w:line="480" w:lineRule="exact"/>
              <w:ind w:left="134" w:leftChars="56"/>
              <w:jc w:val="both"/>
              <w:rPr>
                <w:rFonts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投标报价</w:t>
            </w:r>
          </w:p>
        </w:tc>
        <w:tc>
          <w:tcPr>
            <w:tcW w:w="5595" w:type="dxa"/>
            <w:tcBorders>
              <w:top w:val="single" w:color="auto" w:sz="8" w:space="0"/>
              <w:left w:val="single" w:color="auto" w:sz="8" w:space="0"/>
              <w:bottom w:val="single" w:color="auto" w:sz="12" w:space="0"/>
              <w:right w:val="single" w:color="auto" w:sz="12"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100 分</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评标价得分计算：</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a.如果投标人的评标价&gt;评标基准价，               则评标价得分＝100－偏差率×100×E1；</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b.如果投标人的评标价≤评标基准价，               则评标价得分＝100＋偏差率×100×E2。</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本项目 E1=1.5；E2=1。</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其中： E1是评标价每高于评标基准价一个百分点的扣分值； E2 是评标价每低于评标基准价一个百分点的扣分值。招标人可依据招标项目具体特点和实际需要设置 E1、E2，但 E1 应大于E2。</w:t>
            </w:r>
          </w:p>
          <w:p>
            <w:pPr>
              <w:keepNext w:val="0"/>
              <w:keepLines w:val="0"/>
              <w:pageBreakBefore w:val="0"/>
              <w:widowControl w:val="0"/>
              <w:kinsoku/>
              <w:wordWrap/>
              <w:overflowPunct/>
              <w:topLinePunct w:val="0"/>
              <w:autoSpaceDE w:val="0"/>
              <w:autoSpaceDN w:val="0"/>
              <w:bidi w:val="0"/>
              <w:adjustRightInd w:val="0"/>
              <w:snapToGrid/>
              <w:spacing w:line="400" w:lineRule="exact"/>
              <w:ind w:left="113" w:leftChars="47"/>
              <w:jc w:val="left"/>
              <w:textAlignment w:val="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所有评标价得分分值计算保留小数点后 7 位（四舍五入法）。</w:t>
            </w:r>
          </w:p>
        </w:tc>
      </w:tr>
      <w:bookmarkEnd w:id="0"/>
    </w:tbl>
    <w:p>
      <w:pPr>
        <w:pStyle w:val="8"/>
        <w:jc w:val="center"/>
        <w:rPr>
          <w:rFonts w:hint="default" w:ascii="宋体" w:hAnsi="宋体"/>
          <w:sz w:val="24"/>
          <w:szCs w:val="24"/>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YzViN2M5Y2Y0ZjU3NTg3OTEzNjFhYjRjZTYyYzAifQ=="/>
  </w:docVars>
  <w:rsids>
    <w:rsidRoot w:val="557E1660"/>
    <w:rsid w:val="059041E1"/>
    <w:rsid w:val="106618D1"/>
    <w:rsid w:val="1EFB01C2"/>
    <w:rsid w:val="2A803D52"/>
    <w:rsid w:val="2C8868D9"/>
    <w:rsid w:val="3F353E9E"/>
    <w:rsid w:val="4989732B"/>
    <w:rsid w:val="4B9F3E1E"/>
    <w:rsid w:val="557E1660"/>
    <w:rsid w:val="67E3622D"/>
    <w:rsid w:val="6CEE0D79"/>
    <w:rsid w:val="74C10800"/>
    <w:rsid w:val="7BA1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Times New Roman"/>
      <w:kern w:val="2"/>
      <w:sz w:val="24"/>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autoSpaceDE w:val="0"/>
      <w:autoSpaceDN w:val="0"/>
      <w:adjustRightInd w:val="0"/>
      <w:snapToGrid w:val="0"/>
      <w:spacing w:beforeLines="0" w:afterLines="0"/>
      <w:jc w:val="left"/>
    </w:pPr>
    <w:rPr>
      <w:rFonts w:hint="default"/>
      <w:sz w:val="18"/>
      <w:szCs w:val="24"/>
    </w:rPr>
  </w:style>
  <w:style w:type="paragraph" w:styleId="6">
    <w:name w:val="header"/>
    <w:basedOn w:val="1"/>
    <w:unhideWhenUsed/>
    <w:qFormat/>
    <w:uiPriority w:val="0"/>
    <w:pPr>
      <w:pBdr>
        <w:bottom w:val="single" w:color="auto" w:sz="6" w:space="1"/>
      </w:pBdr>
      <w:tabs>
        <w:tab w:val="center" w:pos="4153"/>
        <w:tab w:val="right" w:pos="8306"/>
      </w:tabs>
      <w:autoSpaceDE w:val="0"/>
      <w:autoSpaceDN w:val="0"/>
      <w:adjustRightInd w:val="0"/>
      <w:snapToGrid w:val="0"/>
      <w:spacing w:beforeLines="0" w:afterLines="0"/>
      <w:jc w:val="center"/>
    </w:pPr>
    <w:rPr>
      <w:rFonts w:hint="default"/>
      <w:sz w:val="18"/>
      <w:szCs w:val="24"/>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2"/>
    <w:basedOn w:val="4"/>
    <w:qFormat/>
    <w:uiPriority w:val="0"/>
    <w:pPr>
      <w:ind w:firstLine="420"/>
    </w:pPr>
  </w:style>
  <w:style w:type="character" w:styleId="11">
    <w:name w:val="Hyperlink"/>
    <w:basedOn w:val="10"/>
    <w:qFormat/>
    <w:uiPriority w:val="0"/>
    <w:rPr>
      <w:color w:val="0000FF"/>
      <w:u w:val="single"/>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List Paragraph"/>
    <w:basedOn w:val="1"/>
    <w:qFormat/>
    <w:uiPriority w:val="1"/>
    <w:pPr>
      <w:spacing w:before="2"/>
      <w:ind w:left="1474"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3055</Words>
  <Characters>3337</Characters>
  <Lines>0</Lines>
  <Paragraphs>0</Paragraphs>
  <TotalTime>4</TotalTime>
  <ScaleCrop>false</ScaleCrop>
  <LinksUpToDate>false</LinksUpToDate>
  <CharactersWithSpaces>3590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2022-06-15T03:58:00Z</dcterms:created>
  <dc:creator>WPS_1600825042</dc:creator>
  <cp:lastModifiedBy>Administrator</cp:lastModifiedBy>
  <dcterms:modified xsi:type="dcterms:W3CDTF">2023-01-18T10:35:07Z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B1A288282C0640DFBF220C972FEAF062</vt:lpwstr>
  </property>
</Properties>
</file>