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spacing w:line="420" w:lineRule="exact"/>
        <w:jc w:val="center"/>
        <w:rPr>
          <w:rFonts w:hAnsi="黑体" w:eastAsia="黑体"/>
          <w:bCs/>
          <w:sz w:val="44"/>
          <w:szCs w:val="44"/>
        </w:rPr>
      </w:pPr>
      <w:r>
        <w:rPr>
          <w:rFonts w:hint="eastAsia" w:hAnsi="黑体" w:eastAsia="黑体"/>
          <w:bCs/>
          <w:sz w:val="44"/>
          <w:szCs w:val="44"/>
        </w:rPr>
        <w:t>江西联兴公路工程有限公司</w:t>
      </w:r>
    </w:p>
    <w:p>
      <w:pPr>
        <w:jc w:val="center"/>
        <w:rPr>
          <w:b/>
          <w:sz w:val="30"/>
          <w:szCs w:val="30"/>
        </w:rPr>
      </w:pPr>
      <w:r>
        <w:rPr>
          <w:rFonts w:hint="eastAsia" w:ascii="宋体" w:hAnsi="宋体"/>
          <w:b/>
          <w:bCs/>
          <w:sz w:val="30"/>
          <w:szCs w:val="30"/>
        </w:rPr>
        <w:t>2022年大广龙杨高速公路隧道渗水漏水处治工程劳务</w:t>
      </w:r>
    </w:p>
    <w:p>
      <w:pPr>
        <w:jc w:val="center"/>
        <w:rPr>
          <w:b/>
          <w:sz w:val="36"/>
          <w:szCs w:val="36"/>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询价文件</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rPr>
          <w:b/>
          <w:sz w:val="36"/>
          <w:szCs w:val="36"/>
        </w:rPr>
      </w:pPr>
    </w:p>
    <w:p>
      <w:pPr>
        <w:pStyle w:val="2"/>
      </w:pPr>
    </w:p>
    <w:p>
      <w:pPr>
        <w:jc w:val="center"/>
        <w:rPr>
          <w:b/>
          <w:sz w:val="36"/>
          <w:szCs w:val="36"/>
        </w:rPr>
      </w:pPr>
      <w:r>
        <w:rPr>
          <w:rFonts w:hint="eastAsia"/>
          <w:b/>
          <w:sz w:val="36"/>
          <w:szCs w:val="36"/>
        </w:rPr>
        <w:drawing>
          <wp:inline distT="0" distB="0" distL="0" distR="0">
            <wp:extent cx="304800" cy="285750"/>
            <wp:effectExtent l="0" t="0" r="0" b="0"/>
            <wp:docPr id="3" name="图片 3" descr="交控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交控司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4800" cy="285750"/>
                    </a:xfrm>
                    <a:prstGeom prst="rect">
                      <a:avLst/>
                    </a:prstGeom>
                    <a:noFill/>
                    <a:ln>
                      <a:noFill/>
                    </a:ln>
                  </pic:spPr>
                </pic:pic>
              </a:graphicData>
            </a:graphic>
          </wp:inline>
        </w:drawing>
      </w:r>
      <w:r>
        <w:rPr>
          <w:rFonts w:hint="eastAsia"/>
          <w:b/>
          <w:sz w:val="36"/>
          <w:szCs w:val="36"/>
        </w:rPr>
        <w:t>江西联兴公路工程有限公司</w:t>
      </w:r>
    </w:p>
    <w:p>
      <w:pPr>
        <w:jc w:val="center"/>
        <w:rPr>
          <w:b/>
          <w:sz w:val="36"/>
          <w:szCs w:val="36"/>
        </w:rPr>
      </w:pPr>
    </w:p>
    <w:p>
      <w:pPr>
        <w:jc w:val="center"/>
        <w:rPr>
          <w:b/>
          <w:sz w:val="36"/>
          <w:szCs w:val="36"/>
        </w:rPr>
      </w:pPr>
      <w:r>
        <w:rPr>
          <w:rFonts w:hint="eastAsia"/>
          <w:b/>
          <w:sz w:val="36"/>
          <w:szCs w:val="36"/>
        </w:rPr>
        <w:t>二O二二年</w:t>
      </w:r>
      <w:r>
        <w:rPr>
          <w:rFonts w:hint="eastAsia"/>
          <w:b/>
          <w:sz w:val="36"/>
          <w:szCs w:val="36"/>
          <w:lang w:val="en-US" w:eastAsia="zh-CN"/>
        </w:rPr>
        <w:t>十二</w:t>
      </w:r>
      <w:r>
        <w:rPr>
          <w:rFonts w:hint="eastAsia"/>
          <w:b/>
          <w:sz w:val="36"/>
          <w:szCs w:val="36"/>
        </w:rPr>
        <w:t>月</w:t>
      </w:r>
    </w:p>
    <w:p>
      <w:pPr>
        <w:pStyle w:val="2"/>
        <w:rPr>
          <w:sz w:val="36"/>
          <w:szCs w:val="36"/>
        </w:rPr>
      </w:pPr>
    </w:p>
    <w:p>
      <w:pPr>
        <w:rPr>
          <w:b/>
          <w:sz w:val="36"/>
          <w:szCs w:val="36"/>
        </w:rPr>
      </w:pPr>
    </w:p>
    <w:p>
      <w:pPr>
        <w:pStyle w:val="2"/>
        <w:rPr>
          <w:sz w:val="36"/>
          <w:szCs w:val="36"/>
        </w:rPr>
      </w:pPr>
    </w:p>
    <w:p>
      <w:pPr>
        <w:rPr>
          <w:b/>
          <w:sz w:val="36"/>
          <w:szCs w:val="36"/>
        </w:rPr>
      </w:pPr>
    </w:p>
    <w:p>
      <w:pPr>
        <w:pStyle w:val="2"/>
        <w:rPr>
          <w:sz w:val="36"/>
          <w:szCs w:val="36"/>
        </w:rPr>
      </w:pPr>
    </w:p>
    <w:p>
      <w:pPr>
        <w:rPr>
          <w:b/>
          <w:sz w:val="36"/>
          <w:szCs w:val="36"/>
        </w:rPr>
      </w:pPr>
    </w:p>
    <w:p>
      <w:pPr>
        <w:pStyle w:val="2"/>
        <w:rPr>
          <w:sz w:val="36"/>
          <w:szCs w:val="36"/>
        </w:rPr>
      </w:pPr>
    </w:p>
    <w:p>
      <w:pPr>
        <w:rPr>
          <w:b/>
          <w:sz w:val="36"/>
          <w:szCs w:val="36"/>
        </w:rPr>
      </w:pPr>
    </w:p>
    <w:p>
      <w:pPr>
        <w:pStyle w:val="2"/>
        <w:rPr>
          <w:sz w:val="36"/>
          <w:szCs w:val="36"/>
        </w:rPr>
      </w:pPr>
    </w:p>
    <w:p>
      <w:pPr>
        <w:rPr>
          <w:b/>
          <w:sz w:val="36"/>
          <w:szCs w:val="36"/>
        </w:rPr>
      </w:pPr>
    </w:p>
    <w:p>
      <w:pPr>
        <w:pStyle w:val="2"/>
        <w:rPr>
          <w:sz w:val="36"/>
          <w:szCs w:val="36"/>
        </w:rPr>
      </w:pPr>
    </w:p>
    <w:p>
      <w:pPr>
        <w:rPr>
          <w:b/>
          <w:sz w:val="36"/>
          <w:szCs w:val="36"/>
        </w:rPr>
      </w:pPr>
    </w:p>
    <w:p>
      <w:pPr>
        <w:pStyle w:val="2"/>
        <w:rPr>
          <w:sz w:val="36"/>
          <w:szCs w:val="36"/>
        </w:rPr>
      </w:pPr>
    </w:p>
    <w:p>
      <w:pPr>
        <w:rPr>
          <w:b/>
          <w:sz w:val="36"/>
          <w:szCs w:val="36"/>
        </w:rPr>
      </w:pPr>
    </w:p>
    <w:p>
      <w:pPr>
        <w:pStyle w:val="2"/>
      </w:pPr>
    </w:p>
    <w:p>
      <w:pPr>
        <w:jc w:val="center"/>
        <w:rPr>
          <w:b/>
          <w:sz w:val="36"/>
          <w:szCs w:val="36"/>
        </w:rPr>
      </w:pPr>
    </w:p>
    <w:p>
      <w:pPr>
        <w:jc w:val="center"/>
        <w:rPr>
          <w:rFonts w:ascii="黑体" w:hAnsi="黑体" w:eastAsia="黑体" w:cs="黑体"/>
          <w:sz w:val="24"/>
        </w:rPr>
      </w:pPr>
    </w:p>
    <w:p>
      <w:pPr>
        <w:jc w:val="center"/>
        <w:rPr>
          <w:rFonts w:ascii="黑体" w:hAnsi="黑体" w:eastAsia="黑体" w:cs="黑体"/>
          <w:sz w:val="32"/>
          <w:szCs w:val="32"/>
        </w:rPr>
      </w:pPr>
      <w:r>
        <w:rPr>
          <w:rFonts w:hint="eastAsia" w:ascii="黑体" w:hAnsi="黑体" w:eastAsia="黑体" w:cs="黑体"/>
          <w:sz w:val="32"/>
          <w:szCs w:val="32"/>
        </w:rPr>
        <w:t>目  录</w:t>
      </w:r>
    </w:p>
    <w:p>
      <w:pPr>
        <w:pStyle w:val="20"/>
        <w:tabs>
          <w:tab w:val="right" w:leader="dot" w:pos="9070"/>
        </w:tabs>
        <w:rPr>
          <w:rFonts w:ascii="黑体" w:hAnsi="黑体" w:eastAsia="黑体" w:cs="黑体"/>
          <w:sz w:val="24"/>
        </w:rPr>
      </w:pPr>
      <w:r>
        <w:rPr>
          <w:rFonts w:hint="eastAsia" w:ascii="黑体" w:hAnsi="黑体" w:eastAsia="黑体" w:cs="黑体"/>
          <w:sz w:val="24"/>
        </w:rPr>
        <w:fldChar w:fldCharType="begin"/>
      </w:r>
      <w:r>
        <w:rPr>
          <w:rFonts w:hint="eastAsia" w:ascii="黑体" w:hAnsi="黑体" w:eastAsia="黑体" w:cs="黑体"/>
          <w:sz w:val="24"/>
        </w:rPr>
        <w:instrText xml:space="preserve">TOC \o "1-2" \h \u </w:instrText>
      </w:r>
      <w:r>
        <w:rPr>
          <w:rFonts w:hint="eastAsia" w:ascii="黑体" w:hAnsi="黑体" w:eastAsia="黑体" w:cs="黑体"/>
          <w:sz w:val="24"/>
        </w:rPr>
        <w:fldChar w:fldCharType="separate"/>
      </w:r>
      <w:r>
        <w:fldChar w:fldCharType="begin"/>
      </w:r>
      <w:r>
        <w:instrText xml:space="preserve"> HYPERLINK \l "_Toc28027" </w:instrText>
      </w:r>
      <w:r>
        <w:fldChar w:fldCharType="separate"/>
      </w:r>
      <w:r>
        <w:rPr>
          <w:rFonts w:hint="eastAsia" w:ascii="黑体" w:hAnsi="黑体" w:eastAsia="黑体" w:cs="黑体"/>
          <w:sz w:val="24"/>
        </w:rPr>
        <w:t>第一章 询价公告</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_Toc28027 </w:instrText>
      </w:r>
      <w:r>
        <w:rPr>
          <w:rFonts w:hint="eastAsia" w:ascii="黑体" w:hAnsi="黑体" w:eastAsia="黑体" w:cs="黑体"/>
          <w:sz w:val="24"/>
        </w:rPr>
        <w:fldChar w:fldCharType="separate"/>
      </w:r>
      <w:r>
        <w:rPr>
          <w:rFonts w:hint="eastAsia" w:ascii="黑体" w:hAnsi="黑体" w:eastAsia="黑体" w:cs="黑体"/>
          <w:sz w:val="24"/>
        </w:rPr>
        <w:t>1</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"_Toc2741" </w:instrText>
      </w:r>
      <w:r>
        <w:fldChar w:fldCharType="separate"/>
      </w:r>
      <w:r>
        <w:rPr>
          <w:rFonts w:hint="eastAsia" w:ascii="黑体" w:hAnsi="黑体" w:eastAsia="黑体" w:cs="黑体"/>
          <w:bCs/>
          <w:sz w:val="24"/>
        </w:rPr>
        <w:t>一、询价条件</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_Toc2741 </w:instrText>
      </w:r>
      <w:r>
        <w:rPr>
          <w:rFonts w:hint="eastAsia" w:ascii="黑体" w:hAnsi="黑体" w:eastAsia="黑体" w:cs="黑体"/>
          <w:sz w:val="24"/>
        </w:rPr>
        <w:fldChar w:fldCharType="separate"/>
      </w:r>
      <w:r>
        <w:rPr>
          <w:rFonts w:hint="eastAsia" w:ascii="黑体" w:hAnsi="黑体" w:eastAsia="黑体" w:cs="黑体"/>
          <w:sz w:val="24"/>
        </w:rPr>
        <w:t>1</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"_Toc26182" </w:instrText>
      </w:r>
      <w:r>
        <w:fldChar w:fldCharType="separate"/>
      </w:r>
      <w:r>
        <w:rPr>
          <w:rFonts w:hint="eastAsia" w:ascii="黑体" w:hAnsi="黑体" w:eastAsia="黑体" w:cs="黑体"/>
          <w:bCs/>
          <w:sz w:val="24"/>
        </w:rPr>
        <w:t>二、施工内容及要求</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_Toc26182 </w:instrText>
      </w:r>
      <w:r>
        <w:rPr>
          <w:rFonts w:hint="eastAsia" w:ascii="黑体" w:hAnsi="黑体" w:eastAsia="黑体" w:cs="黑体"/>
          <w:sz w:val="24"/>
        </w:rPr>
        <w:fldChar w:fldCharType="separate"/>
      </w:r>
      <w:r>
        <w:rPr>
          <w:rFonts w:hint="eastAsia" w:ascii="黑体" w:hAnsi="黑体" w:eastAsia="黑体" w:cs="黑体"/>
          <w:sz w:val="24"/>
        </w:rPr>
        <w:t>1</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"_Toc24780" </w:instrText>
      </w:r>
      <w:r>
        <w:fldChar w:fldCharType="separate"/>
      </w:r>
      <w:r>
        <w:rPr>
          <w:rFonts w:hint="eastAsia" w:ascii="黑体" w:hAnsi="黑体" w:eastAsia="黑体" w:cs="黑体"/>
          <w:bCs/>
          <w:sz w:val="24"/>
        </w:rPr>
        <w:t>三、本次询价的控制价上限及要求</w:t>
      </w:r>
      <w:r>
        <w:rPr>
          <w:rFonts w:hint="eastAsia" w:ascii="黑体" w:hAnsi="黑体" w:eastAsia="黑体" w:cs="黑体"/>
          <w:sz w:val="24"/>
        </w:rPr>
        <w:tab/>
      </w:r>
      <w:r>
        <w:rPr>
          <w:rFonts w:hint="eastAsia" w:ascii="黑体" w:hAnsi="黑体" w:eastAsia="黑体" w:cs="黑体"/>
          <w:sz w:val="24"/>
          <w:lang w:val="en-US" w:eastAsia="zh-CN"/>
        </w:rPr>
        <w:t>2</w:t>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"_Toc5310" </w:instrText>
      </w:r>
      <w:r>
        <w:fldChar w:fldCharType="separate"/>
      </w:r>
      <w:r>
        <w:rPr>
          <w:rFonts w:hint="eastAsia" w:ascii="黑体" w:hAnsi="黑体" w:eastAsia="黑体" w:cs="黑体"/>
          <w:bCs/>
          <w:sz w:val="24"/>
        </w:rPr>
        <w:t>四、费用的支付</w:t>
      </w:r>
      <w:r>
        <w:rPr>
          <w:rFonts w:hint="eastAsia" w:ascii="黑体" w:hAnsi="黑体" w:eastAsia="黑体" w:cs="黑体"/>
          <w:sz w:val="24"/>
        </w:rPr>
        <w:tab/>
      </w:r>
      <w:r>
        <w:rPr>
          <w:rFonts w:hint="eastAsia" w:ascii="黑体" w:hAnsi="黑体" w:eastAsia="黑体" w:cs="黑体"/>
          <w:sz w:val="24"/>
          <w:lang w:val="en-US" w:eastAsia="zh-CN"/>
        </w:rPr>
        <w:t>2</w:t>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"_Toc27847" </w:instrText>
      </w:r>
      <w:r>
        <w:fldChar w:fldCharType="separate"/>
      </w:r>
      <w:r>
        <w:rPr>
          <w:rFonts w:hint="eastAsia" w:ascii="黑体" w:hAnsi="黑体" w:eastAsia="黑体" w:cs="黑体"/>
          <w:bCs/>
          <w:sz w:val="24"/>
        </w:rPr>
        <w:t>五、报价方资格要求</w:t>
      </w:r>
      <w:r>
        <w:rPr>
          <w:rFonts w:hint="eastAsia" w:ascii="黑体" w:hAnsi="黑体" w:eastAsia="黑体" w:cs="黑体"/>
          <w:sz w:val="24"/>
        </w:rPr>
        <w:tab/>
      </w:r>
      <w:r>
        <w:rPr>
          <w:rFonts w:hint="eastAsia" w:ascii="黑体" w:hAnsi="黑体" w:eastAsia="黑体" w:cs="黑体"/>
          <w:sz w:val="24"/>
          <w:lang w:val="en-US" w:eastAsia="zh-CN"/>
        </w:rPr>
        <w:t>2</w:t>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"_Toc11704" </w:instrText>
      </w:r>
      <w:r>
        <w:fldChar w:fldCharType="separate"/>
      </w:r>
      <w:r>
        <w:rPr>
          <w:rFonts w:hint="eastAsia" w:ascii="黑体" w:hAnsi="黑体" w:eastAsia="黑体" w:cs="黑体"/>
          <w:bCs/>
          <w:sz w:val="24"/>
        </w:rPr>
        <w:t>六、报价文件组成</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_Toc11704 </w:instrText>
      </w:r>
      <w:r>
        <w:rPr>
          <w:rFonts w:hint="eastAsia" w:ascii="黑体" w:hAnsi="黑体" w:eastAsia="黑体" w:cs="黑体"/>
          <w:sz w:val="24"/>
        </w:rPr>
        <w:fldChar w:fldCharType="separate"/>
      </w:r>
      <w:r>
        <w:rPr>
          <w:rFonts w:hint="eastAsia" w:ascii="黑体" w:hAnsi="黑体" w:eastAsia="黑体" w:cs="黑体"/>
          <w:sz w:val="24"/>
        </w:rPr>
        <w:t>2</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"_Toc25011" </w:instrText>
      </w:r>
      <w:r>
        <w:fldChar w:fldCharType="separate"/>
      </w:r>
      <w:r>
        <w:rPr>
          <w:rFonts w:hint="eastAsia" w:ascii="黑体" w:hAnsi="黑体" w:eastAsia="黑体" w:cs="黑体"/>
          <w:bCs/>
          <w:sz w:val="24"/>
        </w:rPr>
        <w:t>七、公告媒介、采购文件获取时间及方式</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_Toc25011 </w:instrText>
      </w:r>
      <w:r>
        <w:rPr>
          <w:rFonts w:hint="eastAsia" w:ascii="黑体" w:hAnsi="黑体" w:eastAsia="黑体" w:cs="黑体"/>
          <w:sz w:val="24"/>
        </w:rPr>
        <w:fldChar w:fldCharType="separate"/>
      </w:r>
      <w:r>
        <w:rPr>
          <w:rFonts w:hint="eastAsia" w:ascii="黑体" w:hAnsi="黑体" w:eastAsia="黑体" w:cs="黑体"/>
          <w:sz w:val="24"/>
        </w:rPr>
        <w:t>3</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"_Toc11149" </w:instrText>
      </w:r>
      <w:r>
        <w:fldChar w:fldCharType="separate"/>
      </w:r>
      <w:r>
        <w:rPr>
          <w:rFonts w:hint="eastAsia" w:ascii="黑体" w:hAnsi="黑体" w:eastAsia="黑体" w:cs="黑体"/>
          <w:bCs/>
          <w:sz w:val="24"/>
        </w:rPr>
        <w:t>八、报价文件的密封和标识</w:t>
      </w:r>
      <w:r>
        <w:rPr>
          <w:rFonts w:hint="eastAsia" w:ascii="黑体" w:hAnsi="黑体" w:eastAsia="黑体" w:cs="黑体"/>
          <w:sz w:val="24"/>
        </w:rPr>
        <w:tab/>
      </w:r>
      <w:r>
        <w:rPr>
          <w:rFonts w:hint="eastAsia" w:ascii="黑体" w:hAnsi="黑体" w:eastAsia="黑体" w:cs="黑体"/>
          <w:sz w:val="24"/>
          <w:lang w:val="en-US" w:eastAsia="zh-CN"/>
        </w:rPr>
        <w:t>3</w:t>
      </w:r>
      <w:r>
        <w:rPr>
          <w:rFonts w:hint="eastAsia" w:ascii="黑体" w:hAnsi="黑体" w:eastAsia="黑体" w:cs="黑体"/>
          <w:sz w:val="24"/>
        </w:rPr>
        <w:fldChar w:fldCharType="end"/>
      </w:r>
    </w:p>
    <w:p>
      <w:pPr>
        <w:pStyle w:val="21"/>
        <w:tabs>
          <w:tab w:val="right" w:leader="dot" w:pos="9070"/>
        </w:tabs>
        <w:rPr>
          <w:rFonts w:hint="eastAsia" w:eastAsia="黑体"/>
          <w:lang w:eastAsia="zh-CN"/>
        </w:rPr>
      </w:pPr>
      <w:r>
        <w:rPr>
          <w:rFonts w:hint="eastAsia" w:ascii="黑体" w:hAnsi="黑体" w:eastAsia="黑体" w:cs="黑体"/>
          <w:bCs/>
          <w:sz w:val="24"/>
        </w:rPr>
        <w:t>九、询价保证金</w:t>
      </w:r>
      <w:r>
        <w:rPr>
          <w:rFonts w:hint="eastAsia" w:ascii="黑体" w:hAnsi="黑体" w:eastAsia="黑体" w:cs="黑体"/>
          <w:sz w:val="24"/>
        </w:rPr>
        <w:tab/>
      </w:r>
      <w:r>
        <w:rPr>
          <w:rFonts w:hint="eastAsia" w:ascii="黑体" w:hAnsi="黑体" w:eastAsia="黑体" w:cs="黑体"/>
          <w:sz w:val="24"/>
          <w:lang w:val="en-US" w:eastAsia="zh-CN"/>
        </w:rPr>
        <w:t>3</w:t>
      </w:r>
    </w:p>
    <w:p>
      <w:pPr>
        <w:pStyle w:val="21"/>
        <w:tabs>
          <w:tab w:val="right" w:leader="dot" w:pos="9070"/>
        </w:tabs>
        <w:rPr>
          <w:rFonts w:hint="eastAsia" w:ascii="黑体" w:hAnsi="黑体" w:eastAsia="黑体" w:cs="黑体"/>
          <w:bCs/>
          <w:sz w:val="24"/>
          <w:lang w:eastAsia="zh-CN"/>
        </w:rPr>
      </w:pPr>
      <w:r>
        <w:rPr>
          <w:rFonts w:hint="eastAsia"/>
        </w:rPr>
        <w:fldChar w:fldCharType="begin"/>
      </w:r>
      <w:r>
        <w:instrText xml:space="preserve"> HYPERLINK \l "_Toc32272" </w:instrText>
      </w:r>
      <w:r>
        <w:rPr>
          <w:rFonts w:hint="eastAsia"/>
        </w:rPr>
        <w:fldChar w:fldCharType="separate"/>
      </w:r>
      <w:r>
        <w:rPr>
          <w:rFonts w:hint="eastAsia" w:ascii="黑体" w:hAnsi="黑体" w:eastAsia="黑体" w:cs="黑体"/>
          <w:bCs/>
          <w:sz w:val="24"/>
        </w:rPr>
        <w:t>十、报价文件的递交及相关事宜</w:t>
      </w:r>
      <w:r>
        <w:rPr>
          <w:rFonts w:hint="eastAsia" w:ascii="黑体" w:hAnsi="黑体" w:eastAsia="黑体" w:cs="黑体"/>
          <w:sz w:val="24"/>
        </w:rPr>
        <w:tab/>
      </w:r>
      <w:r>
        <w:rPr>
          <w:rFonts w:hint="eastAsia" w:ascii="黑体" w:hAnsi="黑体" w:eastAsia="黑体" w:cs="黑体"/>
          <w:sz w:val="24"/>
          <w:lang w:val="en-US" w:eastAsia="zh-CN"/>
        </w:rPr>
        <w:t>4</w:t>
      </w:r>
    </w:p>
    <w:p>
      <w:pPr>
        <w:pStyle w:val="21"/>
        <w:tabs>
          <w:tab w:val="right" w:leader="dot" w:pos="9070"/>
        </w:tabs>
        <w:rPr>
          <w:rFonts w:ascii="黑体" w:hAnsi="黑体" w:eastAsia="黑体" w:cs="黑体"/>
          <w:sz w:val="24"/>
        </w:rPr>
      </w:pPr>
      <w:r>
        <w:rPr>
          <w:rFonts w:hint="eastAsia" w:ascii="黑体" w:hAnsi="黑体" w:eastAsia="黑体" w:cs="黑体"/>
          <w:bCs/>
          <w:sz w:val="24"/>
        </w:rPr>
        <w:t>十一</w:t>
      </w:r>
      <w:r>
        <w:rPr>
          <w:rFonts w:hint="eastAsia" w:ascii="黑体" w:hAnsi="黑体" w:eastAsia="黑体" w:cs="黑体"/>
          <w:bCs/>
          <w:sz w:val="24"/>
          <w:lang w:eastAsia="zh-CN"/>
        </w:rPr>
        <w:t>、</w:t>
      </w:r>
      <w:r>
        <w:rPr>
          <w:rFonts w:hint="eastAsia" w:ascii="黑体" w:hAnsi="黑体" w:eastAsia="黑体" w:cs="黑体"/>
          <w:bCs/>
          <w:sz w:val="24"/>
        </w:rPr>
        <w:t>疫情防控要求</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"_Toc4606" </w:instrText>
      </w:r>
      <w:r>
        <w:fldChar w:fldCharType="separate"/>
      </w:r>
      <w:r>
        <w:rPr>
          <w:rFonts w:hint="eastAsia" w:ascii="黑体" w:hAnsi="黑体" w:eastAsia="黑体" w:cs="黑体"/>
          <w:bCs/>
          <w:sz w:val="24"/>
        </w:rPr>
        <w:t>十二、报价文件的开启程序</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_Toc4606 </w:instrText>
      </w:r>
      <w:r>
        <w:rPr>
          <w:rFonts w:hint="eastAsia" w:ascii="黑体" w:hAnsi="黑体" w:eastAsia="黑体" w:cs="黑体"/>
          <w:sz w:val="24"/>
        </w:rPr>
        <w:fldChar w:fldCharType="separate"/>
      </w:r>
      <w:r>
        <w:rPr>
          <w:rFonts w:hint="eastAsia" w:ascii="黑体" w:hAnsi="黑体" w:eastAsia="黑体" w:cs="黑体"/>
          <w:sz w:val="24"/>
        </w:rPr>
        <w:t>4</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"_Toc8386" </w:instrText>
      </w:r>
      <w:r>
        <w:fldChar w:fldCharType="separate"/>
      </w:r>
      <w:r>
        <w:rPr>
          <w:rFonts w:hint="eastAsia" w:ascii="黑体" w:hAnsi="黑体" w:eastAsia="黑体" w:cs="黑体"/>
          <w:bCs/>
          <w:sz w:val="24"/>
        </w:rPr>
        <w:t>十三、公示</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"_Toc3582" </w:instrText>
      </w:r>
      <w:r>
        <w:fldChar w:fldCharType="separate"/>
      </w:r>
      <w:r>
        <w:rPr>
          <w:rFonts w:hint="eastAsia" w:ascii="黑体" w:hAnsi="黑体" w:eastAsia="黑体" w:cs="黑体"/>
          <w:bCs/>
          <w:sz w:val="24"/>
        </w:rPr>
        <w:t>十四、</w:t>
      </w:r>
      <w:r>
        <w:rPr>
          <w:rFonts w:hint="eastAsia" w:ascii="黑体" w:hAnsi="黑体" w:eastAsia="黑体" w:cs="黑体"/>
          <w:bCs/>
          <w:sz w:val="24"/>
          <w:lang w:val="en-US" w:eastAsia="zh-CN"/>
        </w:rPr>
        <w:t>地址及</w:t>
      </w:r>
      <w:r>
        <w:rPr>
          <w:rFonts w:hint="eastAsia" w:ascii="黑体" w:hAnsi="黑体" w:eastAsia="黑体" w:cs="黑体"/>
          <w:bCs/>
          <w:sz w:val="24"/>
        </w:rPr>
        <w:t>联系方式</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"_Toc19995" </w:instrText>
      </w:r>
      <w:r>
        <w:fldChar w:fldCharType="separate"/>
      </w:r>
      <w:r>
        <w:rPr>
          <w:rFonts w:hint="eastAsia" w:ascii="黑体" w:hAnsi="黑体" w:eastAsia="黑体" w:cs="黑体"/>
          <w:bCs/>
          <w:sz w:val="24"/>
        </w:rPr>
        <w:t>十五、监督部门及联系方式</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_Toc19995 </w:instrText>
      </w:r>
      <w:r>
        <w:rPr>
          <w:rFonts w:hint="eastAsia" w:ascii="黑体" w:hAnsi="黑体" w:eastAsia="黑体" w:cs="黑体"/>
          <w:sz w:val="24"/>
        </w:rPr>
        <w:fldChar w:fldCharType="separate"/>
      </w:r>
      <w:r>
        <w:rPr>
          <w:rFonts w:hint="eastAsia" w:ascii="黑体" w:hAnsi="黑体" w:eastAsia="黑体" w:cs="黑体"/>
          <w:sz w:val="24"/>
        </w:rPr>
        <w:t>4</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0"/>
        <w:tabs>
          <w:tab w:val="right" w:leader="dot" w:pos="9070"/>
        </w:tabs>
        <w:rPr>
          <w:rFonts w:ascii="黑体" w:hAnsi="黑体" w:eastAsia="黑体" w:cs="黑体"/>
          <w:sz w:val="24"/>
        </w:rPr>
      </w:pPr>
      <w:r>
        <w:fldChar w:fldCharType="begin"/>
      </w:r>
      <w:r>
        <w:instrText xml:space="preserve"> HYPERLINK \l "_Toc14594" </w:instrText>
      </w:r>
      <w:r>
        <w:fldChar w:fldCharType="separate"/>
      </w:r>
      <w:r>
        <w:rPr>
          <w:rFonts w:hint="eastAsia" w:ascii="黑体" w:hAnsi="黑体" w:eastAsia="黑体" w:cs="黑体"/>
          <w:sz w:val="24"/>
        </w:rPr>
        <w:t>第二章 评审办法</w:t>
      </w:r>
      <w:r>
        <w:rPr>
          <w:rFonts w:hint="eastAsia" w:ascii="黑体" w:hAnsi="黑体" w:eastAsia="黑体" w:cs="黑体"/>
          <w:sz w:val="24"/>
        </w:rPr>
        <w:tab/>
      </w:r>
      <w:r>
        <w:rPr>
          <w:rFonts w:hint="eastAsia" w:ascii="黑体" w:hAnsi="黑体" w:eastAsia="黑体" w:cs="黑体"/>
          <w:sz w:val="24"/>
          <w:lang w:val="en-US" w:eastAsia="zh-CN"/>
        </w:rPr>
        <w:t>5</w:t>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"_Toc28294" </w:instrText>
      </w:r>
      <w:r>
        <w:fldChar w:fldCharType="separate"/>
      </w:r>
      <w:r>
        <w:rPr>
          <w:rFonts w:hint="eastAsia" w:ascii="黑体" w:hAnsi="黑体" w:eastAsia="黑体" w:cs="黑体"/>
          <w:sz w:val="24"/>
        </w:rPr>
        <w:t>一、评审方法</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_Toc28294 </w:instrText>
      </w:r>
      <w:r>
        <w:rPr>
          <w:rFonts w:hint="eastAsia" w:ascii="黑体" w:hAnsi="黑体" w:eastAsia="黑体" w:cs="黑体"/>
          <w:sz w:val="24"/>
        </w:rPr>
        <w:fldChar w:fldCharType="separate"/>
      </w:r>
      <w:r>
        <w:rPr>
          <w:rFonts w:hint="eastAsia" w:ascii="黑体" w:hAnsi="黑体" w:eastAsia="黑体" w:cs="黑体"/>
          <w:sz w:val="24"/>
        </w:rPr>
        <w:t>5</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"_Toc17281" </w:instrText>
      </w:r>
      <w:r>
        <w:fldChar w:fldCharType="separate"/>
      </w:r>
      <w:r>
        <w:rPr>
          <w:rFonts w:hint="eastAsia" w:ascii="黑体" w:hAnsi="黑体" w:eastAsia="黑体" w:cs="黑体"/>
          <w:sz w:val="24"/>
        </w:rPr>
        <w:t>二、形式、响应及资格评审标准</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_Toc17281 </w:instrText>
      </w:r>
      <w:r>
        <w:rPr>
          <w:rFonts w:hint="eastAsia" w:ascii="黑体" w:hAnsi="黑体" w:eastAsia="黑体" w:cs="黑体"/>
          <w:sz w:val="24"/>
        </w:rPr>
        <w:fldChar w:fldCharType="separate"/>
      </w:r>
      <w:r>
        <w:rPr>
          <w:rFonts w:hint="eastAsia" w:ascii="黑体" w:hAnsi="黑体" w:eastAsia="黑体" w:cs="黑体"/>
          <w:sz w:val="24"/>
        </w:rPr>
        <w:t>5</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"_Toc7019" </w:instrText>
      </w:r>
      <w:r>
        <w:fldChar w:fldCharType="separate"/>
      </w:r>
      <w:r>
        <w:rPr>
          <w:rFonts w:hint="eastAsia" w:ascii="黑体" w:hAnsi="黑体" w:eastAsia="黑体" w:cs="黑体"/>
          <w:sz w:val="24"/>
        </w:rPr>
        <w:t>三、评审程序</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_Toc7019 </w:instrText>
      </w:r>
      <w:r>
        <w:rPr>
          <w:rFonts w:hint="eastAsia" w:ascii="黑体" w:hAnsi="黑体" w:eastAsia="黑体" w:cs="黑体"/>
          <w:sz w:val="24"/>
        </w:rPr>
        <w:fldChar w:fldCharType="separate"/>
      </w:r>
      <w:r>
        <w:rPr>
          <w:rFonts w:hint="eastAsia" w:ascii="黑体" w:hAnsi="黑体" w:eastAsia="黑体" w:cs="黑体"/>
          <w:sz w:val="24"/>
        </w:rPr>
        <w:t>5</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0"/>
        <w:tabs>
          <w:tab w:val="right" w:leader="dot" w:pos="9070"/>
        </w:tabs>
        <w:rPr>
          <w:rFonts w:ascii="黑体" w:hAnsi="黑体" w:eastAsia="黑体" w:cs="黑体"/>
          <w:sz w:val="24"/>
        </w:rPr>
      </w:pPr>
      <w:r>
        <w:fldChar w:fldCharType="begin"/>
      </w:r>
      <w:r>
        <w:instrText xml:space="preserve"> HYPERLINK \l "_Toc10444" </w:instrText>
      </w:r>
      <w:r>
        <w:fldChar w:fldCharType="separate"/>
      </w:r>
      <w:r>
        <w:rPr>
          <w:rFonts w:hint="eastAsia" w:ascii="黑体" w:hAnsi="黑体" w:eastAsia="黑体" w:cs="黑体"/>
          <w:sz w:val="24"/>
        </w:rPr>
        <w:t>第三章 响应文件格式</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_Toc10444 </w:instrText>
      </w:r>
      <w:r>
        <w:rPr>
          <w:rFonts w:hint="eastAsia" w:ascii="黑体" w:hAnsi="黑体" w:eastAsia="黑体" w:cs="黑体"/>
          <w:sz w:val="24"/>
        </w:rPr>
        <w:fldChar w:fldCharType="separate"/>
      </w:r>
      <w:r>
        <w:rPr>
          <w:rFonts w:hint="eastAsia" w:ascii="黑体" w:hAnsi="黑体" w:eastAsia="黑体" w:cs="黑体"/>
          <w:sz w:val="24"/>
        </w:rPr>
        <w:t>6</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"_Toc13370" </w:instrText>
      </w:r>
      <w:r>
        <w:fldChar w:fldCharType="separate"/>
      </w:r>
      <w:r>
        <w:rPr>
          <w:rFonts w:hint="eastAsia" w:ascii="黑体" w:hAnsi="黑体" w:eastAsia="黑体" w:cs="黑体"/>
          <w:sz w:val="24"/>
        </w:rPr>
        <w:t>授权委托书</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_Toc13370 </w:instrText>
      </w:r>
      <w:r>
        <w:rPr>
          <w:rFonts w:hint="eastAsia" w:ascii="黑体" w:hAnsi="黑体" w:eastAsia="黑体" w:cs="黑体"/>
          <w:sz w:val="24"/>
        </w:rPr>
        <w:fldChar w:fldCharType="separate"/>
      </w:r>
      <w:r>
        <w:rPr>
          <w:rFonts w:hint="eastAsia" w:ascii="黑体" w:hAnsi="黑体" w:eastAsia="黑体" w:cs="黑体"/>
          <w:sz w:val="24"/>
        </w:rPr>
        <w:t>6</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"_Toc24176" </w:instrText>
      </w:r>
      <w:r>
        <w:fldChar w:fldCharType="separate"/>
      </w:r>
      <w:r>
        <w:rPr>
          <w:rFonts w:hint="eastAsia" w:ascii="黑体" w:hAnsi="黑体" w:eastAsia="黑体" w:cs="黑体"/>
          <w:sz w:val="24"/>
        </w:rPr>
        <w:t>报  价  函</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_Toc24176 </w:instrText>
      </w:r>
      <w:r>
        <w:rPr>
          <w:rFonts w:hint="eastAsia" w:ascii="黑体" w:hAnsi="黑体" w:eastAsia="黑体" w:cs="黑体"/>
          <w:sz w:val="24"/>
        </w:rPr>
        <w:fldChar w:fldCharType="separate"/>
      </w:r>
      <w:r>
        <w:rPr>
          <w:rFonts w:hint="eastAsia" w:ascii="黑体" w:hAnsi="黑体" w:eastAsia="黑体" w:cs="黑体"/>
          <w:sz w:val="24"/>
        </w:rPr>
        <w:t>7</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21"/>
        <w:tabs>
          <w:tab w:val="right" w:leader="dot" w:pos="9070"/>
        </w:tabs>
        <w:rPr>
          <w:rFonts w:ascii="黑体" w:hAnsi="黑体" w:eastAsia="黑体" w:cs="黑体"/>
          <w:sz w:val="24"/>
        </w:rPr>
      </w:pPr>
      <w:r>
        <w:fldChar w:fldCharType="begin"/>
      </w:r>
      <w:r>
        <w:instrText xml:space="preserve"> HYPERLINK \l "_Toc17328" </w:instrText>
      </w:r>
      <w:r>
        <w:fldChar w:fldCharType="separate"/>
      </w:r>
      <w:r>
        <w:rPr>
          <w:rFonts w:hint="eastAsia" w:ascii="黑体" w:hAnsi="黑体" w:eastAsia="黑体" w:cs="黑体"/>
          <w:bCs/>
          <w:sz w:val="24"/>
        </w:rPr>
        <w:t>信誉承诺表</w:t>
      </w:r>
      <w:r>
        <w:rPr>
          <w:rFonts w:hint="eastAsia" w:ascii="黑体" w:hAnsi="黑体" w:eastAsia="黑体" w:cs="黑体"/>
          <w:sz w:val="24"/>
        </w:rPr>
        <w:tab/>
      </w:r>
      <w:r>
        <w:rPr>
          <w:rFonts w:hint="eastAsia" w:ascii="黑体" w:hAnsi="黑体" w:eastAsia="黑体" w:cs="黑体"/>
          <w:sz w:val="24"/>
          <w:lang w:val="en-US" w:eastAsia="zh-CN"/>
        </w:rPr>
        <w:t>9</w:t>
      </w:r>
      <w:r>
        <w:rPr>
          <w:rFonts w:hint="eastAsia" w:ascii="黑体" w:hAnsi="黑体" w:eastAsia="黑体" w:cs="黑体"/>
          <w:sz w:val="24"/>
        </w:rPr>
        <w:fldChar w:fldCharType="end"/>
      </w:r>
    </w:p>
    <w:p>
      <w:pPr>
        <w:pStyle w:val="21"/>
        <w:tabs>
          <w:tab w:val="right" w:leader="dot" w:pos="9070"/>
        </w:tabs>
        <w:rPr>
          <w:rFonts w:hint="eastAsia" w:ascii="黑体" w:hAnsi="黑体" w:eastAsia="黑体" w:cs="黑体"/>
          <w:sz w:val="24"/>
          <w:lang w:val="en-US" w:eastAsia="zh-CN"/>
        </w:rPr>
      </w:pPr>
      <w:r>
        <w:fldChar w:fldCharType="begin"/>
      </w:r>
      <w:r>
        <w:instrText xml:space="preserve"> HYPERLINK \l "_Toc20272" </w:instrText>
      </w:r>
      <w:r>
        <w:fldChar w:fldCharType="separate"/>
      </w:r>
      <w:r>
        <w:rPr>
          <w:rFonts w:hint="eastAsia" w:ascii="黑体" w:hAnsi="黑体" w:eastAsia="黑体" w:cs="黑体"/>
          <w:bCs/>
          <w:sz w:val="24"/>
        </w:rPr>
        <w:t>其它资料</w:t>
      </w:r>
      <w:r>
        <w:rPr>
          <w:rFonts w:hint="eastAsia" w:ascii="黑体" w:hAnsi="黑体" w:eastAsia="黑体" w:cs="黑体"/>
          <w:sz w:val="24"/>
        </w:rPr>
        <w:tab/>
      </w:r>
      <w:r>
        <w:rPr>
          <w:rFonts w:hint="eastAsia" w:ascii="黑体" w:hAnsi="黑体" w:eastAsia="黑体" w:cs="黑体"/>
          <w:sz w:val="24"/>
          <w:lang w:val="en-US" w:eastAsia="zh-CN"/>
        </w:rPr>
        <w:t>1</w:t>
      </w:r>
      <w:r>
        <w:rPr>
          <w:rFonts w:hint="eastAsia" w:ascii="黑体" w:hAnsi="黑体" w:eastAsia="黑体" w:cs="黑体"/>
          <w:sz w:val="24"/>
        </w:rPr>
        <w:fldChar w:fldCharType="end"/>
      </w:r>
      <w:r>
        <w:rPr>
          <w:rFonts w:hint="eastAsia" w:ascii="黑体" w:hAnsi="黑体" w:eastAsia="黑体" w:cs="黑体"/>
          <w:sz w:val="24"/>
          <w:lang w:val="en-US" w:eastAsia="zh-CN"/>
        </w:rPr>
        <w:t>0</w:t>
      </w:r>
    </w:p>
    <w:p>
      <w:pPr>
        <w:pStyle w:val="2"/>
        <w:sectPr>
          <w:footerReference r:id="rId3" w:type="default"/>
          <w:pgSz w:w="11906" w:h="16838"/>
          <w:pgMar w:top="1418" w:right="1418" w:bottom="1021" w:left="1418" w:header="851" w:footer="992" w:gutter="0"/>
          <w:pgNumType w:start="1"/>
          <w:cols w:space="720" w:num="1"/>
          <w:titlePg/>
          <w:docGrid w:type="lines" w:linePitch="312" w:charSpace="0"/>
        </w:sectPr>
      </w:pPr>
      <w:r>
        <w:rPr>
          <w:rFonts w:hint="eastAsia" w:ascii="黑体" w:hAnsi="黑体" w:eastAsia="黑体" w:cs="黑体"/>
          <w:sz w:val="24"/>
        </w:rPr>
        <w:fldChar w:fldCharType="end"/>
      </w:r>
    </w:p>
    <w:p>
      <w:pPr>
        <w:spacing w:line="420" w:lineRule="exact"/>
        <w:jc w:val="center"/>
        <w:outlineLvl w:val="0"/>
        <w:rPr>
          <w:b/>
          <w:sz w:val="36"/>
          <w:szCs w:val="36"/>
        </w:rPr>
      </w:pPr>
      <w:bookmarkStart w:id="0" w:name="_Toc32020"/>
      <w:bookmarkStart w:id="1" w:name="_Toc9732"/>
      <w:bookmarkStart w:id="2" w:name="_Toc28027"/>
      <w:bookmarkStart w:id="3" w:name="_Toc27127"/>
      <w:r>
        <w:rPr>
          <w:rFonts w:hint="eastAsia"/>
          <w:b/>
          <w:sz w:val="36"/>
          <w:szCs w:val="36"/>
        </w:rPr>
        <w:t>第一章 询价公告</w:t>
      </w:r>
      <w:bookmarkEnd w:id="0"/>
      <w:bookmarkEnd w:id="1"/>
      <w:bookmarkEnd w:id="2"/>
      <w:bookmarkEnd w:id="3"/>
    </w:p>
    <w:p>
      <w:pPr>
        <w:spacing w:line="420" w:lineRule="exact"/>
        <w:jc w:val="center"/>
        <w:rPr>
          <w:b/>
          <w:sz w:val="36"/>
          <w:szCs w:val="36"/>
        </w:rPr>
      </w:pPr>
      <w:bookmarkStart w:id="4" w:name="_Toc7965"/>
      <w:bookmarkStart w:id="5" w:name="_Toc13534"/>
      <w:r>
        <w:rPr>
          <w:rFonts w:hint="eastAsia"/>
          <w:b/>
          <w:sz w:val="36"/>
          <w:szCs w:val="36"/>
        </w:rPr>
        <w:t>江西联兴公路工程有限公司</w:t>
      </w:r>
    </w:p>
    <w:p>
      <w:pPr>
        <w:spacing w:line="420" w:lineRule="exact"/>
        <w:jc w:val="center"/>
        <w:rPr>
          <w:rFonts w:hint="eastAsia"/>
          <w:b/>
          <w:sz w:val="36"/>
          <w:szCs w:val="36"/>
        </w:rPr>
      </w:pPr>
      <w:r>
        <w:rPr>
          <w:rFonts w:hint="eastAsia"/>
          <w:b/>
          <w:sz w:val="36"/>
          <w:szCs w:val="36"/>
        </w:rPr>
        <w:t>2022年大广龙杨高速公路隧道渗水漏水处治工程劳务询价公告</w:t>
      </w:r>
      <w:bookmarkEnd w:id="4"/>
      <w:bookmarkEnd w:id="5"/>
    </w:p>
    <w:p>
      <w:pPr>
        <w:spacing w:line="420" w:lineRule="exact"/>
        <w:rPr>
          <w:rFonts w:ascii="宋体" w:hAnsi="宋体"/>
          <w:b/>
          <w:sz w:val="24"/>
        </w:rPr>
      </w:pPr>
    </w:p>
    <w:p>
      <w:pPr>
        <w:spacing w:line="420" w:lineRule="exact"/>
        <w:ind w:firstLine="482" w:firstLineChars="200"/>
        <w:outlineLvl w:val="1"/>
        <w:rPr>
          <w:rFonts w:ascii="宋体" w:hAnsi="宋体" w:cs="宋体"/>
          <w:b/>
          <w:bCs w:val="0"/>
          <w:sz w:val="24"/>
        </w:rPr>
      </w:pPr>
      <w:bookmarkStart w:id="6" w:name="_Toc2741"/>
      <w:r>
        <w:rPr>
          <w:rFonts w:hint="eastAsia" w:ascii="宋体" w:hAnsi="宋体" w:cs="宋体"/>
          <w:b/>
          <w:bCs w:val="0"/>
          <w:sz w:val="24"/>
        </w:rPr>
        <w:t>一、询价条件</w:t>
      </w:r>
      <w:bookmarkEnd w:id="6"/>
    </w:p>
    <w:p>
      <w:pPr>
        <w:spacing w:line="420" w:lineRule="exact"/>
        <w:ind w:firstLine="480" w:firstLineChars="200"/>
        <w:jc w:val="left"/>
        <w:rPr>
          <w:rFonts w:ascii="宋体" w:hAnsi="宋体"/>
          <w:bCs/>
          <w:sz w:val="24"/>
        </w:rPr>
      </w:pPr>
      <w:bookmarkStart w:id="7" w:name="_Toc26182"/>
      <w:r>
        <w:rPr>
          <w:rFonts w:hint="eastAsia" w:ascii="宋体" w:hAnsi="宋体"/>
          <w:bCs/>
          <w:sz w:val="24"/>
        </w:rPr>
        <w:t>本次询价项目名称：2022年大广龙杨高速公路隧道渗水漏水处治工程劳务。合同签订人: 江西联兴公路工程有限公司，资金来源为自有资金，该项目已具备施工条件，现对该项目进行</w:t>
      </w:r>
      <w:r>
        <w:rPr>
          <w:rFonts w:ascii="宋体" w:hAnsi="宋体"/>
          <w:bCs/>
          <w:sz w:val="24"/>
        </w:rPr>
        <w:t>公开询价</w:t>
      </w:r>
      <w:r>
        <w:rPr>
          <w:rFonts w:hint="eastAsia" w:ascii="宋体" w:hAnsi="宋体"/>
          <w:bCs/>
          <w:sz w:val="24"/>
        </w:rPr>
        <w:t>。</w:t>
      </w:r>
    </w:p>
    <w:bookmarkEnd w:id="7"/>
    <w:p>
      <w:pPr>
        <w:numPr>
          <w:ilvl w:val="0"/>
          <w:numId w:val="1"/>
        </w:numPr>
        <w:spacing w:line="480" w:lineRule="auto"/>
        <w:ind w:firstLine="482" w:firstLineChars="200"/>
        <w:outlineLvl w:val="1"/>
        <w:rPr>
          <w:rFonts w:hint="eastAsia" w:ascii="宋体" w:hAnsi="宋体" w:cs="宋体"/>
          <w:b/>
          <w:bCs w:val="0"/>
          <w:sz w:val="24"/>
        </w:rPr>
      </w:pPr>
      <w:r>
        <w:rPr>
          <w:rFonts w:hint="eastAsia" w:ascii="宋体" w:hAnsi="宋体" w:cs="宋体"/>
          <w:b/>
          <w:bCs w:val="0"/>
          <w:sz w:val="24"/>
        </w:rPr>
        <w:t>施工内容及要求</w:t>
      </w:r>
    </w:p>
    <w:tbl>
      <w:tblPr>
        <w:tblStyle w:val="12"/>
        <w:tblW w:w="90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340"/>
        <w:gridCol w:w="1080"/>
        <w:gridCol w:w="1438"/>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预估数量</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大广高速赣定段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最终以实际验收数量为准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面状渗漏水处治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30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一般渗漏水裂缝处治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施工缝渗漏水处治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大广高速龙杨段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点状渗漏水处治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0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面状渗漏水处治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一般渗漏水裂缝处治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施工缝渗漏水处治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环氧砂浆灌缝</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龙河高速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点状渗漏水处治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0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面状渗漏水处治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一般渗漏水裂缝处治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施工缝渗漏水处治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严重渗水处治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09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环氧砂浆灌缝</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兴赣高速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面状渗漏水处治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20" w:firstLineChars="100"/>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最终以实际验收数量为准</w:t>
            </w:r>
          </w:p>
        </w:tc>
      </w:tr>
    </w:tbl>
    <w:p>
      <w:pPr>
        <w:widowControl/>
        <w:spacing w:line="420" w:lineRule="atLeast"/>
        <w:ind w:firstLine="480" w:firstLineChars="200"/>
        <w:jc w:val="left"/>
        <w:rPr>
          <w:rFonts w:ascii="微软雅黑" w:hAnsi="微软雅黑" w:cs="宋体"/>
          <w:bCs/>
          <w:kern w:val="0"/>
          <w:sz w:val="24"/>
        </w:rPr>
      </w:pPr>
      <w:r>
        <w:rPr>
          <w:rFonts w:hint="eastAsia" w:ascii="宋体" w:hAnsi="宋体" w:cs="宋体"/>
          <w:bCs/>
          <w:kern w:val="0"/>
          <w:sz w:val="24"/>
        </w:rPr>
        <w:t>施工地点</w:t>
      </w:r>
      <w:r>
        <w:rPr>
          <w:rFonts w:hint="eastAsia" w:ascii="宋体" w:hAnsi="宋体" w:cs="宋体"/>
          <w:bCs/>
          <w:kern w:val="0"/>
          <w:sz w:val="24"/>
          <w:lang w:eastAsia="zh-CN"/>
        </w:rPr>
        <w:t>：</w:t>
      </w:r>
      <w:r>
        <w:rPr>
          <w:rFonts w:hint="eastAsia" w:ascii="宋体" w:hAnsi="宋体" w:cs="宋体"/>
          <w:bCs/>
          <w:kern w:val="0"/>
          <w:sz w:val="24"/>
        </w:rPr>
        <w:t>2022年大广龙杨高速公路隧道渗水漏水处治</w:t>
      </w:r>
      <w:r>
        <w:rPr>
          <w:rFonts w:hint="eastAsia" w:ascii="宋体" w:hAnsi="宋体" w:cs="宋体"/>
          <w:bCs/>
          <w:kern w:val="0"/>
          <w:sz w:val="24"/>
          <w:lang w:val="en-US" w:eastAsia="zh-CN"/>
        </w:rPr>
        <w:t>施工点</w:t>
      </w:r>
      <w:r>
        <w:rPr>
          <w:rFonts w:hint="eastAsia" w:ascii="宋体" w:hAnsi="宋体" w:cs="宋体"/>
          <w:bCs/>
          <w:kern w:val="0"/>
          <w:sz w:val="24"/>
          <w:lang w:eastAsia="zh-CN"/>
        </w:rPr>
        <w:t>。</w:t>
      </w:r>
    </w:p>
    <w:p>
      <w:pPr>
        <w:widowControl/>
        <w:spacing w:line="420" w:lineRule="atLeast"/>
        <w:ind w:firstLine="480" w:firstLineChars="200"/>
        <w:jc w:val="left"/>
        <w:rPr>
          <w:rFonts w:ascii="宋体" w:hAnsi="宋体"/>
          <w:bCs/>
          <w:sz w:val="24"/>
        </w:rPr>
      </w:pPr>
      <w:r>
        <w:rPr>
          <w:rFonts w:hint="eastAsia" w:ascii="宋体" w:hAnsi="宋体" w:cs="宋体"/>
          <w:bCs/>
          <w:kern w:val="0"/>
          <w:sz w:val="24"/>
        </w:rPr>
        <w:t>施工</w:t>
      </w:r>
      <w:r>
        <w:rPr>
          <w:rFonts w:hint="eastAsia" w:ascii="宋体" w:hAnsi="宋体"/>
          <w:bCs/>
          <w:sz w:val="24"/>
        </w:rPr>
        <w:t>时间：</w:t>
      </w:r>
      <w:r>
        <w:rPr>
          <w:rFonts w:hint="eastAsia" w:ascii="宋体" w:hAnsi="宋体"/>
          <w:bCs/>
          <w:sz w:val="24"/>
          <w:lang w:val="en-US" w:eastAsia="zh-CN"/>
        </w:rPr>
        <w:t>合同签订之日</w:t>
      </w:r>
      <w:r>
        <w:rPr>
          <w:rFonts w:hint="eastAsia" w:ascii="宋体" w:hAnsi="宋体"/>
          <w:bCs/>
          <w:sz w:val="24"/>
        </w:rPr>
        <w:t>至工程结束。</w:t>
      </w:r>
    </w:p>
    <w:p>
      <w:pPr>
        <w:spacing w:line="420" w:lineRule="exact"/>
        <w:ind w:firstLine="482" w:firstLineChars="200"/>
        <w:outlineLvl w:val="1"/>
        <w:rPr>
          <w:rFonts w:ascii="宋体" w:hAnsi="宋体" w:cs="宋体"/>
          <w:b/>
          <w:bCs w:val="0"/>
          <w:sz w:val="24"/>
        </w:rPr>
      </w:pPr>
      <w:bookmarkStart w:id="8" w:name="_Toc24780"/>
      <w:r>
        <w:rPr>
          <w:rFonts w:hint="eastAsia" w:ascii="宋体" w:hAnsi="宋体" w:cs="宋体"/>
          <w:b/>
          <w:bCs w:val="0"/>
          <w:sz w:val="24"/>
        </w:rPr>
        <w:t>三、本次询价的控制价上限及要求</w:t>
      </w:r>
      <w:bookmarkEnd w:id="8"/>
    </w:p>
    <w:p>
      <w:pPr>
        <w:spacing w:line="480" w:lineRule="exact"/>
        <w:ind w:firstLine="480" w:firstLineChars="200"/>
        <w:rPr>
          <w:rFonts w:ascii="宋体"/>
          <w:bCs/>
          <w:sz w:val="28"/>
          <w:szCs w:val="28"/>
        </w:rPr>
      </w:pPr>
      <w:r>
        <w:rPr>
          <w:rFonts w:hint="eastAsia" w:ascii="宋体" w:hAnsi="宋体"/>
          <w:bCs/>
          <w:sz w:val="24"/>
        </w:rPr>
        <w:t>控制价上限总价:</w:t>
      </w:r>
      <w:r>
        <w:rPr>
          <w:rFonts w:hint="eastAsia" w:ascii="宋体" w:hAnsi="宋体"/>
          <w:bCs/>
          <w:sz w:val="24"/>
          <w:lang w:val="en-US" w:eastAsia="zh-CN"/>
        </w:rPr>
        <w:t>28.01</w:t>
      </w:r>
      <w:r>
        <w:rPr>
          <w:rFonts w:hint="eastAsia" w:ascii="宋体" w:hAnsi="宋体"/>
          <w:bCs/>
          <w:sz w:val="24"/>
        </w:rPr>
        <w:t>万元。</w:t>
      </w:r>
    </w:p>
    <w:p>
      <w:pPr>
        <w:spacing w:line="480" w:lineRule="exact"/>
        <w:ind w:firstLine="480" w:firstLineChars="200"/>
        <w:rPr>
          <w:rFonts w:hint="eastAsia" w:ascii="宋体" w:hAnsi="宋体"/>
          <w:bCs/>
          <w:sz w:val="24"/>
        </w:rPr>
      </w:pPr>
      <w:r>
        <w:rPr>
          <w:rFonts w:hint="eastAsia" w:ascii="宋体" w:hAnsi="宋体"/>
          <w:bCs/>
          <w:sz w:val="24"/>
        </w:rPr>
        <w:t>本报价包含实施和完成项目所需的人工、人工保险费、零星材料、</w:t>
      </w:r>
      <w:r>
        <w:rPr>
          <w:rFonts w:hint="eastAsia" w:ascii="宋体" w:hAnsi="宋体"/>
          <w:bCs/>
          <w:sz w:val="24"/>
          <w:lang w:val="en-US" w:eastAsia="zh-CN"/>
        </w:rPr>
        <w:t>施工台架、小型机械设备</w:t>
      </w:r>
      <w:r>
        <w:rPr>
          <w:rFonts w:hint="eastAsia" w:ascii="宋体" w:hAnsi="宋体"/>
          <w:bCs/>
          <w:sz w:val="24"/>
        </w:rPr>
        <w:t>、机具、质检（自检）、施工、安全维护、缺陷修复、清理、运输、过路费、管理、保险、税费、利润等一切费用，询价方不再另行支付其他费用。</w:t>
      </w:r>
    </w:p>
    <w:p>
      <w:pPr>
        <w:spacing w:line="480" w:lineRule="exact"/>
        <w:ind w:firstLine="480" w:firstLineChars="200"/>
      </w:pPr>
      <w:r>
        <w:rPr>
          <w:rFonts w:hint="eastAsia" w:ascii="宋体" w:hAnsi="宋体"/>
          <w:bCs/>
          <w:sz w:val="24"/>
        </w:rPr>
        <w:t>报价人的报价不得高于本限价，否则视为不响应询价文件，而被</w:t>
      </w:r>
      <w:r>
        <w:rPr>
          <w:rFonts w:hint="eastAsia" w:ascii="宋体" w:hAnsi="宋体"/>
          <w:bCs/>
          <w:sz w:val="24"/>
          <w:lang w:val="en-US" w:eastAsia="zh-CN"/>
        </w:rPr>
        <w:t>询价方</w:t>
      </w:r>
      <w:r>
        <w:rPr>
          <w:rFonts w:hint="eastAsia" w:ascii="宋体" w:hAnsi="宋体"/>
          <w:bCs/>
          <w:sz w:val="24"/>
        </w:rPr>
        <w:t>拒绝。</w:t>
      </w:r>
      <w:r>
        <w:rPr>
          <w:rFonts w:hint="eastAsia" w:ascii="宋体" w:hAnsi="宋体"/>
          <w:bCs/>
          <w:sz w:val="24"/>
          <w:lang w:val="en-US" w:eastAsia="zh-CN"/>
        </w:rPr>
        <w:t>本工程量清单中所列工程量数量是估算的预计数量，仅作为报价的共同基础，不能作为最终结算与支付的依据。实际支付按实际发生数量计算支付。</w:t>
      </w:r>
    </w:p>
    <w:p>
      <w:pPr>
        <w:spacing w:line="420" w:lineRule="exact"/>
        <w:ind w:firstLine="482" w:firstLineChars="200"/>
        <w:outlineLvl w:val="1"/>
        <w:rPr>
          <w:b/>
          <w:bCs w:val="0"/>
        </w:rPr>
      </w:pPr>
      <w:bookmarkStart w:id="9" w:name="_Toc5310"/>
      <w:r>
        <w:rPr>
          <w:rFonts w:hint="eastAsia" w:ascii="宋体" w:hAnsi="宋体" w:cs="宋体"/>
          <w:b/>
          <w:bCs w:val="0"/>
          <w:sz w:val="24"/>
        </w:rPr>
        <w:t>四、</w:t>
      </w:r>
      <w:bookmarkEnd w:id="9"/>
      <w:r>
        <w:rPr>
          <w:rFonts w:hint="eastAsia" w:ascii="宋体" w:hAnsi="宋体" w:cs="宋体"/>
          <w:b/>
          <w:bCs w:val="0"/>
          <w:sz w:val="24"/>
        </w:rPr>
        <w:t>费用的支付</w:t>
      </w:r>
    </w:p>
    <w:p>
      <w:pPr>
        <w:spacing w:line="480" w:lineRule="exact"/>
        <w:ind w:firstLine="480" w:firstLineChars="200"/>
        <w:rPr>
          <w:rFonts w:ascii="宋体" w:hAnsi="宋体"/>
          <w:bCs/>
          <w:sz w:val="24"/>
        </w:rPr>
      </w:pPr>
      <w:r>
        <w:rPr>
          <w:rFonts w:hint="eastAsia" w:ascii="宋体" w:hAnsi="宋体"/>
          <w:bCs/>
          <w:sz w:val="24"/>
        </w:rPr>
        <w:t>1、实际支付按验收合格的实际工程量进行结算支付。</w:t>
      </w:r>
    </w:p>
    <w:p>
      <w:pPr>
        <w:spacing w:line="480" w:lineRule="exact"/>
        <w:ind w:firstLine="480" w:firstLineChars="200"/>
        <w:rPr>
          <w:rFonts w:ascii="宋体" w:hAnsi="宋体"/>
          <w:bCs/>
          <w:sz w:val="24"/>
        </w:rPr>
      </w:pPr>
      <w:r>
        <w:rPr>
          <w:rFonts w:hint="eastAsia" w:ascii="宋体" w:hAnsi="宋体"/>
          <w:bCs/>
          <w:sz w:val="24"/>
        </w:rPr>
        <w:t>2、第1期支付：项目实施完成经验收合格后，须提供符合要求的增值税专用发票，支付实际完成工程量97%的款项。</w:t>
      </w:r>
    </w:p>
    <w:p>
      <w:pPr>
        <w:spacing w:line="480" w:lineRule="exact"/>
        <w:ind w:firstLine="480" w:firstLineChars="200"/>
        <w:rPr>
          <w:rFonts w:ascii="宋体" w:hAnsi="宋体"/>
          <w:bCs/>
          <w:sz w:val="24"/>
        </w:rPr>
      </w:pPr>
      <w:r>
        <w:rPr>
          <w:rFonts w:hint="eastAsia" w:ascii="宋体" w:hAnsi="宋体"/>
          <w:bCs/>
          <w:sz w:val="24"/>
        </w:rPr>
        <w:t>3、第2期支付：缺陷责任期壹年，期满并经验收合格后支付剩余的3%质量保证金。</w:t>
      </w:r>
    </w:p>
    <w:p>
      <w:pPr>
        <w:spacing w:line="420" w:lineRule="exact"/>
        <w:ind w:firstLine="482" w:firstLineChars="200"/>
        <w:outlineLvl w:val="1"/>
        <w:rPr>
          <w:rFonts w:ascii="宋体" w:hAnsi="宋体" w:cs="宋体"/>
          <w:b/>
          <w:bCs w:val="0"/>
          <w:sz w:val="24"/>
        </w:rPr>
      </w:pPr>
      <w:bookmarkStart w:id="10" w:name="_Toc27847"/>
      <w:r>
        <w:rPr>
          <w:rFonts w:hint="eastAsia" w:ascii="宋体" w:hAnsi="宋体" w:cs="宋体"/>
          <w:b/>
          <w:bCs w:val="0"/>
          <w:sz w:val="24"/>
        </w:rPr>
        <w:t>五、报价方资格要求</w:t>
      </w:r>
      <w:bookmarkEnd w:id="10"/>
    </w:p>
    <w:p>
      <w:pPr>
        <w:spacing w:line="480" w:lineRule="exact"/>
        <w:ind w:firstLine="480" w:firstLineChars="200"/>
        <w:rPr>
          <w:rFonts w:ascii="宋体" w:hAnsi="宋体"/>
          <w:bCs/>
          <w:sz w:val="24"/>
        </w:rPr>
      </w:pPr>
      <w:bookmarkStart w:id="11" w:name="_Toc11704"/>
      <w:r>
        <w:rPr>
          <w:rFonts w:hint="eastAsia" w:ascii="宋体" w:hAnsi="宋体"/>
          <w:bCs/>
          <w:sz w:val="24"/>
        </w:rPr>
        <w:t>1、报价方应具备独立法人资格，具有安全生产许可证，具备劳务承包相关经营范围，持有有效的营业执照，能开专用增值税发票。</w:t>
      </w:r>
    </w:p>
    <w:p>
      <w:pPr>
        <w:spacing w:line="480" w:lineRule="exact"/>
        <w:ind w:firstLine="480" w:firstLineChars="200"/>
        <w:rPr>
          <w:rFonts w:ascii="宋体" w:hAnsi="宋体"/>
          <w:bCs/>
          <w:sz w:val="24"/>
        </w:rPr>
      </w:pPr>
      <w:r>
        <w:rPr>
          <w:rFonts w:hint="eastAsia" w:ascii="宋体" w:hAnsi="宋体"/>
          <w:bCs/>
          <w:sz w:val="24"/>
        </w:rPr>
        <w:t>2、被人民法院列入失信被执行人的单位不得参与竞价。（以“信用中国”官网</w:t>
      </w:r>
      <w:r>
        <w:rPr>
          <w:rFonts w:hint="eastAsia" w:ascii="宋体" w:hAnsi="宋体"/>
          <w:bCs/>
          <w:sz w:val="24"/>
        </w:rPr>
        <w:fldChar w:fldCharType="begin"/>
      </w:r>
      <w:r>
        <w:rPr>
          <w:rFonts w:hint="eastAsia" w:ascii="宋体" w:hAnsi="宋体"/>
          <w:bCs/>
          <w:sz w:val="24"/>
        </w:rPr>
        <w:instrText xml:space="preserve"> HYPERLINK "http://www.creditchina.gov.cn" </w:instrText>
      </w:r>
      <w:r>
        <w:rPr>
          <w:rFonts w:hint="eastAsia" w:ascii="宋体" w:hAnsi="宋体"/>
          <w:bCs/>
          <w:sz w:val="24"/>
        </w:rPr>
        <w:fldChar w:fldCharType="separate"/>
      </w:r>
      <w:r>
        <w:rPr>
          <w:rFonts w:hint="eastAsia" w:ascii="宋体" w:hAnsi="宋体"/>
          <w:bCs/>
          <w:sz w:val="24"/>
        </w:rPr>
        <w:t>http://www.creditchina.gov.cn</w:t>
      </w:r>
      <w:r>
        <w:rPr>
          <w:rFonts w:hint="eastAsia" w:ascii="宋体" w:hAnsi="宋体"/>
          <w:bCs/>
          <w:sz w:val="24"/>
        </w:rPr>
        <w:fldChar w:fldCharType="end"/>
      </w:r>
      <w:r>
        <w:rPr>
          <w:rFonts w:hint="eastAsia" w:ascii="宋体" w:hAnsi="宋体"/>
          <w:bCs/>
          <w:sz w:val="24"/>
        </w:rPr>
        <w:t>查询为准）。</w:t>
      </w:r>
    </w:p>
    <w:p>
      <w:pPr>
        <w:spacing w:line="480" w:lineRule="exact"/>
        <w:ind w:firstLine="480" w:firstLineChars="200"/>
        <w:rPr>
          <w:rFonts w:ascii="宋体" w:hAnsi="宋体"/>
          <w:bCs/>
          <w:sz w:val="24"/>
        </w:rPr>
      </w:pPr>
      <w:r>
        <w:rPr>
          <w:rFonts w:hint="eastAsia" w:ascii="宋体" w:hAnsi="宋体"/>
          <w:bCs/>
          <w:sz w:val="24"/>
        </w:rPr>
        <w:t>3、近三年内，企业在经营活动中未受到过行政处罚。</w:t>
      </w:r>
    </w:p>
    <w:p>
      <w:pPr>
        <w:widowControl/>
        <w:adjustRightInd w:val="0"/>
        <w:snapToGrid w:val="0"/>
        <w:spacing w:line="288" w:lineRule="auto"/>
        <w:ind w:firstLine="482" w:firstLineChars="200"/>
        <w:rPr>
          <w:b/>
        </w:rPr>
      </w:pPr>
      <w:r>
        <w:rPr>
          <w:rFonts w:hint="eastAsia" w:ascii="宋体" w:hAnsi="宋体"/>
          <w:b/>
          <w:sz w:val="24"/>
        </w:rPr>
        <w:t>4、近两年内（2020年</w:t>
      </w:r>
      <w:r>
        <w:rPr>
          <w:rFonts w:hint="eastAsia" w:ascii="宋体" w:hAnsi="宋体"/>
          <w:b/>
          <w:sz w:val="24"/>
          <w:lang w:val="en-US" w:eastAsia="zh-CN"/>
        </w:rPr>
        <w:t>11</w:t>
      </w:r>
      <w:r>
        <w:rPr>
          <w:rFonts w:hint="eastAsia" w:ascii="宋体" w:hAnsi="宋体"/>
          <w:b/>
          <w:sz w:val="24"/>
        </w:rPr>
        <w:t>月至2022年</w:t>
      </w:r>
      <w:r>
        <w:rPr>
          <w:rFonts w:hint="eastAsia" w:ascii="宋体" w:hAnsi="宋体"/>
          <w:b/>
          <w:sz w:val="24"/>
          <w:lang w:val="en-US" w:eastAsia="zh-CN"/>
        </w:rPr>
        <w:t>11</w:t>
      </w:r>
      <w:r>
        <w:rPr>
          <w:rFonts w:hint="eastAsia" w:ascii="宋体" w:hAnsi="宋体"/>
          <w:b/>
          <w:sz w:val="24"/>
        </w:rPr>
        <w:t>月）完成不少于1个高速施工项目案列。</w:t>
      </w:r>
    </w:p>
    <w:p>
      <w:pPr>
        <w:spacing w:line="420" w:lineRule="exact"/>
        <w:ind w:firstLine="482" w:firstLineChars="200"/>
        <w:outlineLvl w:val="1"/>
        <w:rPr>
          <w:rFonts w:ascii="宋体" w:hAnsi="宋体" w:cs="宋体"/>
          <w:b/>
          <w:bCs w:val="0"/>
          <w:sz w:val="24"/>
        </w:rPr>
      </w:pPr>
      <w:r>
        <w:rPr>
          <w:rFonts w:hint="eastAsia" w:ascii="宋体" w:hAnsi="宋体" w:cs="宋体"/>
          <w:b/>
          <w:bCs w:val="0"/>
          <w:sz w:val="24"/>
        </w:rPr>
        <w:t>六、报价文件组成</w:t>
      </w:r>
      <w:bookmarkEnd w:id="11"/>
    </w:p>
    <w:p>
      <w:pPr>
        <w:spacing w:line="420" w:lineRule="exact"/>
        <w:ind w:firstLine="502" w:firstLineChars="200"/>
        <w:rPr>
          <w:rFonts w:ascii="宋体" w:hAnsi="宋体"/>
          <w:bCs/>
          <w:sz w:val="24"/>
        </w:rPr>
      </w:pPr>
      <w:r>
        <w:rPr>
          <w:rFonts w:hint="eastAsia" w:ascii="宋体" w:hAnsi="宋体" w:cs="宋体"/>
          <w:b/>
          <w:bCs/>
          <w:color w:val="000000"/>
          <w:sz w:val="25"/>
          <w:szCs w:val="25"/>
        </w:rPr>
        <w:t>请各报价方派专人携带身份证原件和授权委托书</w:t>
      </w:r>
      <w:r>
        <w:rPr>
          <w:rFonts w:hint="eastAsia" w:ascii="宋体" w:hAnsi="宋体" w:cs="宋体"/>
          <w:b/>
          <w:bCs/>
          <w:sz w:val="25"/>
          <w:szCs w:val="25"/>
        </w:rPr>
        <w:t>（递交标书时需提供单独一份）</w:t>
      </w:r>
      <w:r>
        <w:rPr>
          <w:rFonts w:hint="eastAsia" w:ascii="宋体" w:hAnsi="宋体" w:cs="宋体"/>
          <w:b/>
          <w:bCs/>
          <w:color w:val="000000"/>
          <w:sz w:val="25"/>
          <w:szCs w:val="25"/>
        </w:rPr>
        <w:t>及报价文件</w:t>
      </w:r>
      <w:r>
        <w:rPr>
          <w:rFonts w:hint="eastAsia" w:ascii="宋体" w:hAnsi="宋体"/>
          <w:bCs/>
          <w:sz w:val="24"/>
        </w:rPr>
        <w:t>，参加本次活动，报价文件包括：</w:t>
      </w:r>
    </w:p>
    <w:p>
      <w:pPr>
        <w:spacing w:line="420" w:lineRule="exact"/>
        <w:ind w:firstLine="480" w:firstLineChars="200"/>
        <w:rPr>
          <w:rFonts w:ascii="宋体" w:hAnsi="宋体"/>
          <w:bCs/>
          <w:sz w:val="24"/>
        </w:rPr>
      </w:pPr>
      <w:r>
        <w:rPr>
          <w:rFonts w:hint="eastAsia" w:ascii="宋体" w:hAnsi="宋体"/>
          <w:bCs/>
          <w:sz w:val="24"/>
        </w:rPr>
        <w:t>（1）法人代表（持法人代表证书复印件）或其委托代理人（持授权书原件）；</w:t>
      </w:r>
    </w:p>
    <w:p>
      <w:pPr>
        <w:spacing w:line="420" w:lineRule="exact"/>
        <w:ind w:firstLine="480" w:firstLineChars="200"/>
        <w:rPr>
          <w:rFonts w:ascii="宋体" w:hAnsi="宋体"/>
          <w:bCs/>
          <w:sz w:val="24"/>
        </w:rPr>
      </w:pPr>
      <w:r>
        <w:rPr>
          <w:rFonts w:hint="eastAsia" w:ascii="宋体" w:hAnsi="宋体"/>
          <w:bCs/>
          <w:sz w:val="24"/>
        </w:rPr>
        <w:t>（2）经办人身份证复印件；</w:t>
      </w:r>
    </w:p>
    <w:p>
      <w:pPr>
        <w:spacing w:line="420" w:lineRule="exact"/>
        <w:ind w:firstLine="480" w:firstLineChars="200"/>
        <w:rPr>
          <w:rFonts w:ascii="宋体" w:hAnsi="宋体"/>
          <w:bCs/>
          <w:sz w:val="24"/>
        </w:rPr>
      </w:pPr>
      <w:r>
        <w:rPr>
          <w:rFonts w:hint="eastAsia" w:ascii="宋体" w:hAnsi="宋体"/>
          <w:bCs/>
          <w:sz w:val="24"/>
        </w:rPr>
        <w:t>（3）报价函；</w:t>
      </w:r>
    </w:p>
    <w:p>
      <w:pPr>
        <w:spacing w:line="420" w:lineRule="exact"/>
        <w:ind w:firstLine="480" w:firstLineChars="200"/>
        <w:rPr>
          <w:rFonts w:ascii="宋体" w:hAnsi="宋体"/>
          <w:bCs/>
          <w:sz w:val="24"/>
        </w:rPr>
      </w:pPr>
      <w:r>
        <w:rPr>
          <w:rFonts w:hint="eastAsia" w:ascii="宋体" w:hAnsi="宋体"/>
          <w:bCs/>
          <w:sz w:val="24"/>
        </w:rPr>
        <w:t>（4）信誉承诺表；</w:t>
      </w:r>
    </w:p>
    <w:p>
      <w:pPr>
        <w:spacing w:line="420" w:lineRule="exact"/>
        <w:ind w:firstLine="480" w:firstLineChars="200"/>
        <w:rPr>
          <w:rFonts w:ascii="宋体" w:hAnsi="宋体"/>
          <w:bCs/>
          <w:sz w:val="24"/>
        </w:rPr>
      </w:pPr>
      <w:r>
        <w:rPr>
          <w:rFonts w:hint="eastAsia" w:ascii="宋体" w:hAnsi="宋体"/>
          <w:bCs/>
          <w:sz w:val="24"/>
        </w:rPr>
        <w:t>（5）单位营业执照复印件</w:t>
      </w:r>
      <w:r>
        <w:rPr>
          <w:rFonts w:hint="eastAsia" w:ascii="宋体" w:hAnsi="宋体"/>
          <w:b/>
          <w:bCs/>
          <w:sz w:val="24"/>
        </w:rPr>
        <w:t>及安全生产许可证</w:t>
      </w:r>
      <w:r>
        <w:rPr>
          <w:rFonts w:hint="eastAsia" w:ascii="宋体" w:hAnsi="宋体"/>
          <w:bCs/>
          <w:sz w:val="24"/>
        </w:rPr>
        <w:t>；</w:t>
      </w:r>
    </w:p>
    <w:p>
      <w:pPr>
        <w:spacing w:line="420" w:lineRule="exact"/>
        <w:ind w:firstLine="482" w:firstLineChars="200"/>
        <w:rPr>
          <w:rFonts w:ascii="宋体" w:hAnsi="宋体"/>
          <w:b/>
          <w:sz w:val="24"/>
        </w:rPr>
      </w:pPr>
      <w:r>
        <w:rPr>
          <w:rFonts w:hint="eastAsia" w:ascii="宋体" w:hAnsi="宋体"/>
          <w:b/>
          <w:sz w:val="24"/>
        </w:rPr>
        <w:t>（6）</w:t>
      </w:r>
      <w:r>
        <w:rPr>
          <w:rFonts w:hint="eastAsia" w:ascii="宋体" w:hAnsi="宋体"/>
          <w:b/>
          <w:bCs/>
          <w:sz w:val="24"/>
        </w:rPr>
        <w:t>业绩证明材料；</w:t>
      </w:r>
    </w:p>
    <w:p>
      <w:pPr>
        <w:spacing w:line="420" w:lineRule="exact"/>
        <w:ind w:firstLine="480" w:firstLineChars="200"/>
        <w:rPr>
          <w:rFonts w:hint="eastAsia" w:ascii="宋体" w:hAnsi="宋体" w:eastAsia="宋体"/>
          <w:bCs/>
          <w:sz w:val="24"/>
          <w:lang w:eastAsia="zh-CN"/>
        </w:rPr>
      </w:pPr>
      <w:r>
        <w:rPr>
          <w:rFonts w:hint="eastAsia" w:ascii="宋体" w:hAnsi="宋体"/>
          <w:bCs/>
          <w:sz w:val="24"/>
        </w:rPr>
        <w:t>（7）询价保证金汇款凭证</w:t>
      </w:r>
      <w:r>
        <w:rPr>
          <w:rFonts w:hint="eastAsia" w:ascii="宋体" w:hAnsi="宋体"/>
          <w:bCs/>
          <w:sz w:val="24"/>
          <w:lang w:eastAsia="zh-CN"/>
        </w:rPr>
        <w:t>。</w:t>
      </w:r>
    </w:p>
    <w:p>
      <w:pPr>
        <w:spacing w:line="420" w:lineRule="exact"/>
        <w:ind w:firstLine="723" w:firstLineChars="300"/>
        <w:rPr>
          <w:rFonts w:ascii="宋体" w:hAnsi="宋体"/>
          <w:bCs/>
          <w:sz w:val="24"/>
        </w:rPr>
      </w:pPr>
      <w:r>
        <w:rPr>
          <w:rFonts w:hint="eastAsia" w:ascii="宋体" w:hAnsi="宋体"/>
          <w:b/>
          <w:sz w:val="24"/>
        </w:rPr>
        <w:t>以上资料均应逐页加盖单位公章并胶装成册，不得活页。询价文件一式叁份</w:t>
      </w:r>
      <w:r>
        <w:rPr>
          <w:rFonts w:hint="eastAsia" w:ascii="宋体" w:hAnsi="宋体"/>
          <w:bCs/>
          <w:sz w:val="24"/>
        </w:rPr>
        <w:t>（其中正本一份，副本两份），并标明正副本（正本与副本内容不一致的，以正本为准）。</w:t>
      </w:r>
    </w:p>
    <w:p>
      <w:pPr>
        <w:spacing w:line="480" w:lineRule="exact"/>
        <w:ind w:firstLine="482" w:firstLineChars="200"/>
        <w:rPr>
          <w:rFonts w:hint="eastAsia" w:ascii="宋体" w:hAnsi="宋体"/>
          <w:bCs/>
          <w:sz w:val="24"/>
        </w:rPr>
      </w:pPr>
      <w:bookmarkStart w:id="12" w:name="_Toc25011"/>
      <w:r>
        <w:rPr>
          <w:rFonts w:hint="eastAsia" w:ascii="宋体" w:hAnsi="宋体"/>
          <w:b/>
          <w:bCs w:val="0"/>
          <w:sz w:val="24"/>
        </w:rPr>
        <w:t>七、</w:t>
      </w:r>
      <w:r>
        <w:rPr>
          <w:rFonts w:hint="eastAsia" w:ascii="宋体" w:hAnsi="宋体"/>
          <w:b/>
          <w:bCs w:val="0"/>
          <w:sz w:val="24"/>
          <w:lang w:val="en-US" w:eastAsia="zh-CN"/>
        </w:rPr>
        <w:t>公告媒介、询价文件获取时间及方式：</w:t>
      </w:r>
      <w:bookmarkEnd w:id="12"/>
      <w:bookmarkStart w:id="13" w:name="_Toc11149"/>
      <w:r>
        <w:rPr>
          <w:rFonts w:hint="eastAsia" w:ascii="宋体" w:hAnsi="宋体"/>
          <w:bCs/>
          <w:sz w:val="24"/>
          <w:lang w:val="en-US" w:eastAsia="zh-CN"/>
        </w:rPr>
        <w:t>有意向的报价方请于报价文件的递交截止时间前，自行在赣州交通控股集团有限公司官方网站（http://www.gzjtkgjt.com/）或江西省招标投标网（http://www.jxtb.org.cn/）查阅询价公告，在赣州交通控股集团有限公司官方网站（http://www.gzjtkgjt.com/）下载劳务询价文件及</w:t>
      </w:r>
      <w:r>
        <w:rPr>
          <w:rFonts w:hint="eastAsia" w:ascii="宋体" w:hAnsi="宋体"/>
          <w:bCs/>
          <w:sz w:val="24"/>
          <w:lang w:eastAsia="zh-CN"/>
        </w:rPr>
        <w:t>图纸</w:t>
      </w:r>
      <w:r>
        <w:rPr>
          <w:rFonts w:hint="eastAsia" w:ascii="宋体" w:hAnsi="宋体"/>
          <w:bCs/>
          <w:sz w:val="24"/>
        </w:rPr>
        <w:t>。</w:t>
      </w:r>
    </w:p>
    <w:p>
      <w:pPr>
        <w:spacing w:line="420" w:lineRule="exact"/>
        <w:ind w:firstLine="482" w:firstLineChars="200"/>
        <w:outlineLvl w:val="1"/>
        <w:rPr>
          <w:rFonts w:ascii="宋体" w:hAnsi="宋体" w:cs="宋体"/>
          <w:b/>
          <w:bCs w:val="0"/>
          <w:sz w:val="24"/>
        </w:rPr>
      </w:pPr>
      <w:r>
        <w:rPr>
          <w:rFonts w:hint="eastAsia" w:ascii="宋体" w:hAnsi="宋体" w:cs="宋体"/>
          <w:b/>
          <w:bCs w:val="0"/>
          <w:sz w:val="24"/>
        </w:rPr>
        <w:t>八、报价文件的密封和标识</w:t>
      </w:r>
      <w:bookmarkEnd w:id="13"/>
    </w:p>
    <w:p>
      <w:pPr>
        <w:spacing w:line="420" w:lineRule="exact"/>
        <w:ind w:firstLine="480" w:firstLineChars="200"/>
        <w:outlineLvl w:val="1"/>
      </w:pPr>
      <w:bookmarkStart w:id="14" w:name="_Toc32272"/>
      <w:r>
        <w:rPr>
          <w:rFonts w:hint="eastAsia" w:ascii="宋体" w:hAnsi="宋体"/>
          <w:bCs/>
          <w:sz w:val="24"/>
        </w:rPr>
        <w:t>报价文件应密封包装。封套的封口处加盖报价人单位章或由报价人的法定代表人、单位负责人或其委托代理人签字。未按要求密封的报价文件，询价方将予以拒收。</w:t>
      </w:r>
    </w:p>
    <w:p>
      <w:pPr>
        <w:pStyle w:val="11"/>
        <w:widowControl/>
        <w:spacing w:line="420" w:lineRule="atLeast"/>
        <w:ind w:firstLine="420"/>
        <w:rPr>
          <w:rFonts w:ascii="微软雅黑" w:hAnsi="微软雅黑" w:eastAsia="微软雅黑" w:cs="微软雅黑"/>
        </w:rPr>
      </w:pPr>
      <w:r>
        <w:rPr>
          <w:rStyle w:val="15"/>
          <w:rFonts w:ascii="仿宋" w:hAnsi="仿宋" w:eastAsia="仿宋" w:cs="仿宋"/>
        </w:rPr>
        <w:t>封套格式如下：</w:t>
      </w:r>
    </w:p>
    <w:p>
      <w:pPr>
        <w:pStyle w:val="11"/>
        <w:widowControl/>
        <w:spacing w:line="30" w:lineRule="atLeast"/>
        <w:rPr>
          <w:rFonts w:ascii="微软雅黑" w:hAnsi="微软雅黑" w:eastAsia="微软雅黑" w:cs="微软雅黑"/>
        </w:rPr>
      </w:pPr>
      <w:r>
        <w:rPr>
          <w:rStyle w:val="15"/>
          <w:rFonts w:ascii="微软雅黑" w:hAnsi="微软雅黑" w:eastAsia="微软雅黑" w:cs="微软雅黑"/>
        </w:rPr>
        <w:t>                          </w:t>
      </w:r>
      <w:r>
        <w:rPr>
          <w:rStyle w:val="15"/>
          <w:rFonts w:hint="eastAsia" w:ascii="微软雅黑" w:hAnsi="微软雅黑" w:eastAsia="微软雅黑" w:cs="微软雅黑"/>
          <w:u w:val="single"/>
        </w:rPr>
        <w:t>   </w:t>
      </w:r>
      <w:r>
        <w:rPr>
          <w:rStyle w:val="15"/>
          <w:rFonts w:hint="eastAsia" w:ascii="仿宋" w:hAnsi="仿宋" w:eastAsia="仿宋" w:cs="仿宋"/>
          <w:u w:val="single"/>
        </w:rPr>
        <w:t>（项目名称）</w:t>
      </w:r>
      <w:r>
        <w:rPr>
          <w:rStyle w:val="15"/>
          <w:rFonts w:hint="eastAsia" w:ascii="微软雅黑" w:hAnsi="微软雅黑" w:eastAsia="微软雅黑" w:cs="微软雅黑"/>
          <w:u w:val="single"/>
        </w:rPr>
        <w:t>  </w:t>
      </w:r>
      <w:r>
        <w:rPr>
          <w:rStyle w:val="15"/>
          <w:rFonts w:hint="eastAsia" w:ascii="仿宋" w:hAnsi="仿宋" w:eastAsia="仿宋" w:cs="仿宋"/>
        </w:rPr>
        <w:t>报价文件</w:t>
      </w:r>
    </w:p>
    <w:p>
      <w:pPr>
        <w:pStyle w:val="11"/>
        <w:widowControl/>
        <w:spacing w:line="30" w:lineRule="atLeast"/>
        <w:rPr>
          <w:rFonts w:ascii="微软雅黑" w:hAnsi="微软雅黑" w:eastAsia="微软雅黑" w:cs="微软雅黑"/>
        </w:rPr>
      </w:pPr>
      <w:r>
        <w:rPr>
          <w:rStyle w:val="15"/>
          <w:rFonts w:hint="eastAsia" w:ascii="微软雅黑" w:hAnsi="微软雅黑" w:eastAsia="微软雅黑" w:cs="微软雅黑"/>
        </w:rPr>
        <w:t>            </w:t>
      </w:r>
      <w:r>
        <w:rPr>
          <w:rStyle w:val="15"/>
          <w:rFonts w:hint="eastAsia" w:ascii="仿宋" w:hAnsi="仿宋" w:eastAsia="仿宋" w:cs="仿宋"/>
        </w:rPr>
        <w:t>在</w:t>
      </w:r>
      <w:r>
        <w:rPr>
          <w:rStyle w:val="15"/>
          <w:rFonts w:hint="eastAsia" w:ascii="仿宋" w:hAnsi="仿宋" w:eastAsia="仿宋" w:cs="仿宋"/>
          <w:u w:val="single"/>
        </w:rPr>
        <w:t>2022</w:t>
      </w:r>
      <w:r>
        <w:rPr>
          <w:rStyle w:val="15"/>
          <w:rFonts w:hint="eastAsia" w:ascii="仿宋" w:hAnsi="仿宋" w:eastAsia="仿宋" w:cs="仿宋"/>
        </w:rPr>
        <w:t>年</w:t>
      </w:r>
      <w:r>
        <w:rPr>
          <w:rStyle w:val="15"/>
          <w:rFonts w:hint="eastAsia" w:ascii="微软雅黑" w:hAnsi="微软雅黑" w:eastAsia="微软雅黑" w:cs="微软雅黑"/>
          <w:u w:val="single"/>
        </w:rPr>
        <w:t>    </w:t>
      </w:r>
      <w:r>
        <w:rPr>
          <w:rStyle w:val="15"/>
          <w:rFonts w:hint="eastAsia" w:ascii="仿宋" w:hAnsi="仿宋" w:eastAsia="仿宋" w:cs="仿宋"/>
        </w:rPr>
        <w:t>月</w:t>
      </w:r>
      <w:r>
        <w:rPr>
          <w:rStyle w:val="15"/>
          <w:rFonts w:hint="eastAsia" w:ascii="微软雅黑" w:hAnsi="微软雅黑" w:eastAsia="微软雅黑" w:cs="微软雅黑"/>
          <w:u w:val="single"/>
        </w:rPr>
        <w:t>    </w:t>
      </w:r>
      <w:r>
        <w:rPr>
          <w:rStyle w:val="15"/>
          <w:rFonts w:hint="eastAsia" w:ascii="仿宋" w:hAnsi="仿宋" w:eastAsia="仿宋" w:cs="仿宋"/>
        </w:rPr>
        <w:t>日</w:t>
      </w:r>
      <w:r>
        <w:rPr>
          <w:rStyle w:val="15"/>
          <w:rFonts w:hint="eastAsia" w:ascii="微软雅黑" w:hAnsi="微软雅黑" w:eastAsia="微软雅黑" w:cs="微软雅黑"/>
          <w:u w:val="single"/>
        </w:rPr>
        <w:t>    </w:t>
      </w:r>
      <w:r>
        <w:rPr>
          <w:rStyle w:val="15"/>
          <w:rFonts w:hint="eastAsia" w:ascii="仿宋" w:hAnsi="仿宋" w:eastAsia="仿宋" w:cs="仿宋"/>
        </w:rPr>
        <w:t>时</w:t>
      </w:r>
      <w:r>
        <w:rPr>
          <w:rStyle w:val="15"/>
          <w:rFonts w:hint="eastAsia" w:ascii="微软雅黑" w:hAnsi="微软雅黑" w:eastAsia="微软雅黑" w:cs="微软雅黑"/>
          <w:u w:val="single"/>
        </w:rPr>
        <w:t>    </w:t>
      </w:r>
      <w:r>
        <w:rPr>
          <w:rStyle w:val="15"/>
          <w:rFonts w:hint="eastAsia" w:ascii="仿宋" w:hAnsi="仿宋" w:eastAsia="仿宋" w:cs="仿宋"/>
        </w:rPr>
        <w:t>分（递交截止时间）前不得开启</w:t>
      </w:r>
    </w:p>
    <w:p>
      <w:pPr>
        <w:pStyle w:val="11"/>
        <w:widowControl/>
        <w:spacing w:line="30" w:lineRule="atLeast"/>
        <w:rPr>
          <w:rFonts w:ascii="微软雅黑" w:hAnsi="微软雅黑" w:eastAsia="微软雅黑" w:cs="微软雅黑"/>
        </w:rPr>
      </w:pPr>
      <w:r>
        <w:rPr>
          <w:rStyle w:val="15"/>
          <w:rFonts w:hint="eastAsia" w:ascii="微软雅黑" w:hAnsi="微软雅黑" w:eastAsia="微软雅黑" w:cs="微软雅黑"/>
        </w:rPr>
        <w:t>                   </w:t>
      </w:r>
      <w:r>
        <w:rPr>
          <w:rStyle w:val="15"/>
          <w:rFonts w:hint="eastAsia" w:ascii="仿宋" w:hAnsi="仿宋" w:eastAsia="仿宋" w:cs="仿宋"/>
        </w:rPr>
        <w:t>报价方名称：</w:t>
      </w:r>
      <w:r>
        <w:rPr>
          <w:rStyle w:val="15"/>
          <w:rFonts w:hint="eastAsia" w:ascii="微软雅黑" w:hAnsi="微软雅黑" w:eastAsia="微软雅黑" w:cs="微软雅黑"/>
          <w:u w:val="single"/>
        </w:rPr>
        <w:t>                        </w:t>
      </w:r>
    </w:p>
    <w:p>
      <w:pPr>
        <w:pStyle w:val="11"/>
        <w:widowControl/>
        <w:spacing w:line="30" w:lineRule="atLeast"/>
        <w:rPr>
          <w:rFonts w:ascii="宋体" w:hAnsi="宋体"/>
          <w:bCs/>
        </w:rPr>
      </w:pPr>
      <w:r>
        <w:rPr>
          <w:rStyle w:val="15"/>
          <w:rFonts w:hint="eastAsia" w:ascii="微软雅黑" w:hAnsi="微软雅黑" w:eastAsia="微软雅黑" w:cs="微软雅黑"/>
        </w:rPr>
        <w:t>                   </w:t>
      </w:r>
      <w:r>
        <w:rPr>
          <w:rStyle w:val="15"/>
          <w:rFonts w:hint="eastAsia" w:ascii="仿宋" w:hAnsi="仿宋" w:eastAsia="仿宋" w:cs="仿宋"/>
        </w:rPr>
        <w:t>报价方联系方式：</w:t>
      </w:r>
      <w:r>
        <w:rPr>
          <w:rStyle w:val="15"/>
          <w:rFonts w:hint="eastAsia" w:ascii="微软雅黑" w:hAnsi="微软雅黑" w:eastAsia="微软雅黑" w:cs="微软雅黑"/>
          <w:u w:val="single"/>
        </w:rPr>
        <w:t>                    </w:t>
      </w:r>
    </w:p>
    <w:p>
      <w:pPr>
        <w:spacing w:line="420" w:lineRule="exact"/>
        <w:ind w:firstLine="482" w:firstLineChars="200"/>
        <w:outlineLvl w:val="1"/>
        <w:rPr>
          <w:rFonts w:ascii="宋体" w:hAnsi="宋体" w:cs="宋体"/>
          <w:b/>
          <w:bCs w:val="0"/>
          <w:sz w:val="24"/>
        </w:rPr>
      </w:pPr>
      <w:r>
        <w:rPr>
          <w:rFonts w:hint="eastAsia" w:ascii="宋体" w:hAnsi="宋体" w:cs="宋体"/>
          <w:b/>
          <w:bCs w:val="0"/>
          <w:sz w:val="24"/>
        </w:rPr>
        <w:t>九、询价保证金</w:t>
      </w:r>
    </w:p>
    <w:p>
      <w:pPr>
        <w:spacing w:line="420" w:lineRule="exact"/>
        <w:ind w:firstLine="480" w:firstLineChars="200"/>
        <w:rPr>
          <w:rFonts w:ascii="宋体" w:hAnsi="宋体" w:cs="宋体"/>
          <w:bCs/>
        </w:rPr>
      </w:pPr>
      <w:bookmarkStart w:id="15" w:name="_Toc10724"/>
      <w:r>
        <w:rPr>
          <w:rFonts w:hint="eastAsia" w:ascii="宋体" w:hAnsi="宋体"/>
          <w:bCs/>
          <w:sz w:val="24"/>
          <w:lang w:val="en-US" w:eastAsia="zh-CN"/>
        </w:rPr>
        <w:t>报价人的询价保证金必须在报价文件的递交截止时间前汇入询价方指定账户（单位名称：江西联兴公路工程有限公司    开户银行：中国工商银行股份有限公司赣州章江支行  财务账号：1510221009000213724），并备注询价项目及报价单位。未成交的报价人询价保证金在成交的报价人签订合同后无息退还，成交的报价人在签订合同后转为履约保证金，履约合格后采购人在7个工作日内予以无息退还，如第一成交报价候选人无故放弃等原因，询价保证金询价方将不予以退还。本次询价保证金人民币伍仟陆佰元整（¥5600.00）。报价人未按要求汇入保证金，询价方将予以拒收报价文件。</w:t>
      </w:r>
      <w:bookmarkEnd w:id="15"/>
    </w:p>
    <w:p>
      <w:pPr>
        <w:spacing w:line="420" w:lineRule="exact"/>
        <w:ind w:firstLine="482" w:firstLineChars="200"/>
        <w:outlineLvl w:val="1"/>
        <w:rPr>
          <w:rFonts w:ascii="宋体" w:hAnsi="宋体" w:cs="宋体"/>
          <w:b/>
          <w:bCs w:val="0"/>
          <w:sz w:val="24"/>
        </w:rPr>
      </w:pPr>
      <w:r>
        <w:rPr>
          <w:rFonts w:hint="eastAsia" w:ascii="宋体" w:hAnsi="宋体" w:cs="宋体"/>
          <w:b/>
          <w:bCs w:val="0"/>
          <w:sz w:val="24"/>
        </w:rPr>
        <w:t>十、报价文件的递交及相关事宜</w:t>
      </w:r>
      <w:bookmarkEnd w:id="14"/>
    </w:p>
    <w:p>
      <w:pPr>
        <w:spacing w:line="420" w:lineRule="exact"/>
        <w:ind w:firstLine="480" w:firstLineChars="200"/>
        <w:rPr>
          <w:rFonts w:ascii="宋体" w:hAnsi="宋体"/>
          <w:bCs/>
          <w:sz w:val="24"/>
        </w:rPr>
      </w:pPr>
      <w:r>
        <w:rPr>
          <w:rFonts w:hint="eastAsia" w:ascii="宋体" w:hAnsi="宋体"/>
          <w:bCs/>
          <w:sz w:val="24"/>
        </w:rPr>
        <w:t>报价文件的递交截止时间：</w:t>
      </w:r>
      <w:r>
        <w:rPr>
          <w:rFonts w:hint="eastAsia" w:ascii="宋体" w:hAnsi="宋体"/>
          <w:bCs/>
          <w:sz w:val="24"/>
          <w:u w:val="single"/>
        </w:rPr>
        <w:t>2022</w:t>
      </w:r>
      <w:r>
        <w:rPr>
          <w:rFonts w:hint="eastAsia" w:ascii="宋体" w:hAnsi="宋体"/>
          <w:bCs/>
          <w:sz w:val="24"/>
        </w:rPr>
        <w:t>年</w:t>
      </w:r>
      <w:r>
        <w:rPr>
          <w:rFonts w:hint="eastAsia" w:ascii="宋体" w:hAnsi="宋体"/>
          <w:bCs/>
          <w:sz w:val="24"/>
          <w:u w:val="single"/>
          <w:lang w:val="en-US" w:eastAsia="zh-CN"/>
        </w:rPr>
        <w:t>12</w:t>
      </w:r>
      <w:r>
        <w:rPr>
          <w:rFonts w:hint="eastAsia" w:ascii="宋体" w:hAnsi="宋体"/>
          <w:bCs/>
          <w:sz w:val="24"/>
        </w:rPr>
        <w:t>月</w:t>
      </w:r>
      <w:r>
        <w:rPr>
          <w:rFonts w:hint="eastAsia" w:ascii="宋体" w:hAnsi="宋体"/>
          <w:bCs/>
          <w:sz w:val="24"/>
          <w:u w:val="single"/>
          <w:lang w:val="en-US" w:eastAsia="zh-CN"/>
        </w:rPr>
        <w:t>14</w:t>
      </w:r>
      <w:r>
        <w:rPr>
          <w:rFonts w:hint="eastAsia" w:ascii="宋体" w:hAnsi="宋体"/>
          <w:bCs/>
          <w:sz w:val="24"/>
        </w:rPr>
        <w:t>日上午</w:t>
      </w:r>
      <w:r>
        <w:rPr>
          <w:rFonts w:hint="eastAsia" w:ascii="宋体" w:hAnsi="宋体"/>
          <w:bCs/>
          <w:sz w:val="24"/>
          <w:lang w:val="en-US" w:eastAsia="zh-CN"/>
        </w:rPr>
        <w:t>10</w:t>
      </w:r>
      <w:r>
        <w:rPr>
          <w:rFonts w:hint="eastAsia" w:ascii="宋体" w:hAnsi="宋体"/>
          <w:bCs/>
          <w:sz w:val="24"/>
        </w:rPr>
        <w:t>：</w:t>
      </w:r>
      <w:r>
        <w:rPr>
          <w:rFonts w:hint="eastAsia" w:ascii="宋体" w:hAnsi="宋体"/>
          <w:bCs/>
          <w:sz w:val="24"/>
          <w:lang w:val="en-US" w:eastAsia="zh-CN"/>
        </w:rPr>
        <w:t>00</w:t>
      </w:r>
      <w:r>
        <w:rPr>
          <w:rFonts w:hint="eastAsia" w:ascii="宋体" w:hAnsi="宋体"/>
          <w:bCs/>
          <w:sz w:val="24"/>
        </w:rPr>
        <w:t>，递交地址：赣州市赣县区南塘收费站出口左侧（江西联兴公路工程有限公司</w:t>
      </w:r>
      <w:r>
        <w:rPr>
          <w:rFonts w:hint="eastAsia" w:ascii="宋体" w:hAnsi="宋体"/>
          <w:bCs/>
          <w:sz w:val="24"/>
          <w:lang w:eastAsia="zh-CN"/>
        </w:rPr>
        <w:t>机关</w:t>
      </w:r>
      <w:r>
        <w:rPr>
          <w:rFonts w:hint="eastAsia" w:ascii="宋体" w:hAnsi="宋体"/>
          <w:bCs/>
          <w:sz w:val="24"/>
          <w:lang w:val="en-US" w:eastAsia="zh-CN"/>
        </w:rPr>
        <w:t>3</w:t>
      </w:r>
      <w:r>
        <w:rPr>
          <w:rFonts w:hint="eastAsia" w:ascii="宋体" w:hAnsi="宋体"/>
          <w:bCs/>
          <w:sz w:val="24"/>
        </w:rPr>
        <w:t>楼会议室）。询价方将拒绝接受在递交截止时间后送达的报价函。</w:t>
      </w:r>
    </w:p>
    <w:p>
      <w:pPr>
        <w:pStyle w:val="11"/>
        <w:widowControl/>
        <w:spacing w:line="360" w:lineRule="auto"/>
        <w:ind w:left="210" w:firstLine="240" w:firstLineChars="100"/>
        <w:rPr>
          <w:rFonts w:ascii="宋体" w:hAnsi="宋体" w:cs="宋体"/>
          <w:b/>
          <w:sz w:val="25"/>
          <w:szCs w:val="25"/>
        </w:rPr>
      </w:pPr>
      <w:bookmarkStart w:id="16" w:name="_Toc4606"/>
      <w:r>
        <w:rPr>
          <w:rFonts w:hint="eastAsia" w:ascii="宋体" w:hAnsi="宋体" w:cs="宋体"/>
          <w:bCs/>
        </w:rPr>
        <w:t>十一、</w:t>
      </w:r>
      <w:bookmarkEnd w:id="16"/>
      <w:bookmarkStart w:id="17" w:name="_Toc14594"/>
      <w:bookmarkStart w:id="18" w:name="_Toc18652"/>
      <w:bookmarkStart w:id="19" w:name="_Toc23358"/>
      <w:bookmarkStart w:id="20" w:name="_Toc68"/>
      <w:r>
        <w:rPr>
          <w:rFonts w:hint="eastAsia" w:ascii="宋体" w:hAnsi="宋体" w:cs="宋体"/>
          <w:b/>
          <w:sz w:val="25"/>
          <w:szCs w:val="25"/>
        </w:rPr>
        <w:t>疫情防控要求</w:t>
      </w:r>
      <w:bookmarkStart w:id="50" w:name="_GoBack"/>
      <w:bookmarkEnd w:id="50"/>
    </w:p>
    <w:p>
      <w:pPr>
        <w:spacing w:line="420" w:lineRule="exact"/>
        <w:ind w:firstLine="480" w:firstLineChars="200"/>
        <w:rPr>
          <w:rFonts w:hint="eastAsia" w:ascii="宋体" w:hAnsi="宋体"/>
          <w:bCs/>
          <w:sz w:val="24"/>
          <w:lang w:val="en-US" w:eastAsia="zh-CN"/>
        </w:rPr>
      </w:pPr>
      <w:r>
        <w:rPr>
          <w:rFonts w:hint="eastAsia" w:ascii="宋体" w:hAnsi="宋体"/>
          <w:bCs/>
          <w:sz w:val="24"/>
          <w:lang w:val="en-US" w:eastAsia="zh-CN"/>
        </w:rPr>
        <w:t>鉴于当前国内疫情形势严峻，为做好疫情防控工作，报价人应严格遵守赣州市最新疫情防控规定（详细规定请查阅官方最新发布消息）。报价人进入询价方单位前需全程佩戴口罩，出示健康码、行程码等，同时还需进行体温检测。询价方将拒绝健康码以及行程码为黄码或者红码的人员入内，并对行程码异常人员上报当地疫情防控指挥部。</w:t>
      </w:r>
    </w:p>
    <w:p>
      <w:pPr>
        <w:spacing w:line="360" w:lineRule="auto"/>
        <w:ind w:firstLine="502" w:firstLineChars="200"/>
        <w:outlineLvl w:val="1"/>
        <w:rPr>
          <w:rFonts w:ascii="宋体" w:hAnsi="宋体" w:cs="宋体"/>
          <w:b/>
          <w:sz w:val="25"/>
          <w:szCs w:val="25"/>
        </w:rPr>
      </w:pPr>
      <w:r>
        <w:rPr>
          <w:rFonts w:hint="eastAsia" w:ascii="宋体" w:hAnsi="宋体" w:cs="宋体"/>
          <w:b/>
          <w:sz w:val="25"/>
          <w:szCs w:val="25"/>
        </w:rPr>
        <w:t>十二、报价文件的开启程序</w:t>
      </w:r>
    </w:p>
    <w:p>
      <w:pPr>
        <w:spacing w:line="420" w:lineRule="exact"/>
        <w:ind w:firstLine="480" w:firstLineChars="200"/>
        <w:rPr>
          <w:rFonts w:hint="eastAsia" w:ascii="宋体" w:hAnsi="宋体"/>
          <w:bCs/>
          <w:sz w:val="24"/>
          <w:lang w:val="en-US" w:eastAsia="zh-CN"/>
        </w:rPr>
      </w:pPr>
      <w:r>
        <w:rPr>
          <w:rFonts w:hint="eastAsia" w:ascii="宋体" w:hAnsi="宋体"/>
          <w:bCs/>
          <w:sz w:val="24"/>
          <w:lang w:val="en-US" w:eastAsia="zh-CN"/>
        </w:rPr>
        <w:t>1、公布在截止时间前递交报价文件的报价人数量；</w:t>
      </w:r>
    </w:p>
    <w:p>
      <w:pPr>
        <w:spacing w:line="420" w:lineRule="exact"/>
        <w:ind w:firstLine="480" w:firstLineChars="200"/>
        <w:rPr>
          <w:rFonts w:hint="eastAsia" w:ascii="宋体" w:hAnsi="宋体"/>
          <w:bCs/>
          <w:sz w:val="24"/>
          <w:lang w:val="en-US" w:eastAsia="zh-CN"/>
        </w:rPr>
      </w:pPr>
      <w:r>
        <w:rPr>
          <w:rFonts w:hint="eastAsia" w:ascii="宋体" w:hAnsi="宋体"/>
          <w:bCs/>
          <w:sz w:val="24"/>
          <w:lang w:val="en-US" w:eastAsia="zh-CN"/>
        </w:rPr>
        <w:t>2、报价人代表现场检查报价文件密封情况；</w:t>
      </w:r>
    </w:p>
    <w:p>
      <w:pPr>
        <w:spacing w:line="420" w:lineRule="exact"/>
        <w:ind w:firstLine="480" w:firstLineChars="200"/>
        <w:rPr>
          <w:rFonts w:hint="eastAsia" w:ascii="宋体" w:hAnsi="宋体"/>
          <w:bCs/>
          <w:sz w:val="24"/>
          <w:lang w:val="en-US" w:eastAsia="zh-CN"/>
        </w:rPr>
      </w:pPr>
      <w:r>
        <w:rPr>
          <w:rFonts w:hint="eastAsia" w:ascii="宋体" w:hAnsi="宋体"/>
          <w:bCs/>
          <w:sz w:val="24"/>
          <w:lang w:val="en-US" w:eastAsia="zh-CN"/>
        </w:rPr>
        <w:t>3、开启报价文件，公布报价人名称、报价等，结束后报价人及询价小组签字确认。</w:t>
      </w:r>
    </w:p>
    <w:p>
      <w:pPr>
        <w:spacing w:line="360" w:lineRule="auto"/>
        <w:ind w:firstLine="502" w:firstLineChars="200"/>
        <w:outlineLvl w:val="1"/>
        <w:rPr>
          <w:rFonts w:ascii="宋体" w:hAnsi="宋体" w:cs="宋体"/>
          <w:b/>
          <w:sz w:val="25"/>
          <w:szCs w:val="25"/>
        </w:rPr>
      </w:pPr>
      <w:bookmarkStart w:id="21" w:name="_Toc8386"/>
      <w:r>
        <w:rPr>
          <w:rFonts w:hint="eastAsia" w:ascii="宋体" w:hAnsi="宋体" w:cs="宋体"/>
          <w:b/>
          <w:sz w:val="25"/>
          <w:szCs w:val="25"/>
        </w:rPr>
        <w:t>十三、公示</w:t>
      </w:r>
      <w:bookmarkEnd w:id="21"/>
    </w:p>
    <w:p>
      <w:pPr>
        <w:spacing w:line="420" w:lineRule="exact"/>
        <w:ind w:firstLine="480" w:firstLineChars="200"/>
        <w:rPr>
          <w:rFonts w:hint="eastAsia" w:ascii="宋体" w:hAnsi="宋体"/>
          <w:bCs/>
          <w:sz w:val="24"/>
          <w:lang w:val="en-US" w:eastAsia="zh-CN"/>
        </w:rPr>
      </w:pPr>
      <w:bookmarkStart w:id="22" w:name="_Toc3582"/>
      <w:r>
        <w:rPr>
          <w:rFonts w:hint="eastAsia" w:ascii="宋体" w:hAnsi="宋体"/>
          <w:bCs/>
          <w:sz w:val="24"/>
          <w:lang w:val="en-US" w:eastAsia="zh-CN"/>
        </w:rPr>
        <w:t>询价结束后3日内，在赣州交通控股集团有限公司网站（http://www.gzjtkgjt.com）上对候选人进行公示。</w:t>
      </w:r>
    </w:p>
    <w:p>
      <w:pPr>
        <w:spacing w:line="360" w:lineRule="auto"/>
        <w:ind w:firstLine="502" w:firstLineChars="200"/>
        <w:outlineLvl w:val="1"/>
        <w:rPr>
          <w:rFonts w:ascii="宋体" w:hAnsi="宋体" w:cs="宋体"/>
          <w:b/>
          <w:sz w:val="25"/>
          <w:szCs w:val="25"/>
        </w:rPr>
      </w:pPr>
      <w:r>
        <w:rPr>
          <w:rFonts w:hint="eastAsia" w:ascii="宋体" w:hAnsi="宋体" w:cs="宋体"/>
          <w:b/>
          <w:sz w:val="25"/>
          <w:szCs w:val="25"/>
        </w:rPr>
        <w:t>十四、地址及联系方式</w:t>
      </w:r>
      <w:bookmarkEnd w:id="22"/>
    </w:p>
    <w:p>
      <w:pPr>
        <w:spacing w:line="420" w:lineRule="exact"/>
        <w:ind w:firstLine="500" w:firstLineChars="200"/>
        <w:rPr>
          <w:rFonts w:ascii="宋体" w:hAnsi="宋体" w:cs="宋体"/>
          <w:bCs/>
          <w:sz w:val="25"/>
          <w:szCs w:val="25"/>
        </w:rPr>
      </w:pPr>
      <w:r>
        <w:rPr>
          <w:rFonts w:hint="eastAsia" w:ascii="宋体" w:hAnsi="宋体" w:cs="宋体"/>
          <w:bCs/>
          <w:sz w:val="25"/>
          <w:szCs w:val="25"/>
        </w:rPr>
        <w:t>询价方名称：江西联兴公路工程有限公司信丰养护应急综合基地</w:t>
      </w:r>
    </w:p>
    <w:p>
      <w:pPr>
        <w:spacing w:line="360" w:lineRule="auto"/>
        <w:ind w:firstLine="500" w:firstLineChars="200"/>
        <w:outlineLvl w:val="1"/>
        <w:rPr>
          <w:rFonts w:hint="eastAsia" w:ascii="宋体" w:hAnsi="宋体" w:cs="宋体"/>
          <w:bCs/>
          <w:sz w:val="25"/>
          <w:szCs w:val="25"/>
        </w:rPr>
      </w:pPr>
      <w:r>
        <w:rPr>
          <w:rFonts w:hint="eastAsia" w:ascii="宋体" w:hAnsi="宋体" w:cs="宋体"/>
          <w:bCs/>
          <w:sz w:val="25"/>
          <w:szCs w:val="25"/>
        </w:rPr>
        <w:t>询价方地址：大广高速K3130（东坑隧道旁）</w:t>
      </w:r>
    </w:p>
    <w:p>
      <w:pPr>
        <w:spacing w:line="360" w:lineRule="auto"/>
        <w:ind w:firstLine="500" w:firstLineChars="200"/>
        <w:outlineLvl w:val="1"/>
        <w:rPr>
          <w:rFonts w:ascii="宋体" w:hAnsi="宋体" w:cs="宋体"/>
          <w:bCs/>
          <w:sz w:val="25"/>
          <w:szCs w:val="25"/>
        </w:rPr>
      </w:pPr>
      <w:r>
        <w:rPr>
          <w:rFonts w:hint="eastAsia" w:ascii="宋体" w:hAnsi="宋体" w:cs="宋体"/>
          <w:bCs/>
          <w:sz w:val="25"/>
          <w:szCs w:val="25"/>
        </w:rPr>
        <w:t>联系人：</w:t>
      </w:r>
      <w:r>
        <w:rPr>
          <w:rFonts w:hint="eastAsia" w:ascii="宋体" w:hAnsi="宋体" w:cs="宋体"/>
          <w:bCs/>
          <w:sz w:val="25"/>
          <w:szCs w:val="25"/>
          <w:lang w:eastAsia="zh-CN"/>
        </w:rPr>
        <w:t>蔡</w:t>
      </w:r>
      <w:r>
        <w:rPr>
          <w:rFonts w:hint="eastAsia" w:ascii="宋体" w:hAnsi="宋体" w:cs="宋体"/>
          <w:bCs/>
          <w:sz w:val="25"/>
          <w:szCs w:val="25"/>
        </w:rPr>
        <w:t>先生</w:t>
      </w:r>
    </w:p>
    <w:p>
      <w:pPr>
        <w:spacing w:line="360" w:lineRule="auto"/>
        <w:ind w:firstLine="500" w:firstLineChars="200"/>
        <w:outlineLvl w:val="1"/>
        <w:rPr>
          <w:rFonts w:hint="default" w:ascii="宋体" w:hAnsi="宋体" w:eastAsia="宋体" w:cs="宋体"/>
          <w:bCs/>
          <w:color w:val="FF0000"/>
          <w:sz w:val="25"/>
          <w:szCs w:val="25"/>
          <w:u w:val="single"/>
          <w:lang w:val="en-US" w:eastAsia="zh-CN"/>
        </w:rPr>
      </w:pPr>
      <w:r>
        <w:rPr>
          <w:rFonts w:hint="eastAsia" w:ascii="宋体" w:hAnsi="宋体" w:cs="宋体"/>
          <w:bCs/>
          <w:sz w:val="25"/>
          <w:szCs w:val="25"/>
        </w:rPr>
        <w:t>电  话：</w:t>
      </w:r>
      <w:r>
        <w:rPr>
          <w:rFonts w:hint="eastAsia" w:ascii="宋体" w:hAnsi="宋体" w:cs="宋体"/>
          <w:bCs/>
          <w:color w:val="FF0000"/>
          <w:sz w:val="25"/>
          <w:szCs w:val="25"/>
          <w:u w:val="single"/>
          <w:lang w:val="en-US" w:eastAsia="zh-CN"/>
        </w:rPr>
        <w:t>18870738120</w:t>
      </w:r>
    </w:p>
    <w:p>
      <w:pPr>
        <w:spacing w:line="360" w:lineRule="auto"/>
        <w:ind w:firstLine="502" w:firstLineChars="200"/>
        <w:outlineLvl w:val="1"/>
        <w:rPr>
          <w:rFonts w:ascii="宋体" w:hAnsi="宋体" w:cs="宋体"/>
          <w:b/>
          <w:sz w:val="25"/>
          <w:szCs w:val="25"/>
        </w:rPr>
      </w:pPr>
      <w:bookmarkStart w:id="23" w:name="_Toc19995"/>
      <w:r>
        <w:rPr>
          <w:rFonts w:hint="eastAsia" w:ascii="宋体" w:hAnsi="宋体" w:cs="宋体"/>
          <w:b/>
          <w:sz w:val="25"/>
          <w:szCs w:val="25"/>
        </w:rPr>
        <w:t>十五、监督部门及联系方式</w:t>
      </w:r>
      <w:bookmarkEnd w:id="23"/>
    </w:p>
    <w:p>
      <w:pPr>
        <w:spacing w:line="360" w:lineRule="auto"/>
        <w:ind w:firstLine="500" w:firstLineChars="200"/>
        <w:rPr>
          <w:rFonts w:ascii="宋体" w:hAnsi="宋体" w:cs="宋体"/>
          <w:sz w:val="25"/>
          <w:szCs w:val="25"/>
        </w:rPr>
      </w:pPr>
      <w:r>
        <w:rPr>
          <w:rFonts w:hint="eastAsia" w:ascii="宋体" w:hAnsi="宋体" w:cs="宋体"/>
          <w:sz w:val="25"/>
          <w:szCs w:val="25"/>
        </w:rPr>
        <w:t>单位监督部门：江西联兴公路工程有限公司党群部</w:t>
      </w:r>
    </w:p>
    <w:p>
      <w:pPr>
        <w:spacing w:line="360" w:lineRule="auto"/>
        <w:ind w:firstLine="500" w:firstLineChars="200"/>
        <w:rPr>
          <w:rFonts w:ascii="宋体" w:hAnsi="宋体" w:cs="宋体"/>
          <w:sz w:val="25"/>
          <w:szCs w:val="25"/>
          <w:u w:val="single"/>
        </w:rPr>
      </w:pPr>
      <w:r>
        <w:rPr>
          <w:rFonts w:hint="eastAsia" w:ascii="宋体" w:hAnsi="宋体" w:cs="宋体"/>
          <w:sz w:val="25"/>
          <w:szCs w:val="25"/>
        </w:rPr>
        <w:t>电    话：</w:t>
      </w:r>
      <w:r>
        <w:rPr>
          <w:rFonts w:hint="eastAsia" w:ascii="宋体" w:hAnsi="宋体" w:cs="宋体"/>
          <w:sz w:val="25"/>
          <w:szCs w:val="25"/>
          <w:u w:val="single"/>
        </w:rPr>
        <w:t>0797-4430320</w:t>
      </w:r>
    </w:p>
    <w:p>
      <w:pPr>
        <w:spacing w:line="360" w:lineRule="auto"/>
        <w:ind w:firstLine="500" w:firstLineChars="200"/>
        <w:outlineLvl w:val="1"/>
        <w:rPr>
          <w:rFonts w:ascii="宋体" w:hAnsi="宋体" w:cs="宋体"/>
          <w:sz w:val="25"/>
          <w:szCs w:val="25"/>
        </w:rPr>
      </w:pPr>
      <w:r>
        <w:rPr>
          <w:rFonts w:hint="eastAsia" w:ascii="宋体" w:hAnsi="宋体" w:cs="宋体"/>
          <w:sz w:val="25"/>
          <w:szCs w:val="25"/>
        </w:rPr>
        <w:t>地    址：赣州市赣县区南塘收费站出口左侧</w:t>
      </w:r>
      <w:r>
        <w:rPr>
          <w:rFonts w:hint="eastAsia" w:ascii="宋体" w:hAnsi="宋体" w:cs="宋体"/>
          <w:bCs/>
          <w:sz w:val="25"/>
          <w:szCs w:val="25"/>
        </w:rPr>
        <w:t>（江西联兴公路工程有限公司）</w:t>
      </w:r>
    </w:p>
    <w:p>
      <w:pPr>
        <w:spacing w:line="420" w:lineRule="exact"/>
        <w:ind w:firstLine="4725" w:firstLineChars="1890"/>
        <w:jc w:val="center"/>
        <w:rPr>
          <w:rFonts w:ascii="宋体" w:hAnsi="宋体"/>
          <w:bCs/>
          <w:sz w:val="24"/>
        </w:rPr>
      </w:pPr>
      <w:r>
        <w:rPr>
          <w:rFonts w:hint="eastAsia" w:ascii="宋体" w:hAnsi="宋体" w:cs="宋体"/>
          <w:sz w:val="25"/>
          <w:szCs w:val="25"/>
        </w:rPr>
        <w:t>江西联兴公路工程有限公司</w:t>
      </w:r>
    </w:p>
    <w:p>
      <w:pPr>
        <w:spacing w:line="360" w:lineRule="auto"/>
        <w:ind w:firstLine="4725" w:firstLineChars="1890"/>
        <w:jc w:val="center"/>
        <w:rPr>
          <w:rFonts w:ascii="宋体" w:hAnsi="宋体" w:cs="宋体"/>
          <w:color w:val="FF0000"/>
          <w:sz w:val="25"/>
          <w:szCs w:val="25"/>
        </w:rPr>
      </w:pPr>
      <w:r>
        <w:rPr>
          <w:rFonts w:hint="eastAsia" w:ascii="宋体" w:hAnsi="宋体" w:cs="宋体"/>
          <w:color w:val="FF0000"/>
          <w:sz w:val="25"/>
          <w:szCs w:val="25"/>
        </w:rPr>
        <w:t>2022年</w:t>
      </w:r>
      <w:r>
        <w:rPr>
          <w:rFonts w:hint="eastAsia" w:ascii="宋体" w:hAnsi="宋体" w:cs="宋体"/>
          <w:color w:val="FF0000"/>
          <w:sz w:val="25"/>
          <w:szCs w:val="25"/>
          <w:lang w:val="en-US" w:eastAsia="zh-CN"/>
        </w:rPr>
        <w:t>12</w:t>
      </w:r>
      <w:r>
        <w:rPr>
          <w:rFonts w:hint="eastAsia" w:ascii="宋体" w:hAnsi="宋体" w:cs="宋体"/>
          <w:color w:val="FF0000"/>
          <w:sz w:val="25"/>
          <w:szCs w:val="25"/>
        </w:rPr>
        <w:t>月</w:t>
      </w:r>
      <w:r>
        <w:rPr>
          <w:rFonts w:hint="eastAsia" w:ascii="宋体" w:hAnsi="宋体" w:cs="宋体"/>
          <w:color w:val="FF0000"/>
          <w:sz w:val="25"/>
          <w:szCs w:val="25"/>
          <w:lang w:val="en-US" w:eastAsia="zh-CN"/>
        </w:rPr>
        <w:t>8</w:t>
      </w:r>
      <w:r>
        <w:rPr>
          <w:rFonts w:hint="eastAsia" w:ascii="宋体" w:hAnsi="宋体" w:cs="宋体"/>
          <w:color w:val="FF0000"/>
          <w:sz w:val="25"/>
          <w:szCs w:val="25"/>
        </w:rPr>
        <w:t>日</w:t>
      </w:r>
    </w:p>
    <w:p>
      <w:pPr>
        <w:spacing w:line="420" w:lineRule="exact"/>
        <w:jc w:val="both"/>
        <w:outlineLvl w:val="0"/>
        <w:rPr>
          <w:rFonts w:hint="eastAsia"/>
          <w:b/>
          <w:sz w:val="36"/>
          <w:szCs w:val="36"/>
        </w:rPr>
      </w:pPr>
    </w:p>
    <w:p>
      <w:pPr>
        <w:spacing w:line="420" w:lineRule="exact"/>
        <w:jc w:val="center"/>
        <w:outlineLvl w:val="0"/>
        <w:rPr>
          <w:b/>
          <w:sz w:val="36"/>
          <w:szCs w:val="36"/>
        </w:rPr>
      </w:pPr>
      <w:r>
        <w:rPr>
          <w:rFonts w:hint="eastAsia"/>
          <w:b/>
          <w:sz w:val="36"/>
          <w:szCs w:val="36"/>
        </w:rPr>
        <w:t>第二章 评审办法</w:t>
      </w:r>
      <w:bookmarkEnd w:id="17"/>
      <w:bookmarkEnd w:id="18"/>
      <w:bookmarkEnd w:id="19"/>
      <w:bookmarkEnd w:id="20"/>
    </w:p>
    <w:p>
      <w:pPr>
        <w:spacing w:line="420" w:lineRule="exact"/>
        <w:ind w:firstLine="482" w:firstLineChars="200"/>
        <w:outlineLvl w:val="1"/>
        <w:rPr>
          <w:rFonts w:ascii="宋体" w:hAnsi="宋体"/>
          <w:b/>
          <w:sz w:val="24"/>
        </w:rPr>
      </w:pPr>
      <w:bookmarkStart w:id="24" w:name="_Toc14447"/>
      <w:bookmarkStart w:id="25" w:name="_Toc22888"/>
      <w:bookmarkStart w:id="26" w:name="_Toc28941"/>
      <w:bookmarkStart w:id="27" w:name="_Toc28294"/>
      <w:r>
        <w:rPr>
          <w:rFonts w:hint="eastAsia" w:ascii="宋体" w:hAnsi="宋体"/>
          <w:b/>
          <w:sz w:val="24"/>
        </w:rPr>
        <w:t>一、评审方法</w:t>
      </w:r>
      <w:bookmarkEnd w:id="24"/>
      <w:bookmarkEnd w:id="25"/>
      <w:bookmarkEnd w:id="26"/>
      <w:bookmarkEnd w:id="27"/>
    </w:p>
    <w:p>
      <w:pPr>
        <w:spacing w:line="420" w:lineRule="exact"/>
        <w:ind w:firstLine="480" w:firstLineChars="200"/>
        <w:rPr>
          <w:rFonts w:ascii="宋体" w:hAnsi="宋体"/>
          <w:sz w:val="24"/>
        </w:rPr>
      </w:pPr>
      <w:r>
        <w:rPr>
          <w:rFonts w:ascii="宋体" w:hAnsi="宋体"/>
          <w:sz w:val="24"/>
        </w:rPr>
        <w:t>本次询价采用经评审</w:t>
      </w:r>
      <w:r>
        <w:rPr>
          <w:rFonts w:hint="eastAsia" w:ascii="宋体" w:hAnsi="宋体"/>
          <w:sz w:val="24"/>
        </w:rPr>
        <w:t>后</w:t>
      </w:r>
      <w:r>
        <w:rPr>
          <w:rFonts w:hint="eastAsia" w:ascii="宋体" w:hAnsi="宋体"/>
          <w:sz w:val="24"/>
          <w:lang w:val="en-US" w:eastAsia="zh-CN"/>
        </w:rPr>
        <w:t>一</w:t>
      </w:r>
      <w:r>
        <w:rPr>
          <w:rFonts w:ascii="宋体" w:hAnsi="宋体"/>
          <w:sz w:val="24"/>
        </w:rPr>
        <w:t>次报价最低价法。</w:t>
      </w:r>
    </w:p>
    <w:p>
      <w:pPr>
        <w:spacing w:line="420" w:lineRule="exact"/>
        <w:ind w:firstLine="482" w:firstLineChars="200"/>
        <w:outlineLvl w:val="1"/>
        <w:rPr>
          <w:rFonts w:ascii="宋体" w:hAnsi="宋体"/>
          <w:b/>
          <w:sz w:val="24"/>
        </w:rPr>
      </w:pPr>
      <w:bookmarkStart w:id="28" w:name="_Toc715"/>
      <w:bookmarkStart w:id="29" w:name="_Toc18774"/>
      <w:bookmarkStart w:id="30" w:name="_Toc17281"/>
      <w:bookmarkStart w:id="31" w:name="_Toc13481"/>
      <w:r>
        <w:rPr>
          <w:rFonts w:hint="eastAsia" w:ascii="宋体" w:hAnsi="宋体"/>
          <w:b/>
          <w:sz w:val="24"/>
        </w:rPr>
        <w:t>二、形式、响应及资格评审标准</w:t>
      </w:r>
      <w:bookmarkEnd w:id="28"/>
      <w:bookmarkEnd w:id="29"/>
      <w:bookmarkEnd w:id="30"/>
      <w:bookmarkEnd w:id="31"/>
    </w:p>
    <w:p>
      <w:pPr>
        <w:spacing w:line="420" w:lineRule="exact"/>
        <w:ind w:firstLine="480" w:firstLineChars="200"/>
        <w:outlineLvl w:val="1"/>
        <w:rPr>
          <w:rFonts w:ascii="宋体" w:hAnsi="宋体"/>
          <w:sz w:val="24"/>
        </w:rPr>
      </w:pPr>
      <w:bookmarkStart w:id="32" w:name="_Toc3210"/>
      <w:bookmarkStart w:id="33" w:name="_Toc31197"/>
      <w:bookmarkStart w:id="34" w:name="_Toc19590"/>
      <w:bookmarkStart w:id="35" w:name="_Toc7019"/>
      <w:bookmarkStart w:id="36" w:name="_Toc23854"/>
      <w:r>
        <w:rPr>
          <w:rFonts w:hint="eastAsia" w:ascii="宋体" w:hAnsi="宋体"/>
          <w:sz w:val="24"/>
        </w:rPr>
        <w:t>1、报价文件按竞争性</w:t>
      </w:r>
      <w:r>
        <w:rPr>
          <w:rFonts w:hint="eastAsia" w:ascii="宋体" w:hAnsi="宋体"/>
          <w:sz w:val="24"/>
          <w:lang w:eastAsia="zh-CN"/>
        </w:rPr>
        <w:t>询价</w:t>
      </w:r>
      <w:r>
        <w:rPr>
          <w:rFonts w:hint="eastAsia" w:ascii="宋体" w:hAnsi="宋体"/>
          <w:sz w:val="24"/>
        </w:rPr>
        <w:t>文件规定的格式、内容填写，字迹清晰可辨；</w:t>
      </w:r>
    </w:p>
    <w:p>
      <w:pPr>
        <w:spacing w:line="420" w:lineRule="exact"/>
        <w:ind w:firstLine="480" w:firstLineChars="200"/>
        <w:outlineLvl w:val="1"/>
        <w:rPr>
          <w:rFonts w:ascii="宋体" w:hAnsi="宋体"/>
          <w:sz w:val="24"/>
        </w:rPr>
      </w:pPr>
      <w:r>
        <w:rPr>
          <w:rFonts w:hint="eastAsia" w:ascii="宋体" w:hAnsi="宋体"/>
          <w:sz w:val="24"/>
        </w:rPr>
        <w:t>2、报价文件上法定代表人或其委托代理人的签字、单位章盖章齐全，符合竞争性</w:t>
      </w:r>
      <w:r>
        <w:rPr>
          <w:rFonts w:hint="eastAsia" w:ascii="宋体" w:hAnsi="宋体"/>
          <w:sz w:val="24"/>
          <w:lang w:eastAsia="zh-CN"/>
        </w:rPr>
        <w:t>询价</w:t>
      </w:r>
      <w:r>
        <w:rPr>
          <w:rFonts w:hint="eastAsia" w:ascii="宋体" w:hAnsi="宋体"/>
          <w:sz w:val="24"/>
        </w:rPr>
        <w:t>文件规定；</w:t>
      </w:r>
    </w:p>
    <w:p>
      <w:pPr>
        <w:spacing w:line="420" w:lineRule="exact"/>
        <w:ind w:firstLine="480" w:firstLineChars="200"/>
        <w:outlineLvl w:val="1"/>
        <w:rPr>
          <w:rFonts w:ascii="宋体" w:hAnsi="宋体"/>
          <w:sz w:val="24"/>
        </w:rPr>
      </w:pPr>
      <w:r>
        <w:rPr>
          <w:rFonts w:hint="eastAsia" w:ascii="宋体" w:hAnsi="宋体"/>
          <w:sz w:val="24"/>
        </w:rPr>
        <w:t>3、报价文件对竞争性</w:t>
      </w:r>
      <w:r>
        <w:rPr>
          <w:rFonts w:hint="eastAsia" w:ascii="宋体" w:hAnsi="宋体"/>
          <w:sz w:val="24"/>
          <w:lang w:eastAsia="zh-CN"/>
        </w:rPr>
        <w:t>询价</w:t>
      </w:r>
      <w:r>
        <w:rPr>
          <w:rFonts w:hint="eastAsia" w:ascii="宋体" w:hAnsi="宋体"/>
          <w:sz w:val="24"/>
        </w:rPr>
        <w:t>文件的实质性要求和条件作出响应；</w:t>
      </w:r>
    </w:p>
    <w:p>
      <w:pPr>
        <w:spacing w:line="420" w:lineRule="exact"/>
        <w:ind w:firstLine="480" w:firstLineChars="200"/>
        <w:outlineLvl w:val="1"/>
        <w:rPr>
          <w:rFonts w:ascii="宋体" w:hAnsi="宋体"/>
          <w:sz w:val="24"/>
        </w:rPr>
      </w:pPr>
      <w:r>
        <w:rPr>
          <w:rFonts w:hint="eastAsia" w:ascii="宋体" w:hAnsi="宋体"/>
          <w:sz w:val="24"/>
        </w:rPr>
        <w:t>4、权利义务符合竞争性</w:t>
      </w:r>
      <w:r>
        <w:rPr>
          <w:rFonts w:hint="eastAsia" w:ascii="宋体" w:hAnsi="宋体"/>
          <w:sz w:val="24"/>
          <w:lang w:eastAsia="zh-CN"/>
        </w:rPr>
        <w:t>询价</w:t>
      </w:r>
      <w:r>
        <w:rPr>
          <w:rFonts w:hint="eastAsia" w:ascii="宋体" w:hAnsi="宋体"/>
          <w:sz w:val="24"/>
        </w:rPr>
        <w:t>文件规定；</w:t>
      </w:r>
    </w:p>
    <w:p>
      <w:pPr>
        <w:spacing w:line="420" w:lineRule="exact"/>
        <w:ind w:firstLine="480" w:firstLineChars="200"/>
        <w:outlineLvl w:val="1"/>
        <w:rPr>
          <w:rFonts w:ascii="宋体" w:hAnsi="宋体"/>
          <w:sz w:val="24"/>
        </w:rPr>
      </w:pPr>
      <w:r>
        <w:rPr>
          <w:rFonts w:hint="eastAsia" w:ascii="宋体" w:hAnsi="宋体"/>
          <w:sz w:val="24"/>
        </w:rPr>
        <w:t>5、具备有效的营业执照</w:t>
      </w:r>
      <w:r>
        <w:rPr>
          <w:rFonts w:hint="eastAsia" w:ascii="宋体" w:hAnsi="宋体"/>
          <w:b/>
          <w:bCs/>
          <w:sz w:val="24"/>
          <w:lang w:eastAsia="zh-CN"/>
        </w:rPr>
        <w:t>及安全生产许可证</w:t>
      </w:r>
      <w:r>
        <w:rPr>
          <w:rFonts w:hint="eastAsia" w:ascii="宋体" w:hAnsi="宋体"/>
          <w:sz w:val="24"/>
        </w:rPr>
        <w:t>，经营范围满足竞争性</w:t>
      </w:r>
      <w:r>
        <w:rPr>
          <w:rFonts w:hint="eastAsia" w:ascii="宋体" w:hAnsi="宋体"/>
          <w:sz w:val="24"/>
          <w:lang w:eastAsia="zh-CN"/>
        </w:rPr>
        <w:t>询价</w:t>
      </w:r>
      <w:r>
        <w:rPr>
          <w:rFonts w:hint="eastAsia" w:ascii="宋体" w:hAnsi="宋体"/>
          <w:sz w:val="24"/>
        </w:rPr>
        <w:t>文件要求；</w:t>
      </w:r>
    </w:p>
    <w:p>
      <w:pPr>
        <w:spacing w:line="420" w:lineRule="exact"/>
        <w:ind w:firstLine="480" w:firstLineChars="200"/>
        <w:outlineLvl w:val="1"/>
        <w:rPr>
          <w:rFonts w:ascii="宋体" w:hAnsi="宋体"/>
          <w:sz w:val="24"/>
        </w:rPr>
      </w:pPr>
      <w:r>
        <w:rPr>
          <w:rFonts w:hint="eastAsia" w:ascii="宋体" w:hAnsi="宋体"/>
          <w:sz w:val="24"/>
        </w:rPr>
        <w:t>6、业绩符合竞争性</w:t>
      </w:r>
      <w:r>
        <w:rPr>
          <w:rFonts w:hint="eastAsia" w:ascii="宋体" w:hAnsi="宋体"/>
          <w:sz w:val="24"/>
          <w:lang w:eastAsia="zh-CN"/>
        </w:rPr>
        <w:t>询价</w:t>
      </w:r>
      <w:r>
        <w:rPr>
          <w:rFonts w:hint="eastAsia" w:ascii="宋体" w:hAnsi="宋体"/>
          <w:sz w:val="24"/>
        </w:rPr>
        <w:t>文件规定；</w:t>
      </w:r>
    </w:p>
    <w:p>
      <w:pPr>
        <w:spacing w:line="420" w:lineRule="exact"/>
        <w:ind w:firstLine="480" w:firstLineChars="200"/>
        <w:outlineLvl w:val="1"/>
        <w:rPr>
          <w:rFonts w:ascii="宋体" w:hAnsi="宋体"/>
          <w:sz w:val="24"/>
        </w:rPr>
      </w:pPr>
      <w:r>
        <w:rPr>
          <w:rFonts w:hint="eastAsia" w:ascii="宋体" w:hAnsi="宋体"/>
          <w:sz w:val="24"/>
        </w:rPr>
        <w:t>7、信誉符合报价文件规定。</w:t>
      </w:r>
    </w:p>
    <w:p>
      <w:pPr>
        <w:spacing w:line="420" w:lineRule="exact"/>
        <w:ind w:firstLine="482" w:firstLineChars="200"/>
        <w:outlineLvl w:val="1"/>
        <w:rPr>
          <w:rFonts w:ascii="宋体" w:hAnsi="宋体"/>
          <w:b/>
          <w:sz w:val="24"/>
        </w:rPr>
      </w:pPr>
      <w:r>
        <w:rPr>
          <w:rFonts w:hint="eastAsia" w:ascii="宋体" w:hAnsi="宋体"/>
          <w:b/>
          <w:sz w:val="24"/>
        </w:rPr>
        <w:t>三、评审程序</w:t>
      </w:r>
      <w:bookmarkEnd w:id="32"/>
      <w:bookmarkEnd w:id="33"/>
      <w:bookmarkEnd w:id="34"/>
      <w:bookmarkEnd w:id="35"/>
      <w:bookmarkEnd w:id="36"/>
    </w:p>
    <w:p>
      <w:pPr>
        <w:spacing w:line="420" w:lineRule="exact"/>
        <w:ind w:firstLine="480" w:firstLineChars="200"/>
        <w:rPr>
          <w:rFonts w:hint="eastAsia" w:ascii="宋体" w:hAnsi="宋体"/>
          <w:sz w:val="24"/>
        </w:rPr>
      </w:pPr>
      <w:r>
        <w:rPr>
          <w:rFonts w:hint="eastAsia" w:ascii="宋体" w:hAnsi="宋体"/>
          <w:sz w:val="24"/>
        </w:rPr>
        <w:t>询价小组对报价文件的有效性、完整性和响应程度进行初步评审，未做出实质性响应的不得进入报价评审程序。递交报价文件或对询价文件做出实质性响应的单位少于3家时，应终止询价，重新组织询价。</w:t>
      </w:r>
    </w:p>
    <w:p>
      <w:pPr>
        <w:spacing w:line="420" w:lineRule="exact"/>
        <w:ind w:firstLine="480" w:firstLineChars="200"/>
        <w:rPr>
          <w:rFonts w:hint="eastAsia" w:ascii="宋体" w:hAnsi="宋体"/>
          <w:sz w:val="24"/>
        </w:rPr>
      </w:pPr>
      <w:r>
        <w:rPr>
          <w:rFonts w:hint="eastAsia" w:ascii="宋体" w:hAnsi="宋体"/>
          <w:sz w:val="24"/>
        </w:rPr>
        <w:t>询价方现场当众开启报价文件，询价小组依据本章第二条形式、响应及资格评审标准对报价文件进行形式、响应及资格评审。有一项不符合评审标准的，将不通过评审。通过评审的报价文件，</w:t>
      </w:r>
      <w:r>
        <w:rPr>
          <w:rFonts w:hint="eastAsia" w:ascii="宋体" w:hAnsi="宋体"/>
          <w:sz w:val="24"/>
          <w:lang w:eastAsia="zh-CN"/>
        </w:rPr>
        <w:t>询价</w:t>
      </w:r>
      <w:r>
        <w:rPr>
          <w:rFonts w:hint="eastAsia" w:ascii="宋体" w:hAnsi="宋体"/>
          <w:sz w:val="24"/>
        </w:rPr>
        <w:t>小组按一轮报价由低到高的顺序推荐候选人。</w:t>
      </w:r>
    </w:p>
    <w:p>
      <w:pPr>
        <w:spacing w:line="420" w:lineRule="exact"/>
        <w:ind w:firstLine="480" w:firstLineChars="200"/>
        <w:rPr>
          <w:rFonts w:hint="eastAsia" w:ascii="宋体" w:hAnsi="宋体"/>
          <w:sz w:val="24"/>
        </w:rPr>
      </w:pPr>
      <w:r>
        <w:rPr>
          <w:rFonts w:hint="eastAsia" w:ascii="宋体" w:hAnsi="宋体"/>
          <w:sz w:val="24"/>
        </w:rPr>
        <w:t>如有2个及以上单位的报价一致且均为最低价时，</w:t>
      </w:r>
      <w:r>
        <w:rPr>
          <w:rFonts w:hint="eastAsia" w:ascii="宋体" w:hAnsi="宋体"/>
          <w:sz w:val="24"/>
          <w:lang w:eastAsia="zh-CN"/>
        </w:rPr>
        <w:t>询价</w:t>
      </w:r>
      <w:r>
        <w:rPr>
          <w:rFonts w:hint="eastAsia" w:ascii="宋体" w:hAnsi="宋体"/>
          <w:sz w:val="24"/>
          <w:lang w:val="en-US" w:eastAsia="zh-CN"/>
        </w:rPr>
        <w:t>(谈判)</w:t>
      </w:r>
      <w:r>
        <w:rPr>
          <w:rFonts w:hint="eastAsia" w:ascii="宋体" w:hAnsi="宋体"/>
          <w:sz w:val="24"/>
        </w:rPr>
        <w:t>小组将采用逐个谈判的方式确定第一候选人。逐个谈判后仍有2个及以上单位的报价一致且均为最低价时，将采用现场抽签的方式确定第一候选人。</w:t>
      </w:r>
    </w:p>
    <w:p>
      <w:pPr>
        <w:spacing w:line="420" w:lineRule="exact"/>
        <w:ind w:firstLine="482" w:firstLineChars="200"/>
        <w:rPr>
          <w:rFonts w:ascii="宋体" w:hAnsi="宋体"/>
          <w:b/>
          <w:bCs/>
          <w:sz w:val="24"/>
        </w:rPr>
      </w:pPr>
      <w:r>
        <w:rPr>
          <w:rFonts w:hint="eastAsia" w:ascii="宋体" w:hAnsi="宋体"/>
          <w:b/>
          <w:bCs/>
          <w:sz w:val="24"/>
          <w:lang w:val="en-US" w:eastAsia="zh-CN"/>
        </w:rPr>
        <w:t>四、</w:t>
      </w:r>
      <w:r>
        <w:rPr>
          <w:rFonts w:ascii="宋体" w:hAnsi="宋体"/>
          <w:b/>
          <w:bCs/>
          <w:sz w:val="24"/>
        </w:rPr>
        <w:t>评审结果</w:t>
      </w:r>
    </w:p>
    <w:p>
      <w:pPr>
        <w:spacing w:line="420" w:lineRule="exact"/>
        <w:ind w:firstLine="480" w:firstLineChars="200"/>
        <w:rPr>
          <w:rFonts w:ascii="宋体" w:hAnsi="宋体"/>
          <w:sz w:val="24"/>
        </w:rPr>
      </w:pPr>
      <w:r>
        <w:rPr>
          <w:rFonts w:hint="eastAsia" w:ascii="宋体" w:hAnsi="宋体"/>
          <w:sz w:val="24"/>
        </w:rPr>
        <w:t>1、</w:t>
      </w:r>
      <w:r>
        <w:rPr>
          <w:rFonts w:hint="eastAsia" w:ascii="宋体" w:hAnsi="宋体"/>
          <w:sz w:val="24"/>
          <w:lang w:eastAsia="zh-CN"/>
        </w:rPr>
        <w:t>询价</w:t>
      </w:r>
      <w:r>
        <w:rPr>
          <w:rFonts w:hint="eastAsia" w:ascii="宋体" w:hAnsi="宋体"/>
          <w:sz w:val="24"/>
        </w:rPr>
        <w:t>小组（由</w:t>
      </w:r>
      <w:r>
        <w:rPr>
          <w:rFonts w:hint="eastAsia" w:ascii="宋体" w:hAnsi="宋体"/>
          <w:sz w:val="24"/>
          <w:lang w:eastAsia="zh-CN"/>
        </w:rPr>
        <w:t>询价方及公司</w:t>
      </w:r>
      <w:r>
        <w:rPr>
          <w:rFonts w:hint="eastAsia" w:ascii="宋体" w:hAnsi="宋体"/>
          <w:sz w:val="24"/>
        </w:rPr>
        <w:t>相关部门代表组成，成员不少于3人）</w:t>
      </w:r>
      <w:r>
        <w:rPr>
          <w:rFonts w:ascii="宋体" w:hAnsi="宋体"/>
          <w:sz w:val="24"/>
        </w:rPr>
        <w:t>按照</w:t>
      </w:r>
      <w:r>
        <w:rPr>
          <w:rFonts w:hint="eastAsia" w:ascii="宋体" w:hAnsi="宋体"/>
          <w:sz w:val="24"/>
        </w:rPr>
        <w:t>最终报价</w:t>
      </w:r>
      <w:r>
        <w:rPr>
          <w:rFonts w:ascii="宋体" w:hAnsi="宋体"/>
          <w:sz w:val="24"/>
        </w:rPr>
        <w:t>由</w:t>
      </w:r>
      <w:r>
        <w:rPr>
          <w:rFonts w:hint="eastAsia" w:ascii="宋体" w:hAnsi="宋体"/>
          <w:sz w:val="24"/>
        </w:rPr>
        <w:t>低</w:t>
      </w:r>
      <w:r>
        <w:rPr>
          <w:rFonts w:ascii="宋体" w:hAnsi="宋体"/>
          <w:sz w:val="24"/>
        </w:rPr>
        <w:t>到</w:t>
      </w:r>
      <w:r>
        <w:rPr>
          <w:rFonts w:hint="eastAsia" w:ascii="宋体" w:hAnsi="宋体"/>
          <w:sz w:val="24"/>
        </w:rPr>
        <w:t>高</w:t>
      </w:r>
      <w:r>
        <w:rPr>
          <w:rFonts w:ascii="宋体" w:hAnsi="宋体"/>
          <w:sz w:val="24"/>
        </w:rPr>
        <w:t>的顺序推荐候选人3名。</w:t>
      </w:r>
    </w:p>
    <w:p>
      <w:pPr>
        <w:spacing w:line="420" w:lineRule="exact"/>
        <w:ind w:firstLine="480" w:firstLineChars="200"/>
        <w:rPr>
          <w:rFonts w:ascii="宋体" w:hAnsi="宋体"/>
          <w:sz w:val="24"/>
        </w:rPr>
      </w:pPr>
      <w:r>
        <w:rPr>
          <w:rFonts w:hint="eastAsia" w:ascii="宋体" w:hAnsi="宋体"/>
          <w:sz w:val="24"/>
        </w:rPr>
        <w:t>2、</w:t>
      </w:r>
      <w:r>
        <w:rPr>
          <w:rFonts w:hint="eastAsia" w:ascii="宋体" w:hAnsi="宋体"/>
          <w:sz w:val="24"/>
          <w:lang w:eastAsia="zh-CN"/>
        </w:rPr>
        <w:t>询价</w:t>
      </w:r>
      <w:r>
        <w:rPr>
          <w:rFonts w:hint="eastAsia" w:ascii="宋体" w:hAnsi="宋体"/>
          <w:sz w:val="24"/>
        </w:rPr>
        <w:t>小组</w:t>
      </w:r>
      <w:r>
        <w:rPr>
          <w:rFonts w:ascii="宋体" w:hAnsi="宋体"/>
          <w:sz w:val="24"/>
        </w:rPr>
        <w:t>完成评审后，应当</w:t>
      </w:r>
      <w:r>
        <w:rPr>
          <w:rFonts w:hint="eastAsia" w:ascii="宋体" w:hAnsi="宋体"/>
          <w:sz w:val="24"/>
        </w:rPr>
        <w:t>出具</w:t>
      </w:r>
      <w:r>
        <w:rPr>
          <w:rFonts w:ascii="宋体" w:hAnsi="宋体"/>
          <w:sz w:val="24"/>
        </w:rPr>
        <w:t>书面评</w:t>
      </w:r>
      <w:r>
        <w:rPr>
          <w:rFonts w:hint="eastAsia" w:ascii="宋体" w:hAnsi="宋体"/>
          <w:sz w:val="24"/>
        </w:rPr>
        <w:t>审</w:t>
      </w:r>
      <w:r>
        <w:rPr>
          <w:rFonts w:ascii="宋体" w:hAnsi="宋体"/>
          <w:sz w:val="24"/>
        </w:rPr>
        <w:t>报告</w:t>
      </w:r>
      <w:r>
        <w:rPr>
          <w:rFonts w:hint="eastAsia" w:ascii="宋体" w:hAnsi="宋体"/>
          <w:sz w:val="24"/>
        </w:rPr>
        <w:t>。</w:t>
      </w:r>
    </w:p>
    <w:p>
      <w:pPr>
        <w:autoSpaceDE w:val="0"/>
        <w:autoSpaceDN w:val="0"/>
        <w:adjustRightInd w:val="0"/>
        <w:spacing w:line="420" w:lineRule="exact"/>
        <w:jc w:val="center"/>
        <w:rPr>
          <w:rFonts w:ascii="宋体" w:hAnsi="宋体"/>
          <w:bCs/>
          <w:sz w:val="24"/>
        </w:rPr>
      </w:pPr>
    </w:p>
    <w:p>
      <w:pPr>
        <w:spacing w:line="420" w:lineRule="exact"/>
        <w:jc w:val="center"/>
        <w:outlineLvl w:val="0"/>
        <w:rPr>
          <w:rFonts w:eastAsia="黑体"/>
          <w:sz w:val="30"/>
          <w:szCs w:val="30"/>
        </w:rPr>
      </w:pPr>
      <w:r>
        <w:rPr>
          <w:rFonts w:ascii="宋体" w:hAnsi="宋体"/>
          <w:bCs/>
          <w:sz w:val="24"/>
        </w:rPr>
        <w:br w:type="page"/>
      </w:r>
      <w:bookmarkStart w:id="37" w:name="_Toc13740"/>
      <w:bookmarkStart w:id="38" w:name="_Toc10444"/>
      <w:bookmarkStart w:id="39" w:name="_Toc6506"/>
      <w:r>
        <w:rPr>
          <w:rFonts w:hint="eastAsia"/>
          <w:b/>
          <w:sz w:val="36"/>
          <w:szCs w:val="36"/>
        </w:rPr>
        <w:t>第三章 响应文件格式</w:t>
      </w:r>
      <w:bookmarkEnd w:id="37"/>
      <w:bookmarkEnd w:id="38"/>
      <w:bookmarkEnd w:id="39"/>
    </w:p>
    <w:p>
      <w:pPr>
        <w:jc w:val="center"/>
        <w:rPr>
          <w:rFonts w:eastAsia="黑体"/>
          <w:sz w:val="30"/>
          <w:szCs w:val="30"/>
        </w:rPr>
      </w:pPr>
    </w:p>
    <w:p>
      <w:pPr>
        <w:jc w:val="center"/>
        <w:outlineLvl w:val="1"/>
        <w:rPr>
          <w:rFonts w:eastAsia="黑体"/>
          <w:sz w:val="30"/>
          <w:szCs w:val="30"/>
        </w:rPr>
      </w:pPr>
      <w:bookmarkStart w:id="40" w:name="_Toc16453"/>
      <w:bookmarkStart w:id="41" w:name="_Toc24167"/>
      <w:bookmarkStart w:id="42" w:name="_Toc29517"/>
      <w:bookmarkStart w:id="43" w:name="_Toc13370"/>
      <w:r>
        <w:rPr>
          <w:rFonts w:hint="eastAsia" w:eastAsia="黑体"/>
          <w:sz w:val="30"/>
          <w:szCs w:val="30"/>
        </w:rPr>
        <w:t>授权委托书</w:t>
      </w:r>
      <w:bookmarkEnd w:id="40"/>
      <w:bookmarkEnd w:id="41"/>
      <w:bookmarkEnd w:id="42"/>
      <w:bookmarkEnd w:id="43"/>
    </w:p>
    <w:p>
      <w:pPr>
        <w:pStyle w:val="5"/>
        <w:ind w:firstLine="0" w:firstLineChars="0"/>
        <w:rPr>
          <w:rFonts w:ascii="宋体" w:hAnsi="宋体"/>
          <w:szCs w:val="24"/>
        </w:rPr>
      </w:pPr>
    </w:p>
    <w:p>
      <w:pPr>
        <w:spacing w:line="360" w:lineRule="auto"/>
        <w:ind w:firstLine="48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cs="华文楷体"/>
          <w:sz w:val="24"/>
          <w:u w:val="single"/>
        </w:rPr>
        <w:t>（姓名）</w:t>
      </w:r>
      <w:r>
        <w:rPr>
          <w:rFonts w:hint="eastAsia" w:ascii="宋体" w:hAnsi="宋体"/>
          <w:sz w:val="24"/>
          <w:u w:val="single"/>
        </w:rPr>
        <w:t xml:space="preserve"> </w:t>
      </w:r>
      <w:r>
        <w:rPr>
          <w:rFonts w:ascii="宋体" w:hAnsi="宋体"/>
          <w:sz w:val="24"/>
        </w:rPr>
        <w:t>系</w:t>
      </w:r>
      <w:r>
        <w:rPr>
          <w:rFonts w:hint="eastAsia" w:ascii="宋体" w:hAnsi="宋体"/>
          <w:sz w:val="24"/>
          <w:u w:val="single"/>
        </w:rPr>
        <w:t xml:space="preserve"> </w:t>
      </w:r>
      <w:r>
        <w:rPr>
          <w:rFonts w:hint="eastAsia" w:ascii="宋体" w:hAnsi="宋体" w:cs="华文楷体"/>
          <w:sz w:val="24"/>
          <w:u w:val="single"/>
        </w:rPr>
        <w:t>（</w:t>
      </w:r>
      <w:r>
        <w:rPr>
          <w:rFonts w:hint="eastAsia" w:ascii="宋体" w:hAnsi="宋体"/>
          <w:sz w:val="24"/>
          <w:u w:val="single"/>
        </w:rPr>
        <w:t>报价方</w:t>
      </w:r>
      <w:r>
        <w:rPr>
          <w:rFonts w:hint="eastAsia" w:ascii="宋体" w:hAnsi="宋体" w:cs="华文楷体"/>
          <w:sz w:val="24"/>
          <w:u w:val="single"/>
        </w:rPr>
        <w:t>名称）</w:t>
      </w:r>
      <w:r>
        <w:rPr>
          <w:rFonts w:hint="eastAsia" w:ascii="宋体" w:hAnsi="宋体"/>
          <w:sz w:val="24"/>
          <w:u w:val="single"/>
        </w:rPr>
        <w:t xml:space="preserve"> </w:t>
      </w:r>
      <w:r>
        <w:rPr>
          <w:rFonts w:ascii="宋体" w:hAnsi="宋体"/>
          <w:sz w:val="24"/>
        </w:rPr>
        <w:t>的</w:t>
      </w:r>
      <w:r>
        <w:rPr>
          <w:rFonts w:hint="eastAsia" w:ascii="宋体" w:hAnsi="宋体"/>
          <w:sz w:val="24"/>
        </w:rPr>
        <w:t>法定代表人/单位负责人，</w:t>
      </w:r>
      <w:r>
        <w:rPr>
          <w:rFonts w:ascii="宋体" w:hAnsi="宋体"/>
          <w:sz w:val="24"/>
        </w:rPr>
        <w:t>现委托</w:t>
      </w:r>
      <w:r>
        <w:rPr>
          <w:rFonts w:hint="eastAsia" w:ascii="宋体" w:hAnsi="宋体" w:cs="华文楷体"/>
          <w:sz w:val="24"/>
          <w:u w:val="single"/>
        </w:rPr>
        <w:t>（姓名）</w:t>
      </w:r>
      <w:r>
        <w:rPr>
          <w:rFonts w:ascii="宋体" w:hAnsi="宋体"/>
          <w:sz w:val="24"/>
        </w:rPr>
        <w:t>为我方代理人。代理人</w:t>
      </w:r>
      <w:r>
        <w:rPr>
          <w:rFonts w:hint="eastAsia" w:ascii="宋体" w:hAnsi="宋体"/>
          <w:sz w:val="24"/>
        </w:rPr>
        <w:t>根据授权，</w:t>
      </w:r>
      <w:r>
        <w:rPr>
          <w:rFonts w:ascii="宋体" w:hAnsi="宋体"/>
          <w:sz w:val="24"/>
        </w:rPr>
        <w:t>以我方名义签署、澄清</w:t>
      </w:r>
      <w:r>
        <w:rPr>
          <w:rFonts w:hint="eastAsia" w:ascii="宋体" w:hAnsi="宋体"/>
          <w:sz w:val="24"/>
        </w:rPr>
        <w:t>、确认</w:t>
      </w:r>
      <w:r>
        <w:rPr>
          <w:rFonts w:ascii="宋体" w:hAnsi="宋体"/>
          <w:sz w:val="24"/>
        </w:rPr>
        <w:t>、递交、撤回、修改</w:t>
      </w:r>
      <w:r>
        <w:rPr>
          <w:rFonts w:hint="eastAsia" w:ascii="宋体" w:hAnsi="宋体"/>
          <w:sz w:val="24"/>
          <w:u w:val="single"/>
        </w:rPr>
        <w:t>（项目名称）</w:t>
      </w:r>
      <w:r>
        <w:rPr>
          <w:rFonts w:ascii="宋体" w:hAnsi="宋体"/>
          <w:sz w:val="24"/>
        </w:rPr>
        <w:t>报价文件、签订合同和处理有关事宜，其法律后果由我方承担。</w:t>
      </w:r>
    </w:p>
    <w:p>
      <w:pPr>
        <w:spacing w:line="360" w:lineRule="auto"/>
        <w:ind w:firstLine="480"/>
        <w:rPr>
          <w:rFonts w:ascii="宋体" w:hAnsi="宋体"/>
          <w:sz w:val="24"/>
        </w:rPr>
      </w:pPr>
      <w:r>
        <w:rPr>
          <w:rFonts w:ascii="宋体" w:hAnsi="宋体"/>
          <w:sz w:val="24"/>
        </w:rPr>
        <w:t>委托期限：</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rPr>
          <w:rFonts w:ascii="宋体" w:hAnsi="宋体"/>
          <w:sz w:val="24"/>
        </w:rPr>
      </w:pPr>
      <w:r>
        <w:rPr>
          <w:rFonts w:ascii="宋体" w:hAnsi="宋体"/>
          <w:sz w:val="24"/>
        </w:rPr>
        <w:t>代理人无转委托权。</w:t>
      </w:r>
    </w:p>
    <w:p>
      <w:pPr>
        <w:spacing w:line="360" w:lineRule="auto"/>
        <w:ind w:firstLine="480"/>
        <w:rPr>
          <w:rFonts w:ascii="宋体" w:hAnsi="宋体"/>
          <w:sz w:val="24"/>
        </w:rPr>
      </w:pPr>
      <w:r>
        <w:rPr>
          <w:rFonts w:hint="eastAsia" w:ascii="宋体" w:hAnsi="宋体"/>
          <w:sz w:val="24"/>
        </w:rPr>
        <w:t>附：法定代表人/单位负责人身份证复印件及委托代理人身份证复印件</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注：本授权委托书需由报价方加盖单位公章并由其法定代表人/单位负责人签字。</w:t>
      </w:r>
    </w:p>
    <w:p>
      <w:pPr>
        <w:spacing w:line="360" w:lineRule="auto"/>
        <w:ind w:firstLine="480"/>
        <w:rPr>
          <w:rFonts w:ascii="宋体" w:hAnsi="宋体"/>
          <w:sz w:val="24"/>
        </w:rPr>
      </w:pPr>
    </w:p>
    <w:p>
      <w:pPr>
        <w:spacing w:line="360" w:lineRule="auto"/>
        <w:ind w:firstLine="3076" w:firstLineChars="1282"/>
        <w:rPr>
          <w:rFonts w:ascii="宋体" w:hAnsi="宋体"/>
          <w:sz w:val="24"/>
          <w:u w:val="single"/>
        </w:rPr>
      </w:pPr>
      <w:r>
        <w:rPr>
          <w:rFonts w:hint="eastAsia" w:ascii="宋体" w:hAnsi="宋体"/>
          <w:sz w:val="24"/>
        </w:rPr>
        <w:t>报价方（单位公章）</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3074" w:firstLineChars="1281"/>
        <w:rPr>
          <w:rFonts w:ascii="宋体" w:hAnsi="宋体"/>
          <w:sz w:val="24"/>
        </w:rPr>
      </w:pPr>
      <w:r>
        <w:rPr>
          <w:rFonts w:hint="eastAsia" w:ascii="宋体" w:hAnsi="宋体"/>
          <w:sz w:val="24"/>
        </w:rPr>
        <w:t>法定代表人（签字）</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ind w:firstLine="3076" w:firstLineChars="1282"/>
        <w:rPr>
          <w:rFonts w:ascii="宋体" w:hAnsi="宋体"/>
          <w:sz w:val="24"/>
          <w:u w:val="single"/>
        </w:rPr>
      </w:pPr>
      <w:r>
        <w:rPr>
          <w:rFonts w:hint="eastAsia" w:ascii="宋体" w:hAnsi="宋体"/>
          <w:sz w:val="24"/>
        </w:rPr>
        <w:t>委托</w:t>
      </w:r>
      <w:r>
        <w:rPr>
          <w:rFonts w:ascii="宋体" w:hAnsi="宋体"/>
          <w:sz w:val="24"/>
        </w:rPr>
        <w:t>代理人</w:t>
      </w:r>
      <w:r>
        <w:rPr>
          <w:rFonts w:hint="eastAsia" w:ascii="宋体" w:hAnsi="宋体"/>
          <w:sz w:val="24"/>
        </w:rPr>
        <w:t>（签字）</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5520" w:firstLineChars="230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360" w:lineRule="auto"/>
        <w:rPr>
          <w:rFonts w:ascii="宋体" w:hAnsi="宋体"/>
          <w:sz w:val="24"/>
        </w:rPr>
      </w:pPr>
    </w:p>
    <w:p>
      <w:pPr>
        <w:spacing w:line="360" w:lineRule="auto"/>
        <w:ind w:firstLine="480"/>
        <w:rPr>
          <w:rFonts w:ascii="宋体" w:hAnsi="宋体"/>
          <w:szCs w:val="21"/>
        </w:rPr>
      </w:pPr>
      <w:r>
        <w:rPr>
          <w:rFonts w:hint="eastAsia" w:ascii="宋体" w:hAnsi="宋体"/>
          <w:szCs w:val="21"/>
        </w:rPr>
        <w:t>注：如报价方法定代表人/单位负责人参加采购行为，只需附其身份证复印件、法人代表证书等复印件。</w:t>
      </w:r>
    </w:p>
    <w:p>
      <w:pPr>
        <w:autoSpaceDE w:val="0"/>
        <w:autoSpaceDN w:val="0"/>
        <w:adjustRightInd w:val="0"/>
        <w:spacing w:line="360" w:lineRule="auto"/>
        <w:jc w:val="center"/>
        <w:rPr>
          <w:rFonts w:ascii="宋体" w:hAnsi="宋体"/>
          <w:bCs/>
          <w:sz w:val="24"/>
        </w:rPr>
      </w:pPr>
    </w:p>
    <w:p>
      <w:pPr>
        <w:jc w:val="center"/>
        <w:outlineLvl w:val="1"/>
        <w:rPr>
          <w:b/>
          <w:sz w:val="36"/>
          <w:szCs w:val="36"/>
        </w:rPr>
      </w:pPr>
      <w:bookmarkStart w:id="44" w:name="_Toc24176"/>
      <w:bookmarkStart w:id="45" w:name="_Toc7050"/>
    </w:p>
    <w:p>
      <w:pPr>
        <w:jc w:val="center"/>
        <w:outlineLvl w:val="1"/>
        <w:rPr>
          <w:b/>
          <w:sz w:val="36"/>
          <w:szCs w:val="36"/>
        </w:rPr>
      </w:pPr>
    </w:p>
    <w:p>
      <w:pPr>
        <w:jc w:val="center"/>
        <w:outlineLvl w:val="1"/>
        <w:rPr>
          <w:b/>
          <w:sz w:val="36"/>
          <w:szCs w:val="36"/>
        </w:rPr>
      </w:pPr>
    </w:p>
    <w:p>
      <w:pPr>
        <w:jc w:val="center"/>
        <w:outlineLvl w:val="1"/>
        <w:rPr>
          <w:b/>
          <w:sz w:val="36"/>
          <w:szCs w:val="36"/>
        </w:rPr>
      </w:pPr>
    </w:p>
    <w:p>
      <w:pPr>
        <w:jc w:val="center"/>
        <w:outlineLvl w:val="1"/>
        <w:rPr>
          <w:b/>
          <w:sz w:val="36"/>
          <w:szCs w:val="36"/>
        </w:rPr>
      </w:pPr>
    </w:p>
    <w:p>
      <w:pPr>
        <w:jc w:val="center"/>
        <w:outlineLvl w:val="1"/>
        <w:rPr>
          <w:b/>
          <w:sz w:val="36"/>
          <w:szCs w:val="36"/>
        </w:rPr>
      </w:pPr>
    </w:p>
    <w:p>
      <w:pPr>
        <w:jc w:val="center"/>
        <w:outlineLvl w:val="1"/>
        <w:rPr>
          <w:b/>
          <w:sz w:val="36"/>
          <w:szCs w:val="36"/>
        </w:rPr>
      </w:pPr>
      <w:r>
        <w:rPr>
          <w:rFonts w:hint="eastAsia"/>
          <w:b/>
          <w:sz w:val="36"/>
          <w:szCs w:val="36"/>
        </w:rPr>
        <w:t>报  价  函</w:t>
      </w:r>
      <w:bookmarkEnd w:id="44"/>
      <w:bookmarkEnd w:id="45"/>
    </w:p>
    <w:p>
      <w:pPr>
        <w:tabs>
          <w:tab w:val="left" w:pos="2500"/>
        </w:tabs>
        <w:autoSpaceDE w:val="0"/>
        <w:autoSpaceDN w:val="0"/>
        <w:adjustRightInd w:val="0"/>
        <w:rPr>
          <w:b/>
          <w:position w:val="-4"/>
          <w:sz w:val="28"/>
          <w:szCs w:val="28"/>
        </w:rPr>
      </w:pPr>
    </w:p>
    <w:p>
      <w:pPr>
        <w:tabs>
          <w:tab w:val="left" w:pos="2500"/>
        </w:tabs>
        <w:autoSpaceDE w:val="0"/>
        <w:autoSpaceDN w:val="0"/>
        <w:adjustRightInd w:val="0"/>
        <w:rPr>
          <w:sz w:val="24"/>
        </w:rPr>
      </w:pPr>
      <w:r>
        <w:rPr>
          <w:b/>
          <w:position w:val="-4"/>
          <w:sz w:val="24"/>
        </w:rPr>
        <w:t>致：</w:t>
      </w:r>
      <w:r>
        <w:rPr>
          <w:rFonts w:hint="eastAsia"/>
          <w:b/>
          <w:position w:val="-4"/>
          <w:sz w:val="24"/>
        </w:rPr>
        <w:t>江西联兴公路工程有限公司</w:t>
      </w:r>
      <w:r>
        <w:rPr>
          <w:b/>
          <w:position w:val="-4"/>
          <w:sz w:val="24"/>
        </w:rPr>
        <w:t xml:space="preserve"> </w:t>
      </w:r>
    </w:p>
    <w:p>
      <w:pPr>
        <w:spacing w:line="420" w:lineRule="exact"/>
        <w:jc w:val="left"/>
        <w:rPr>
          <w:sz w:val="24"/>
        </w:rPr>
      </w:pPr>
      <w:r>
        <w:rPr>
          <w:rFonts w:hint="eastAsia"/>
          <w:sz w:val="24"/>
        </w:rPr>
        <w:t xml:space="preserve">    </w:t>
      </w:r>
      <w:r>
        <w:rPr>
          <w:sz w:val="24"/>
        </w:rPr>
        <w:t>经研究，我方</w:t>
      </w:r>
      <w:r>
        <w:rPr>
          <w:rFonts w:hint="eastAsia" w:ascii="宋体" w:hAnsi="宋体"/>
          <w:sz w:val="24"/>
        </w:rPr>
        <w:t>同</w:t>
      </w:r>
      <w:r>
        <w:rPr>
          <w:rFonts w:hint="eastAsia"/>
          <w:sz w:val="24"/>
        </w:rPr>
        <w:t>意《2022年大广龙杨高速公路隧道渗水漏水处治工程劳务询价公告》的所有内容及条款并就上述内容进行报价，完成贵公司规定的所有工作内容。</w:t>
      </w:r>
    </w:p>
    <w:p>
      <w:pPr>
        <w:autoSpaceDE w:val="0"/>
        <w:autoSpaceDN w:val="0"/>
        <w:adjustRightInd w:val="0"/>
        <w:spacing w:line="360" w:lineRule="auto"/>
        <w:ind w:left="719" w:leftChars="228" w:hanging="240" w:hangingChars="100"/>
        <w:jc w:val="left"/>
        <w:rPr>
          <w:sz w:val="24"/>
        </w:rPr>
      </w:pPr>
      <w:r>
        <w:rPr>
          <w:rFonts w:hint="eastAsia"/>
          <w:sz w:val="24"/>
        </w:rPr>
        <w:t>根据分析计算，我方愿以总价人民币（大写）</w:t>
      </w:r>
      <w:r>
        <w:rPr>
          <w:rFonts w:hint="eastAsia"/>
          <w:sz w:val="24"/>
          <w:u w:val="single"/>
        </w:rPr>
        <w:t xml:space="preserve">                                         </w:t>
      </w:r>
      <w:r>
        <w:rPr>
          <w:rFonts w:hint="eastAsia"/>
          <w:sz w:val="24"/>
        </w:rPr>
        <w:t>（¥</w:t>
      </w:r>
      <w:r>
        <w:rPr>
          <w:rFonts w:hint="eastAsia"/>
          <w:sz w:val="24"/>
          <w:u w:val="single"/>
        </w:rPr>
        <w:t xml:space="preserve">             </w:t>
      </w:r>
      <w:r>
        <w:rPr>
          <w:rFonts w:hint="eastAsia"/>
          <w:sz w:val="24"/>
        </w:rPr>
        <w:t>元），完成贵公司规定的所有工作内容。</w:t>
      </w:r>
    </w:p>
    <w:p>
      <w:pPr>
        <w:autoSpaceDE w:val="0"/>
        <w:autoSpaceDN w:val="0"/>
        <w:adjustRightInd w:val="0"/>
        <w:spacing w:line="360" w:lineRule="auto"/>
        <w:ind w:firstLine="480" w:firstLineChars="200"/>
        <w:rPr>
          <w:rFonts w:ascii="宋体" w:hAnsi="宋体" w:cs="宋体"/>
          <w:sz w:val="24"/>
        </w:rPr>
      </w:pPr>
      <w:r>
        <w:rPr>
          <w:rFonts w:hint="eastAsia" w:ascii="宋体" w:hAnsi="宋体"/>
          <w:bCs/>
          <w:sz w:val="24"/>
        </w:rPr>
        <w:t>2022年大广龙杨高速公路隧道渗水漏水处治工程</w:t>
      </w:r>
      <w:r>
        <w:rPr>
          <w:rFonts w:hint="eastAsia" w:ascii="宋体" w:hAnsi="宋体" w:cs="宋体"/>
          <w:sz w:val="24"/>
        </w:rPr>
        <w:t>劳务工程量清单：</w:t>
      </w:r>
    </w:p>
    <w:tbl>
      <w:tblPr>
        <w:tblStyle w:val="12"/>
        <w:tblW w:w="93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2144"/>
        <w:gridCol w:w="660"/>
        <w:gridCol w:w="1290"/>
        <w:gridCol w:w="1230"/>
        <w:gridCol w:w="1260"/>
        <w:gridCol w:w="1051"/>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预估数量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金额（元）</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税率（%）</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大广高速赣定段</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最终以实际验收数量为准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面状渗漏水处治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一般渗漏水裂缝处治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施工缝渗漏水处治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大广高速龙杨段</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点状渗漏水处治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面状渗漏水处治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一般渗漏水裂缝处治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施工缝渗漏水处治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环氧砂浆灌缝</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龙河高速</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点状渗漏水处治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面状渗漏水处治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一般渗漏水裂缝处治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施工缝渗漏水处治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严重渗水处治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环氧砂浆灌缝</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兴赣高速</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面状渗漏水处治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m²</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5"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3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tabs>
          <w:tab w:val="left" w:pos="7460"/>
          <w:tab w:val="left" w:pos="8080"/>
          <w:tab w:val="left" w:pos="8800"/>
        </w:tabs>
        <w:autoSpaceDE w:val="0"/>
        <w:autoSpaceDN w:val="0"/>
        <w:adjustRightInd w:val="0"/>
        <w:spacing w:line="360" w:lineRule="auto"/>
        <w:ind w:left="3641" w:right="61"/>
        <w:rPr>
          <w:rFonts w:hint="eastAsia" w:ascii="宋体" w:hAnsi="宋体"/>
          <w:sz w:val="24"/>
        </w:rPr>
      </w:pPr>
    </w:p>
    <w:p>
      <w:pPr>
        <w:tabs>
          <w:tab w:val="left" w:pos="7460"/>
          <w:tab w:val="left" w:pos="8080"/>
          <w:tab w:val="left" w:pos="8800"/>
        </w:tabs>
        <w:autoSpaceDE w:val="0"/>
        <w:autoSpaceDN w:val="0"/>
        <w:adjustRightInd w:val="0"/>
        <w:spacing w:line="360" w:lineRule="auto"/>
        <w:ind w:left="3641" w:right="61"/>
        <w:rPr>
          <w:rFonts w:hint="eastAsia" w:ascii="宋体" w:hAnsi="宋体"/>
          <w:sz w:val="24"/>
        </w:rPr>
      </w:pP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hint="eastAsia" w:ascii="宋体" w:hAnsi="宋体"/>
          <w:sz w:val="24"/>
        </w:rPr>
        <w:t>报价方</w:t>
      </w:r>
      <w:r>
        <w:rPr>
          <w:rFonts w:ascii="宋体" w:hAnsi="宋体"/>
          <w:sz w:val="24"/>
        </w:rPr>
        <w:t>：</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pPr>
        <w:ind w:firstLine="3600" w:firstLineChars="1500"/>
        <w:rPr>
          <w:rFonts w:ascii="宋体" w:hAnsi="宋体"/>
          <w:sz w:val="24"/>
        </w:rPr>
      </w:pPr>
      <w:r>
        <w:rPr>
          <w:rFonts w:hint="eastAsia" w:ascii="宋体" w:hAnsi="宋体"/>
          <w:sz w:val="24"/>
        </w:rPr>
        <w:t>报价时间：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hint="eastAsia" w:ascii="宋体" w:hAnsi="宋体"/>
          <w:sz w:val="24"/>
        </w:rPr>
      </w:pPr>
      <w:r>
        <w:rPr>
          <w:rFonts w:hint="eastAsia" w:ascii="宋体" w:hAnsi="宋体"/>
          <w:sz w:val="24"/>
        </w:rPr>
        <w:t xml:space="preserve">  </w:t>
      </w:r>
    </w:p>
    <w:p>
      <w:pPr>
        <w:pStyle w:val="2"/>
      </w:pPr>
    </w:p>
    <w:p>
      <w:pPr>
        <w:rPr>
          <w:rFonts w:ascii="宋体" w:hAnsi="宋体"/>
          <w:szCs w:val="21"/>
        </w:rPr>
      </w:pPr>
      <w:r>
        <w:rPr>
          <w:rFonts w:hint="eastAsia" w:ascii="宋体" w:hAnsi="宋体"/>
          <w:szCs w:val="21"/>
        </w:rPr>
        <w:t>注：1、报价包含实施和完成该项目所需的的</w:t>
      </w:r>
      <w:r>
        <w:rPr>
          <w:rFonts w:hint="eastAsia" w:ascii="宋体" w:hAnsi="宋体"/>
          <w:bCs/>
          <w:sz w:val="24"/>
        </w:rPr>
        <w:t>人工、人工保险费、零星材料、</w:t>
      </w:r>
      <w:r>
        <w:rPr>
          <w:rFonts w:hint="eastAsia" w:ascii="宋体" w:hAnsi="宋体"/>
          <w:bCs/>
          <w:sz w:val="24"/>
          <w:lang w:val="en-US" w:eastAsia="zh-CN"/>
        </w:rPr>
        <w:t>施工台架、小型机械设备</w:t>
      </w:r>
      <w:r>
        <w:rPr>
          <w:rFonts w:hint="eastAsia" w:ascii="宋体" w:hAnsi="宋体"/>
          <w:bCs/>
          <w:sz w:val="24"/>
        </w:rPr>
        <w:t>、机具、质检（自检）、施工、安全维护、缺陷修复、清理、运输、过路费、管理、保险、税费、利润等一切费用</w:t>
      </w:r>
      <w:r>
        <w:rPr>
          <w:rFonts w:hint="eastAsia" w:ascii="宋体" w:hAnsi="宋体"/>
          <w:szCs w:val="21"/>
        </w:rPr>
        <w:t>，不调价；提供增值税专用发票。</w:t>
      </w:r>
    </w:p>
    <w:p>
      <w:pPr>
        <w:ind w:firstLine="420" w:firstLineChars="200"/>
        <w:rPr>
          <w:szCs w:val="21"/>
        </w:rPr>
      </w:pPr>
      <w:r>
        <w:rPr>
          <w:rFonts w:hint="eastAsia" w:ascii="宋体" w:hAnsi="宋体"/>
          <w:szCs w:val="21"/>
        </w:rPr>
        <w:t>2、总价人民币大写金额与小写金额应当一致，不一致时以大写金额为准；总价应与清单中的合计金额一致，不一致时询价方有权否决报价方的报价文件。</w:t>
      </w:r>
    </w:p>
    <w:p>
      <w:pPr>
        <w:ind w:firstLine="420" w:firstLineChars="200"/>
        <w:rPr>
          <w:rFonts w:ascii="宋体" w:hAnsi="宋体"/>
          <w:szCs w:val="21"/>
        </w:rPr>
      </w:pPr>
      <w:r>
        <w:rPr>
          <w:rFonts w:hint="eastAsia" w:ascii="宋体" w:hAnsi="宋体"/>
          <w:szCs w:val="21"/>
        </w:rPr>
        <w:t>3、本工程量清单中所列工程量数量是估算的预计数量，仅作为报价的共同基础，不能作为最终结算与支付的依据。实际支付按实际验收的工程量，按本工程量清单的单价和总额价计算支付金额。</w:t>
      </w:r>
    </w:p>
    <w:p>
      <w:pPr>
        <w:ind w:firstLine="420" w:firstLineChars="200"/>
        <w:rPr>
          <w:rFonts w:ascii="宋体" w:hAnsi="宋体"/>
          <w:sz w:val="24"/>
        </w:rPr>
      </w:pPr>
      <w:r>
        <w:rPr>
          <w:rFonts w:hint="eastAsia" w:ascii="宋体" w:hAnsi="宋体"/>
          <w:szCs w:val="21"/>
        </w:rPr>
        <w:t>4、</w:t>
      </w:r>
      <w:r>
        <w:rPr>
          <w:rFonts w:hint="eastAsia" w:ascii="宋体" w:hAnsi="宋体"/>
          <w:bCs/>
          <w:sz w:val="24"/>
        </w:rPr>
        <w:t>控制价上限总价:</w:t>
      </w:r>
      <w:r>
        <w:rPr>
          <w:rFonts w:hint="eastAsia" w:ascii="宋体" w:hAnsi="宋体"/>
          <w:bCs/>
          <w:sz w:val="24"/>
          <w:lang w:val="en-US" w:eastAsia="zh-CN"/>
        </w:rPr>
        <w:t>28.01</w:t>
      </w:r>
      <w:r>
        <w:rPr>
          <w:rFonts w:hint="eastAsia" w:ascii="宋体" w:hAnsi="宋体"/>
          <w:bCs/>
          <w:sz w:val="24"/>
        </w:rPr>
        <w:t>万元。报价方的报价不得高于本限价，否则视为不响应询价文件，而被询价方拒绝</w:t>
      </w:r>
      <w:r>
        <w:rPr>
          <w:rFonts w:hint="eastAsia" w:ascii="宋体" w:hAnsi="宋体"/>
          <w:bCs/>
          <w:sz w:val="24"/>
          <w:lang w:eastAsia="zh-CN"/>
        </w:rPr>
        <w:t>。</w:t>
      </w:r>
      <w:r>
        <w:rPr>
          <w:rFonts w:ascii="宋体" w:hAnsi="宋体"/>
          <w:sz w:val="24"/>
        </w:rPr>
        <w:br w:type="page"/>
      </w:r>
    </w:p>
    <w:p>
      <w:pPr>
        <w:spacing w:before="312" w:beforeLines="100" w:after="312" w:afterLines="100" w:line="360" w:lineRule="auto"/>
        <w:jc w:val="center"/>
        <w:outlineLvl w:val="1"/>
        <w:rPr>
          <w:rFonts w:eastAsia="黑体"/>
          <w:bCs/>
          <w:sz w:val="30"/>
          <w:szCs w:val="30"/>
        </w:rPr>
      </w:pPr>
      <w:bookmarkStart w:id="46" w:name="_Toc6219"/>
      <w:bookmarkStart w:id="47" w:name="_Toc17328"/>
      <w:r>
        <w:rPr>
          <w:rFonts w:eastAsia="黑体"/>
          <w:bCs/>
          <w:sz w:val="30"/>
          <w:szCs w:val="30"/>
        </w:rPr>
        <w:t>信誉</w:t>
      </w:r>
      <w:r>
        <w:rPr>
          <w:rFonts w:hint="eastAsia" w:eastAsia="黑体"/>
          <w:bCs/>
          <w:sz w:val="30"/>
          <w:szCs w:val="30"/>
        </w:rPr>
        <w:t>承诺</w:t>
      </w:r>
      <w:r>
        <w:rPr>
          <w:rFonts w:eastAsia="黑体"/>
          <w:bCs/>
          <w:sz w:val="30"/>
          <w:szCs w:val="30"/>
        </w:rPr>
        <w:t>表</w:t>
      </w:r>
      <w:bookmarkEnd w:id="46"/>
      <w:bookmarkEnd w:id="47"/>
    </w:p>
    <w:p>
      <w:pPr>
        <w:ind w:firstLine="480"/>
      </w:pP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vAlign w:val="center"/>
          </w:tcPr>
          <w:p>
            <w:pPr>
              <w:adjustRightInd w:val="0"/>
              <w:snapToGrid w:val="0"/>
              <w:jc w:val="center"/>
              <w:rPr>
                <w:szCs w:val="21"/>
              </w:rPr>
            </w:pPr>
            <w:r>
              <w:rPr>
                <w:szCs w:val="21"/>
              </w:rPr>
              <w:t>序号</w:t>
            </w:r>
          </w:p>
        </w:tc>
        <w:tc>
          <w:tcPr>
            <w:tcW w:w="6219" w:type="dxa"/>
            <w:vAlign w:val="center"/>
          </w:tcPr>
          <w:p>
            <w:pPr>
              <w:adjustRightInd w:val="0"/>
              <w:snapToGrid w:val="0"/>
              <w:jc w:val="center"/>
              <w:rPr>
                <w:szCs w:val="21"/>
              </w:rPr>
            </w:pPr>
            <w:r>
              <w:rPr>
                <w:szCs w:val="21"/>
              </w:rPr>
              <w:t>信誉内容</w:t>
            </w:r>
          </w:p>
        </w:tc>
        <w:tc>
          <w:tcPr>
            <w:tcW w:w="2257" w:type="dxa"/>
            <w:vAlign w:val="center"/>
          </w:tcPr>
          <w:p>
            <w:pPr>
              <w:adjustRightInd w:val="0"/>
              <w:snapToGrid w:val="0"/>
              <w:jc w:val="center"/>
              <w:rPr>
                <w:szCs w:val="21"/>
              </w:rPr>
            </w:pPr>
            <w:r>
              <w:rPr>
                <w:rFonts w:hint="eastAsia"/>
                <w:szCs w:val="21"/>
              </w:rPr>
              <w:t>报价方</w:t>
            </w:r>
            <w:r>
              <w:rPr>
                <w:szCs w:val="21"/>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vAlign w:val="center"/>
          </w:tcPr>
          <w:p>
            <w:pPr>
              <w:autoSpaceDE w:val="0"/>
              <w:autoSpaceDN w:val="0"/>
              <w:adjustRightInd w:val="0"/>
              <w:snapToGrid w:val="0"/>
              <w:jc w:val="center"/>
              <w:rPr>
                <w:szCs w:val="21"/>
              </w:rPr>
            </w:pPr>
            <w:r>
              <w:rPr>
                <w:rFonts w:hint="eastAsia"/>
                <w:szCs w:val="21"/>
              </w:rPr>
              <w:t>1</w:t>
            </w:r>
          </w:p>
        </w:tc>
        <w:tc>
          <w:tcPr>
            <w:tcW w:w="6219" w:type="dxa"/>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ascii="华文细黑" w:hAnsi="华文细黑"/>
                <w:sz w:val="24"/>
                <w:szCs w:val="26"/>
              </w:rPr>
              <w:t>被责令停业，暂扣或吊销执照，或吊销资质证书</w:t>
            </w:r>
          </w:p>
        </w:tc>
        <w:tc>
          <w:tcPr>
            <w:tcW w:w="2257" w:type="dxa"/>
            <w:vAlign w:val="center"/>
          </w:tcPr>
          <w:p>
            <w:pPr>
              <w:adjustRightInd w:val="0"/>
              <w:snapToGri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47" w:hRule="atLeast"/>
          <w:jc w:val="center"/>
        </w:trPr>
        <w:tc>
          <w:tcPr>
            <w:tcW w:w="1039" w:type="dxa"/>
            <w:vAlign w:val="center"/>
          </w:tcPr>
          <w:p>
            <w:pPr>
              <w:adjustRightInd w:val="0"/>
              <w:snapToGrid w:val="0"/>
              <w:jc w:val="center"/>
              <w:rPr>
                <w:szCs w:val="21"/>
              </w:rPr>
            </w:pPr>
            <w:r>
              <w:rPr>
                <w:rFonts w:hint="eastAsia"/>
                <w:szCs w:val="21"/>
              </w:rPr>
              <w:t>2</w:t>
            </w:r>
          </w:p>
        </w:tc>
        <w:tc>
          <w:tcPr>
            <w:tcW w:w="6219" w:type="dxa"/>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ascii="华文细黑" w:hAnsi="华文细黑"/>
                <w:sz w:val="24"/>
                <w:szCs w:val="26"/>
              </w:rPr>
              <w:t>进入清算程序，或被宣告破产，或其他丧失履约能力的情形</w:t>
            </w:r>
          </w:p>
        </w:tc>
        <w:tc>
          <w:tcPr>
            <w:tcW w:w="2257" w:type="dxa"/>
            <w:vAlign w:val="center"/>
          </w:tcPr>
          <w:p>
            <w:pPr>
              <w:adjustRightInd w:val="0"/>
              <w:snapToGri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26" w:hRule="atLeast"/>
          <w:jc w:val="center"/>
        </w:trPr>
        <w:tc>
          <w:tcPr>
            <w:tcW w:w="1039" w:type="dxa"/>
            <w:vAlign w:val="center"/>
          </w:tcPr>
          <w:p>
            <w:pPr>
              <w:adjustRightInd w:val="0"/>
              <w:snapToGrid w:val="0"/>
              <w:jc w:val="center"/>
              <w:rPr>
                <w:szCs w:val="21"/>
              </w:rPr>
            </w:pPr>
            <w:r>
              <w:rPr>
                <w:rFonts w:hint="eastAsia"/>
                <w:szCs w:val="21"/>
              </w:rPr>
              <w:t>3</w:t>
            </w:r>
          </w:p>
        </w:tc>
        <w:tc>
          <w:tcPr>
            <w:tcW w:w="6219" w:type="dxa"/>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ascii="华文细黑" w:hAnsi="华文细黑"/>
                <w:sz w:val="24"/>
                <w:szCs w:val="26"/>
              </w:rPr>
              <w:t>在国家企业信用信息公示系统</w:t>
            </w:r>
            <w:r>
              <w:fldChar w:fldCharType="begin"/>
            </w:r>
            <w:r>
              <w:instrText xml:space="preserve"> HYPERLINK "http://www.gsxt.gov.cn/" \h </w:instrText>
            </w:r>
            <w:r>
              <w:fldChar w:fldCharType="separate"/>
            </w:r>
            <w:r>
              <w:rPr>
                <w:rFonts w:ascii="华文细黑" w:hAnsi="华文细黑"/>
                <w:sz w:val="24"/>
                <w:szCs w:val="26"/>
              </w:rPr>
              <w:t>（http://www.gsxt.gov.cn</w:t>
            </w:r>
            <w:r>
              <w:rPr>
                <w:rFonts w:ascii="华文细黑" w:hAnsi="华文细黑"/>
                <w:sz w:val="24"/>
                <w:szCs w:val="26"/>
              </w:rPr>
              <w:fldChar w:fldCharType="end"/>
            </w:r>
            <w:r>
              <w:rPr>
                <w:rFonts w:ascii="华文细黑" w:hAnsi="华文细黑"/>
                <w:sz w:val="24"/>
                <w:szCs w:val="26"/>
              </w:rPr>
              <w:t>）中被列入严重违法失信企业名单</w:t>
            </w:r>
          </w:p>
        </w:tc>
        <w:tc>
          <w:tcPr>
            <w:tcW w:w="2257" w:type="dxa"/>
            <w:vAlign w:val="center"/>
          </w:tcPr>
          <w:p>
            <w:pPr>
              <w:adjustRightInd w:val="0"/>
              <w:snapToGri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vAlign w:val="center"/>
          </w:tcPr>
          <w:p>
            <w:pPr>
              <w:adjustRightInd w:val="0"/>
              <w:snapToGrid w:val="0"/>
              <w:jc w:val="center"/>
              <w:rPr>
                <w:szCs w:val="21"/>
              </w:rPr>
            </w:pPr>
            <w:r>
              <w:rPr>
                <w:rFonts w:hint="eastAsia"/>
                <w:szCs w:val="21"/>
              </w:rPr>
              <w:t>4</w:t>
            </w:r>
          </w:p>
        </w:tc>
        <w:tc>
          <w:tcPr>
            <w:tcW w:w="6219" w:type="dxa"/>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ascii="华文细黑" w:hAnsi="华文细黑"/>
                <w:sz w:val="24"/>
                <w:szCs w:val="26"/>
              </w:rPr>
              <w:t>在“信用中国”网站（</w:t>
            </w:r>
            <w:r>
              <w:fldChar w:fldCharType="begin"/>
            </w:r>
            <w:r>
              <w:instrText xml:space="preserve"> HYPERLINK "http://www.creditchina.gov.cn/" \h </w:instrText>
            </w:r>
            <w:r>
              <w:fldChar w:fldCharType="separate"/>
            </w:r>
            <w:r>
              <w:rPr>
                <w:rFonts w:ascii="华文细黑" w:hAnsi="华文细黑"/>
                <w:sz w:val="24"/>
                <w:szCs w:val="26"/>
              </w:rPr>
              <w:t>http://www.creditchina.gov.cn</w:t>
            </w:r>
            <w:r>
              <w:rPr>
                <w:rFonts w:ascii="华文细黑" w:hAnsi="华文细黑"/>
                <w:sz w:val="24"/>
                <w:szCs w:val="26"/>
              </w:rPr>
              <w:fldChar w:fldCharType="end"/>
            </w:r>
            <w:r>
              <w:rPr>
                <w:rFonts w:ascii="华文细黑" w:hAnsi="华文细黑"/>
                <w:sz w:val="24"/>
                <w:szCs w:val="26"/>
              </w:rPr>
              <w:t>）中被列入失信被执行人名单</w:t>
            </w:r>
          </w:p>
        </w:tc>
        <w:tc>
          <w:tcPr>
            <w:tcW w:w="2257" w:type="dxa"/>
            <w:vAlign w:val="center"/>
          </w:tcPr>
          <w:p>
            <w:pPr>
              <w:adjustRightInd w:val="0"/>
              <w:snapToGrid w:val="0"/>
              <w:rPr>
                <w:szCs w:val="21"/>
              </w:rPr>
            </w:pPr>
          </w:p>
        </w:tc>
      </w:tr>
    </w:tbl>
    <w:p>
      <w:pPr>
        <w:spacing w:line="320" w:lineRule="exact"/>
        <w:jc w:val="left"/>
        <w:rPr>
          <w:szCs w:val="21"/>
        </w:rPr>
      </w:pPr>
      <w:r>
        <w:rPr>
          <w:szCs w:val="21"/>
        </w:rPr>
        <w:t>注：1.</w:t>
      </w:r>
      <w:r>
        <w:rPr>
          <w:rFonts w:hint="eastAsia"/>
          <w:szCs w:val="21"/>
        </w:rPr>
        <w:t>报价方情况说明请填写“是”或“否”。</w:t>
      </w:r>
    </w:p>
    <w:p>
      <w:pPr>
        <w:ind w:firstLine="420" w:firstLineChars="200"/>
        <w:rPr>
          <w:szCs w:val="21"/>
        </w:rPr>
      </w:pPr>
      <w:r>
        <w:rPr>
          <w:szCs w:val="21"/>
        </w:rPr>
        <w:t>2.</w:t>
      </w:r>
      <w:r>
        <w:rPr>
          <w:rFonts w:hint="eastAsia"/>
          <w:szCs w:val="21"/>
        </w:rPr>
        <w:t>报价方</w:t>
      </w:r>
      <w:r>
        <w:rPr>
          <w:szCs w:val="21"/>
        </w:rPr>
        <w:t>应如实填写本表，如隐瞒真实情况，一旦发现将取消其</w:t>
      </w:r>
      <w:r>
        <w:rPr>
          <w:rFonts w:hint="eastAsia"/>
          <w:szCs w:val="21"/>
        </w:rPr>
        <w:t>签约</w:t>
      </w:r>
      <w:r>
        <w:rPr>
          <w:szCs w:val="21"/>
        </w:rPr>
        <w:t>资格。</w:t>
      </w:r>
    </w:p>
    <w:p>
      <w:pPr>
        <w:pStyle w:val="2"/>
      </w:pPr>
    </w:p>
    <w:p>
      <w:pPr>
        <w:rPr>
          <w:szCs w:val="21"/>
        </w:rPr>
      </w:pP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hint="eastAsia" w:ascii="宋体" w:hAnsi="宋体"/>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pPr>
        <w:ind w:firstLine="3600" w:firstLineChars="1500"/>
        <w:rPr>
          <w:rFonts w:ascii="宋体" w:hAnsi="宋体"/>
          <w:sz w:val="24"/>
        </w:rPr>
      </w:pPr>
      <w:r>
        <w:rPr>
          <w:rFonts w:hint="eastAsia" w:ascii="宋体" w:hAnsi="宋体"/>
          <w:sz w:val="24"/>
        </w:rPr>
        <w:t>承诺时间：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60" w:lineRule="exact"/>
        <w:rPr>
          <w:rFonts w:ascii="宋体" w:hAnsi="宋体" w:cs="宋体"/>
          <w:szCs w:val="21"/>
        </w:rPr>
      </w:pPr>
    </w:p>
    <w:p>
      <w:pPr>
        <w:spacing w:before="312" w:beforeLines="100" w:after="312" w:afterLines="100" w:line="360" w:lineRule="auto"/>
        <w:outlineLvl w:val="1"/>
        <w:rPr>
          <w:rFonts w:ascii="宋体" w:hAnsi="宋体"/>
          <w:sz w:val="24"/>
        </w:rPr>
      </w:pPr>
      <w:bookmarkStart w:id="48" w:name="_Toc11293"/>
    </w:p>
    <w:p>
      <w:pPr>
        <w:spacing w:before="312" w:beforeLines="100" w:after="312" w:afterLines="100" w:line="360" w:lineRule="auto"/>
        <w:outlineLvl w:val="1"/>
        <w:rPr>
          <w:rFonts w:ascii="宋体" w:hAnsi="宋体"/>
          <w:sz w:val="24"/>
        </w:rPr>
      </w:pPr>
    </w:p>
    <w:p>
      <w:pPr>
        <w:spacing w:before="312" w:beforeLines="100" w:after="312" w:afterLines="100" w:line="360" w:lineRule="auto"/>
        <w:outlineLvl w:val="1"/>
        <w:rPr>
          <w:rFonts w:ascii="宋体" w:hAnsi="宋体"/>
          <w:sz w:val="24"/>
        </w:rPr>
      </w:pPr>
    </w:p>
    <w:p>
      <w:pPr>
        <w:spacing w:before="312" w:beforeLines="100" w:after="312" w:afterLines="100" w:line="360" w:lineRule="auto"/>
        <w:outlineLvl w:val="1"/>
        <w:rPr>
          <w:rFonts w:ascii="宋体" w:hAnsi="宋体"/>
          <w:sz w:val="24"/>
        </w:rPr>
      </w:pPr>
    </w:p>
    <w:p>
      <w:pPr>
        <w:spacing w:before="312" w:beforeLines="100" w:after="312" w:afterLines="100" w:line="360" w:lineRule="auto"/>
        <w:outlineLvl w:val="1"/>
        <w:rPr>
          <w:rFonts w:ascii="宋体" w:hAnsi="宋体"/>
          <w:sz w:val="24"/>
        </w:rPr>
      </w:pPr>
    </w:p>
    <w:p>
      <w:pPr>
        <w:spacing w:before="312" w:beforeLines="100" w:after="312" w:afterLines="100" w:line="360" w:lineRule="auto"/>
        <w:jc w:val="center"/>
        <w:outlineLvl w:val="1"/>
        <w:rPr>
          <w:rFonts w:eastAsia="黑体"/>
          <w:bCs/>
          <w:sz w:val="30"/>
          <w:szCs w:val="30"/>
        </w:rPr>
      </w:pPr>
      <w:bookmarkStart w:id="49" w:name="_Toc20272"/>
      <w:r>
        <w:rPr>
          <w:rFonts w:hint="eastAsia" w:eastAsia="黑体"/>
          <w:bCs/>
          <w:sz w:val="30"/>
          <w:szCs w:val="30"/>
        </w:rPr>
        <w:t>其它资料</w:t>
      </w:r>
      <w:bookmarkEnd w:id="48"/>
      <w:bookmarkEnd w:id="49"/>
    </w:p>
    <w:p>
      <w:pPr>
        <w:rPr>
          <w:rFonts w:ascii="宋体" w:hAnsi="宋体"/>
          <w:color w:val="FF0000"/>
          <w:sz w:val="24"/>
        </w:rPr>
      </w:pPr>
    </w:p>
    <w:p>
      <w:pPr>
        <w:ind w:firstLine="480" w:firstLineChars="200"/>
        <w:rPr>
          <w:rFonts w:ascii="宋体" w:hAnsi="宋体"/>
          <w:color w:val="000000"/>
          <w:sz w:val="24"/>
        </w:rPr>
      </w:pPr>
      <w:r>
        <w:rPr>
          <w:rFonts w:hint="eastAsia" w:ascii="宋体" w:hAnsi="宋体"/>
          <w:color w:val="000000"/>
          <w:sz w:val="24"/>
        </w:rPr>
        <w:t>营业执照、安全生产许可证、</w:t>
      </w:r>
      <w:r>
        <w:rPr>
          <w:rFonts w:hint="eastAsia" w:ascii="宋体" w:hAnsi="宋体"/>
          <w:b/>
          <w:bCs/>
          <w:color w:val="000000"/>
          <w:sz w:val="24"/>
        </w:rPr>
        <w:t>业绩证明材料</w:t>
      </w:r>
      <w:r>
        <w:rPr>
          <w:rFonts w:hint="eastAsia" w:ascii="宋体" w:hAnsi="宋体"/>
          <w:color w:val="000000"/>
          <w:sz w:val="24"/>
        </w:rPr>
        <w:t>等</w:t>
      </w:r>
    </w:p>
    <w:p>
      <w:pPr>
        <w:rPr>
          <w:rFonts w:ascii="宋体" w:hAnsi="宋体"/>
          <w:color w:val="000000"/>
          <w:sz w:val="24"/>
        </w:rPr>
      </w:pPr>
    </w:p>
    <w:p>
      <w:pPr>
        <w:rPr>
          <w:rFonts w:ascii="宋体" w:hAnsi="宋体"/>
          <w:color w:val="000000"/>
          <w:sz w:val="24"/>
        </w:rPr>
      </w:pPr>
    </w:p>
    <w:p>
      <w:pPr>
        <w:ind w:left="1397" w:leftChars="208" w:hanging="960" w:hangingChars="400"/>
        <w:rPr>
          <w:rFonts w:ascii="宋体" w:hAnsi="宋体"/>
          <w:color w:val="000000"/>
          <w:sz w:val="24"/>
        </w:rPr>
      </w:pPr>
      <w:r>
        <w:rPr>
          <w:rFonts w:hint="eastAsia" w:ascii="宋体" w:hAnsi="宋体"/>
          <w:color w:val="000000"/>
          <w:sz w:val="24"/>
        </w:rPr>
        <w:t>注：营业执照、安全生产许可证、</w:t>
      </w:r>
      <w:r>
        <w:rPr>
          <w:rFonts w:hint="eastAsia" w:ascii="宋体" w:hAnsi="宋体"/>
          <w:b/>
          <w:bCs/>
          <w:color w:val="000000"/>
          <w:sz w:val="24"/>
        </w:rPr>
        <w:t>及业绩证明材料</w:t>
      </w:r>
      <w:r>
        <w:rPr>
          <w:rFonts w:hint="eastAsia" w:ascii="宋体" w:hAnsi="宋体"/>
          <w:color w:val="000000"/>
          <w:sz w:val="24"/>
        </w:rPr>
        <w:t>提供复印件，并加盖公章；</w:t>
      </w:r>
    </w:p>
    <w:p>
      <w:pPr>
        <w:ind w:firstLine="960" w:firstLineChars="400"/>
        <w:rPr>
          <w:rFonts w:ascii="宋体" w:hAnsi="宋体"/>
          <w:color w:val="FF0000"/>
          <w:sz w:val="24"/>
        </w:rPr>
      </w:pPr>
    </w:p>
    <w:p>
      <w:pPr>
        <w:pStyle w:val="2"/>
        <w:rPr>
          <w:sz w:val="24"/>
        </w:rPr>
      </w:pPr>
    </w:p>
    <w:p>
      <w:pPr>
        <w:rPr>
          <w:rFonts w:ascii="宋体" w:hAnsi="宋体"/>
          <w:sz w:val="22"/>
        </w:rPr>
      </w:pPr>
    </w:p>
    <w:p>
      <w:pPr>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
      <w:pPr>
        <w:rPr>
          <w:rFonts w:ascii="宋体" w:hAnsi="宋体"/>
          <w:sz w:val="22"/>
        </w:rPr>
      </w:pPr>
    </w:p>
    <w:p>
      <w:pPr>
        <w:spacing w:after="156" w:afterLines="50" w:line="520" w:lineRule="exact"/>
        <w:jc w:val="center"/>
      </w:pPr>
      <w:r>
        <w:rPr>
          <w:rFonts w:hint="eastAsia"/>
          <w:b/>
          <w:sz w:val="36"/>
          <w:szCs w:val="36"/>
        </w:rPr>
        <w:t xml:space="preserve">                                                                                                          </w:t>
      </w:r>
    </w:p>
    <w:sectPr>
      <w:footerReference r:id="rId5" w:type="first"/>
      <w:footerReference r:id="rId4" w:type="default"/>
      <w:pgSz w:w="11906" w:h="16838"/>
      <w:pgMar w:top="1418" w:right="1418" w:bottom="1021" w:left="141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smartSimSun">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dfLJxCgIAAAEEAAAOAAAAAAAAAAEAIAAAAB8BAABk&#10;cnMvZTJvRG9jLnhtbFBLBQYAAAAABgAGAFkBAACb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XdKY7AsCAAACBAAADgAAAAAAAAABACAAAAAfAQAA&#10;ZHJzL2Uyb0RvYy54bWxQSwUGAAAAAAYABgBZAQAAnA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9C404"/>
    <w:multiLevelType w:val="singleLevel"/>
    <w:tmpl w:val="2979C4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2OTVlZDI3ODNiOWIyMWEyZWQ3YWU5NTVjM2I5MzUifQ=="/>
  </w:docVars>
  <w:rsids>
    <w:rsidRoot w:val="00724915"/>
    <w:rsid w:val="000003A6"/>
    <w:rsid w:val="00003366"/>
    <w:rsid w:val="00013E33"/>
    <w:rsid w:val="00020545"/>
    <w:rsid w:val="0002229C"/>
    <w:rsid w:val="0003148D"/>
    <w:rsid w:val="000426AD"/>
    <w:rsid w:val="00043429"/>
    <w:rsid w:val="00051209"/>
    <w:rsid w:val="00055DBB"/>
    <w:rsid w:val="00056611"/>
    <w:rsid w:val="00060856"/>
    <w:rsid w:val="000667E7"/>
    <w:rsid w:val="00070FAF"/>
    <w:rsid w:val="00074C34"/>
    <w:rsid w:val="00075254"/>
    <w:rsid w:val="00086BD8"/>
    <w:rsid w:val="00087D6B"/>
    <w:rsid w:val="000949B1"/>
    <w:rsid w:val="000A1C74"/>
    <w:rsid w:val="000A68C2"/>
    <w:rsid w:val="000B1AD1"/>
    <w:rsid w:val="000B2D80"/>
    <w:rsid w:val="000B46BA"/>
    <w:rsid w:val="000B5720"/>
    <w:rsid w:val="000B5E50"/>
    <w:rsid w:val="000C0989"/>
    <w:rsid w:val="000D4DE5"/>
    <w:rsid w:val="000E003F"/>
    <w:rsid w:val="000F2A55"/>
    <w:rsid w:val="000F5D26"/>
    <w:rsid w:val="000F7B12"/>
    <w:rsid w:val="001001DB"/>
    <w:rsid w:val="00113A0D"/>
    <w:rsid w:val="00113B9D"/>
    <w:rsid w:val="00115D7C"/>
    <w:rsid w:val="00117FDB"/>
    <w:rsid w:val="00127F84"/>
    <w:rsid w:val="00130438"/>
    <w:rsid w:val="00141071"/>
    <w:rsid w:val="00151F7D"/>
    <w:rsid w:val="00154834"/>
    <w:rsid w:val="001552C4"/>
    <w:rsid w:val="00156423"/>
    <w:rsid w:val="00161A52"/>
    <w:rsid w:val="0016449D"/>
    <w:rsid w:val="00180006"/>
    <w:rsid w:val="001804F7"/>
    <w:rsid w:val="00180FCA"/>
    <w:rsid w:val="00184C52"/>
    <w:rsid w:val="00185BEA"/>
    <w:rsid w:val="001909C5"/>
    <w:rsid w:val="00193AAA"/>
    <w:rsid w:val="001A4329"/>
    <w:rsid w:val="001B3221"/>
    <w:rsid w:val="001B645D"/>
    <w:rsid w:val="001B7F77"/>
    <w:rsid w:val="001C06F7"/>
    <w:rsid w:val="001C0B2E"/>
    <w:rsid w:val="001C59CB"/>
    <w:rsid w:val="001D0D4A"/>
    <w:rsid w:val="001D4321"/>
    <w:rsid w:val="001D6174"/>
    <w:rsid w:val="001F0D75"/>
    <w:rsid w:val="001F3239"/>
    <w:rsid w:val="001F6774"/>
    <w:rsid w:val="00212C5F"/>
    <w:rsid w:val="00214CB1"/>
    <w:rsid w:val="00215290"/>
    <w:rsid w:val="00221D04"/>
    <w:rsid w:val="0022519E"/>
    <w:rsid w:val="00230E79"/>
    <w:rsid w:val="002311E8"/>
    <w:rsid w:val="00237B10"/>
    <w:rsid w:val="0024294F"/>
    <w:rsid w:val="00244C87"/>
    <w:rsid w:val="00253910"/>
    <w:rsid w:val="00254D37"/>
    <w:rsid w:val="00255A21"/>
    <w:rsid w:val="00273B7D"/>
    <w:rsid w:val="002840CD"/>
    <w:rsid w:val="00287336"/>
    <w:rsid w:val="002927D1"/>
    <w:rsid w:val="002A12BB"/>
    <w:rsid w:val="002A1EC8"/>
    <w:rsid w:val="002A45E5"/>
    <w:rsid w:val="002A4890"/>
    <w:rsid w:val="002A696C"/>
    <w:rsid w:val="002A69AC"/>
    <w:rsid w:val="002B6C33"/>
    <w:rsid w:val="002C1A61"/>
    <w:rsid w:val="002C1DFE"/>
    <w:rsid w:val="002C6341"/>
    <w:rsid w:val="002D079A"/>
    <w:rsid w:val="002D0AF0"/>
    <w:rsid w:val="002D2AF9"/>
    <w:rsid w:val="002D5636"/>
    <w:rsid w:val="002E1703"/>
    <w:rsid w:val="002E6AA4"/>
    <w:rsid w:val="002E7311"/>
    <w:rsid w:val="002E7E1C"/>
    <w:rsid w:val="002F0A5A"/>
    <w:rsid w:val="002F661C"/>
    <w:rsid w:val="002F76B7"/>
    <w:rsid w:val="003026C1"/>
    <w:rsid w:val="00302EFA"/>
    <w:rsid w:val="003065ED"/>
    <w:rsid w:val="00306F8F"/>
    <w:rsid w:val="00311144"/>
    <w:rsid w:val="0031563D"/>
    <w:rsid w:val="0031626B"/>
    <w:rsid w:val="0032137F"/>
    <w:rsid w:val="00327375"/>
    <w:rsid w:val="00327E84"/>
    <w:rsid w:val="0033363B"/>
    <w:rsid w:val="0033794C"/>
    <w:rsid w:val="00350C47"/>
    <w:rsid w:val="00360A96"/>
    <w:rsid w:val="00360CCB"/>
    <w:rsid w:val="00361D68"/>
    <w:rsid w:val="00367146"/>
    <w:rsid w:val="003726CE"/>
    <w:rsid w:val="003729BD"/>
    <w:rsid w:val="003738FA"/>
    <w:rsid w:val="003779BA"/>
    <w:rsid w:val="00385101"/>
    <w:rsid w:val="00385A8C"/>
    <w:rsid w:val="00394057"/>
    <w:rsid w:val="0039603F"/>
    <w:rsid w:val="003A143B"/>
    <w:rsid w:val="003A3736"/>
    <w:rsid w:val="003A3DEC"/>
    <w:rsid w:val="003A5D32"/>
    <w:rsid w:val="003B7421"/>
    <w:rsid w:val="003C68DC"/>
    <w:rsid w:val="003D0B52"/>
    <w:rsid w:val="003D3BBE"/>
    <w:rsid w:val="003D4890"/>
    <w:rsid w:val="003E1E68"/>
    <w:rsid w:val="0041176C"/>
    <w:rsid w:val="004200D0"/>
    <w:rsid w:val="00430953"/>
    <w:rsid w:val="00431C98"/>
    <w:rsid w:val="00440784"/>
    <w:rsid w:val="00440CDB"/>
    <w:rsid w:val="0044481B"/>
    <w:rsid w:val="004467BE"/>
    <w:rsid w:val="00462FC7"/>
    <w:rsid w:val="004633F1"/>
    <w:rsid w:val="00465A2B"/>
    <w:rsid w:val="00493B85"/>
    <w:rsid w:val="00497078"/>
    <w:rsid w:val="004A038D"/>
    <w:rsid w:val="004A0DB2"/>
    <w:rsid w:val="004A263F"/>
    <w:rsid w:val="004A571A"/>
    <w:rsid w:val="004A755F"/>
    <w:rsid w:val="004B1253"/>
    <w:rsid w:val="004B3075"/>
    <w:rsid w:val="004B32F6"/>
    <w:rsid w:val="004C03D4"/>
    <w:rsid w:val="004C2A0E"/>
    <w:rsid w:val="004D6155"/>
    <w:rsid w:val="004E21F9"/>
    <w:rsid w:val="004E2B93"/>
    <w:rsid w:val="004F0BEF"/>
    <w:rsid w:val="004F7804"/>
    <w:rsid w:val="00500B62"/>
    <w:rsid w:val="00500C71"/>
    <w:rsid w:val="00501C1F"/>
    <w:rsid w:val="005051D5"/>
    <w:rsid w:val="005146C2"/>
    <w:rsid w:val="005165DD"/>
    <w:rsid w:val="00516601"/>
    <w:rsid w:val="00527DEE"/>
    <w:rsid w:val="00530E1B"/>
    <w:rsid w:val="005324CD"/>
    <w:rsid w:val="005419D4"/>
    <w:rsid w:val="00542150"/>
    <w:rsid w:val="005438FF"/>
    <w:rsid w:val="0055610F"/>
    <w:rsid w:val="005565CE"/>
    <w:rsid w:val="00563F2D"/>
    <w:rsid w:val="00567F3C"/>
    <w:rsid w:val="005719FA"/>
    <w:rsid w:val="005748F4"/>
    <w:rsid w:val="00580C24"/>
    <w:rsid w:val="00592D6A"/>
    <w:rsid w:val="0059485C"/>
    <w:rsid w:val="005B1E9B"/>
    <w:rsid w:val="005C0B2E"/>
    <w:rsid w:val="005C20DC"/>
    <w:rsid w:val="005C6579"/>
    <w:rsid w:val="005D1301"/>
    <w:rsid w:val="005D77B2"/>
    <w:rsid w:val="005E1F31"/>
    <w:rsid w:val="005E52D0"/>
    <w:rsid w:val="005F3BA5"/>
    <w:rsid w:val="005F3D45"/>
    <w:rsid w:val="005F7C2E"/>
    <w:rsid w:val="00602ECA"/>
    <w:rsid w:val="006045C2"/>
    <w:rsid w:val="006102AD"/>
    <w:rsid w:val="00610B29"/>
    <w:rsid w:val="00621DDC"/>
    <w:rsid w:val="00634E8D"/>
    <w:rsid w:val="00637524"/>
    <w:rsid w:val="00640053"/>
    <w:rsid w:val="006400F5"/>
    <w:rsid w:val="00640D47"/>
    <w:rsid w:val="0064578A"/>
    <w:rsid w:val="00654F65"/>
    <w:rsid w:val="00657A4B"/>
    <w:rsid w:val="00664BD5"/>
    <w:rsid w:val="00667FEC"/>
    <w:rsid w:val="00672A62"/>
    <w:rsid w:val="0067606E"/>
    <w:rsid w:val="006827FF"/>
    <w:rsid w:val="006863B1"/>
    <w:rsid w:val="006A1A05"/>
    <w:rsid w:val="006A23C2"/>
    <w:rsid w:val="006A3EA3"/>
    <w:rsid w:val="006A421E"/>
    <w:rsid w:val="006B4320"/>
    <w:rsid w:val="006B4685"/>
    <w:rsid w:val="006B536C"/>
    <w:rsid w:val="006C3F80"/>
    <w:rsid w:val="006C468B"/>
    <w:rsid w:val="006C6EC2"/>
    <w:rsid w:val="006C79BB"/>
    <w:rsid w:val="006D1303"/>
    <w:rsid w:val="006D7382"/>
    <w:rsid w:val="006E078A"/>
    <w:rsid w:val="006E4584"/>
    <w:rsid w:val="006E76D1"/>
    <w:rsid w:val="006E7B43"/>
    <w:rsid w:val="006F1809"/>
    <w:rsid w:val="006F413A"/>
    <w:rsid w:val="006F70B2"/>
    <w:rsid w:val="00700715"/>
    <w:rsid w:val="0070074E"/>
    <w:rsid w:val="0072125B"/>
    <w:rsid w:val="00724915"/>
    <w:rsid w:val="00727C79"/>
    <w:rsid w:val="00736539"/>
    <w:rsid w:val="00742C3A"/>
    <w:rsid w:val="00754CEE"/>
    <w:rsid w:val="00755CFC"/>
    <w:rsid w:val="00761578"/>
    <w:rsid w:val="00762C91"/>
    <w:rsid w:val="0076409D"/>
    <w:rsid w:val="00767D25"/>
    <w:rsid w:val="00767E84"/>
    <w:rsid w:val="00770A79"/>
    <w:rsid w:val="00772906"/>
    <w:rsid w:val="00774F1D"/>
    <w:rsid w:val="00776455"/>
    <w:rsid w:val="00777A7E"/>
    <w:rsid w:val="007819A3"/>
    <w:rsid w:val="00786CB4"/>
    <w:rsid w:val="0079229E"/>
    <w:rsid w:val="00793F1C"/>
    <w:rsid w:val="007A3D13"/>
    <w:rsid w:val="007B2EAD"/>
    <w:rsid w:val="007B4CD1"/>
    <w:rsid w:val="007C2DA3"/>
    <w:rsid w:val="007C2E8F"/>
    <w:rsid w:val="007C7FB6"/>
    <w:rsid w:val="007D30A6"/>
    <w:rsid w:val="007D7D48"/>
    <w:rsid w:val="007E50AB"/>
    <w:rsid w:val="007E7B38"/>
    <w:rsid w:val="007F3188"/>
    <w:rsid w:val="007F603B"/>
    <w:rsid w:val="008021D2"/>
    <w:rsid w:val="008030AE"/>
    <w:rsid w:val="008210D2"/>
    <w:rsid w:val="00825347"/>
    <w:rsid w:val="00834B5A"/>
    <w:rsid w:val="00835939"/>
    <w:rsid w:val="00841EDE"/>
    <w:rsid w:val="00843AFE"/>
    <w:rsid w:val="00845731"/>
    <w:rsid w:val="00845A48"/>
    <w:rsid w:val="00845FF2"/>
    <w:rsid w:val="00846231"/>
    <w:rsid w:val="008504EC"/>
    <w:rsid w:val="00850DE3"/>
    <w:rsid w:val="0086369E"/>
    <w:rsid w:val="00865D09"/>
    <w:rsid w:val="00867815"/>
    <w:rsid w:val="00870DBC"/>
    <w:rsid w:val="00871404"/>
    <w:rsid w:val="00875CDF"/>
    <w:rsid w:val="00876D55"/>
    <w:rsid w:val="00876E34"/>
    <w:rsid w:val="00882E9C"/>
    <w:rsid w:val="00883B60"/>
    <w:rsid w:val="00890814"/>
    <w:rsid w:val="00891172"/>
    <w:rsid w:val="0089268F"/>
    <w:rsid w:val="00893616"/>
    <w:rsid w:val="00895941"/>
    <w:rsid w:val="00895DA9"/>
    <w:rsid w:val="008A29B2"/>
    <w:rsid w:val="008A2A1F"/>
    <w:rsid w:val="008A325B"/>
    <w:rsid w:val="008A5608"/>
    <w:rsid w:val="008B72F1"/>
    <w:rsid w:val="008B7F9B"/>
    <w:rsid w:val="008D07F7"/>
    <w:rsid w:val="008D284B"/>
    <w:rsid w:val="008D54A3"/>
    <w:rsid w:val="008E18A1"/>
    <w:rsid w:val="008E349D"/>
    <w:rsid w:val="008E57DE"/>
    <w:rsid w:val="008F0CCE"/>
    <w:rsid w:val="008F5961"/>
    <w:rsid w:val="00907071"/>
    <w:rsid w:val="009075CE"/>
    <w:rsid w:val="0091026F"/>
    <w:rsid w:val="00915A10"/>
    <w:rsid w:val="0092015E"/>
    <w:rsid w:val="009205C1"/>
    <w:rsid w:val="00925359"/>
    <w:rsid w:val="00930401"/>
    <w:rsid w:val="00935568"/>
    <w:rsid w:val="009359A3"/>
    <w:rsid w:val="00936B34"/>
    <w:rsid w:val="009415A4"/>
    <w:rsid w:val="0095342E"/>
    <w:rsid w:val="00955AB6"/>
    <w:rsid w:val="00955C5D"/>
    <w:rsid w:val="009611FD"/>
    <w:rsid w:val="00962794"/>
    <w:rsid w:val="00962FE0"/>
    <w:rsid w:val="009666B1"/>
    <w:rsid w:val="00970C2D"/>
    <w:rsid w:val="00975C55"/>
    <w:rsid w:val="00976FDD"/>
    <w:rsid w:val="00980AF6"/>
    <w:rsid w:val="009818B9"/>
    <w:rsid w:val="00982355"/>
    <w:rsid w:val="00984071"/>
    <w:rsid w:val="0099088B"/>
    <w:rsid w:val="00993B83"/>
    <w:rsid w:val="009944EA"/>
    <w:rsid w:val="00995FDA"/>
    <w:rsid w:val="009A0AD3"/>
    <w:rsid w:val="009A1C59"/>
    <w:rsid w:val="009A2DC0"/>
    <w:rsid w:val="009A3186"/>
    <w:rsid w:val="009A38D0"/>
    <w:rsid w:val="009B5947"/>
    <w:rsid w:val="009B68D8"/>
    <w:rsid w:val="009B75CC"/>
    <w:rsid w:val="009C08BD"/>
    <w:rsid w:val="009C26E9"/>
    <w:rsid w:val="009D6E91"/>
    <w:rsid w:val="009E10C3"/>
    <w:rsid w:val="009E195B"/>
    <w:rsid w:val="009E41E6"/>
    <w:rsid w:val="009E4CD0"/>
    <w:rsid w:val="009E7D38"/>
    <w:rsid w:val="009F0166"/>
    <w:rsid w:val="009F5AA5"/>
    <w:rsid w:val="009F5B74"/>
    <w:rsid w:val="009F6E63"/>
    <w:rsid w:val="009F73F0"/>
    <w:rsid w:val="00A023A0"/>
    <w:rsid w:val="00A02A7A"/>
    <w:rsid w:val="00A03B01"/>
    <w:rsid w:val="00A22973"/>
    <w:rsid w:val="00A23EC8"/>
    <w:rsid w:val="00A32C66"/>
    <w:rsid w:val="00A33E46"/>
    <w:rsid w:val="00A35DEF"/>
    <w:rsid w:val="00A409F0"/>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7164"/>
    <w:rsid w:val="00A77EB7"/>
    <w:rsid w:val="00A81985"/>
    <w:rsid w:val="00A924B7"/>
    <w:rsid w:val="00A92E20"/>
    <w:rsid w:val="00A9353F"/>
    <w:rsid w:val="00A97AE3"/>
    <w:rsid w:val="00A97E8C"/>
    <w:rsid w:val="00AA60F1"/>
    <w:rsid w:val="00AA62AF"/>
    <w:rsid w:val="00AA6779"/>
    <w:rsid w:val="00AA6911"/>
    <w:rsid w:val="00AB1205"/>
    <w:rsid w:val="00AC069B"/>
    <w:rsid w:val="00AD2870"/>
    <w:rsid w:val="00AD4E6A"/>
    <w:rsid w:val="00AE4974"/>
    <w:rsid w:val="00AF22FB"/>
    <w:rsid w:val="00AF5AD3"/>
    <w:rsid w:val="00AF6705"/>
    <w:rsid w:val="00B01DE7"/>
    <w:rsid w:val="00B0263D"/>
    <w:rsid w:val="00B1469E"/>
    <w:rsid w:val="00B16A6A"/>
    <w:rsid w:val="00B16D12"/>
    <w:rsid w:val="00B252F2"/>
    <w:rsid w:val="00B30E8C"/>
    <w:rsid w:val="00B32696"/>
    <w:rsid w:val="00B33D07"/>
    <w:rsid w:val="00B34BF5"/>
    <w:rsid w:val="00B35B82"/>
    <w:rsid w:val="00B413EB"/>
    <w:rsid w:val="00B4446E"/>
    <w:rsid w:val="00B53A46"/>
    <w:rsid w:val="00B542F2"/>
    <w:rsid w:val="00B5658E"/>
    <w:rsid w:val="00B6032D"/>
    <w:rsid w:val="00B6400D"/>
    <w:rsid w:val="00B73915"/>
    <w:rsid w:val="00B73A05"/>
    <w:rsid w:val="00B75C2F"/>
    <w:rsid w:val="00B8738C"/>
    <w:rsid w:val="00B91858"/>
    <w:rsid w:val="00B92466"/>
    <w:rsid w:val="00B92667"/>
    <w:rsid w:val="00B9375B"/>
    <w:rsid w:val="00B940AF"/>
    <w:rsid w:val="00BA39A0"/>
    <w:rsid w:val="00BA7A09"/>
    <w:rsid w:val="00BB337F"/>
    <w:rsid w:val="00BB4370"/>
    <w:rsid w:val="00BC1C4C"/>
    <w:rsid w:val="00BC46B6"/>
    <w:rsid w:val="00BC7A2B"/>
    <w:rsid w:val="00BD39CF"/>
    <w:rsid w:val="00BD3E66"/>
    <w:rsid w:val="00BD527F"/>
    <w:rsid w:val="00BE3542"/>
    <w:rsid w:val="00BF219C"/>
    <w:rsid w:val="00BF2D88"/>
    <w:rsid w:val="00C0294B"/>
    <w:rsid w:val="00C25650"/>
    <w:rsid w:val="00C259B5"/>
    <w:rsid w:val="00C31C65"/>
    <w:rsid w:val="00C40AF2"/>
    <w:rsid w:val="00C44BE3"/>
    <w:rsid w:val="00C46A7A"/>
    <w:rsid w:val="00C56337"/>
    <w:rsid w:val="00C61B05"/>
    <w:rsid w:val="00C83078"/>
    <w:rsid w:val="00C90CFD"/>
    <w:rsid w:val="00C93BE4"/>
    <w:rsid w:val="00C964AC"/>
    <w:rsid w:val="00C97DAD"/>
    <w:rsid w:val="00CA01A9"/>
    <w:rsid w:val="00CA0362"/>
    <w:rsid w:val="00CA2E1F"/>
    <w:rsid w:val="00CB5942"/>
    <w:rsid w:val="00CB66F7"/>
    <w:rsid w:val="00CC158C"/>
    <w:rsid w:val="00CC57DD"/>
    <w:rsid w:val="00CD1D55"/>
    <w:rsid w:val="00CD28A0"/>
    <w:rsid w:val="00CD29E0"/>
    <w:rsid w:val="00CD2B2D"/>
    <w:rsid w:val="00CD4591"/>
    <w:rsid w:val="00CE4006"/>
    <w:rsid w:val="00CE4DB2"/>
    <w:rsid w:val="00CE64DA"/>
    <w:rsid w:val="00D02BCE"/>
    <w:rsid w:val="00D0557F"/>
    <w:rsid w:val="00D10B46"/>
    <w:rsid w:val="00D11FE2"/>
    <w:rsid w:val="00D218C7"/>
    <w:rsid w:val="00D31F55"/>
    <w:rsid w:val="00D40AF6"/>
    <w:rsid w:val="00D4212E"/>
    <w:rsid w:val="00D427A5"/>
    <w:rsid w:val="00D52657"/>
    <w:rsid w:val="00D60F4A"/>
    <w:rsid w:val="00D65E8D"/>
    <w:rsid w:val="00D81122"/>
    <w:rsid w:val="00D82567"/>
    <w:rsid w:val="00D837A0"/>
    <w:rsid w:val="00D866FB"/>
    <w:rsid w:val="00D902FE"/>
    <w:rsid w:val="00DA26B6"/>
    <w:rsid w:val="00DA32E1"/>
    <w:rsid w:val="00DA3A08"/>
    <w:rsid w:val="00DA51CD"/>
    <w:rsid w:val="00DA7399"/>
    <w:rsid w:val="00DB33BA"/>
    <w:rsid w:val="00DB58CE"/>
    <w:rsid w:val="00DC00D2"/>
    <w:rsid w:val="00DC7CC9"/>
    <w:rsid w:val="00DE1A13"/>
    <w:rsid w:val="00DF1C81"/>
    <w:rsid w:val="00DF6EBF"/>
    <w:rsid w:val="00DF705B"/>
    <w:rsid w:val="00E0639B"/>
    <w:rsid w:val="00E12CCA"/>
    <w:rsid w:val="00E14BA8"/>
    <w:rsid w:val="00E16B5D"/>
    <w:rsid w:val="00E170CC"/>
    <w:rsid w:val="00E17F97"/>
    <w:rsid w:val="00E236FC"/>
    <w:rsid w:val="00E23ACD"/>
    <w:rsid w:val="00E31F60"/>
    <w:rsid w:val="00E325D0"/>
    <w:rsid w:val="00E44045"/>
    <w:rsid w:val="00E47A23"/>
    <w:rsid w:val="00E579EE"/>
    <w:rsid w:val="00E64994"/>
    <w:rsid w:val="00E64DED"/>
    <w:rsid w:val="00E67F3B"/>
    <w:rsid w:val="00E70C87"/>
    <w:rsid w:val="00E72E74"/>
    <w:rsid w:val="00E7466B"/>
    <w:rsid w:val="00E75F15"/>
    <w:rsid w:val="00E76A41"/>
    <w:rsid w:val="00E80121"/>
    <w:rsid w:val="00E832F2"/>
    <w:rsid w:val="00E93CA7"/>
    <w:rsid w:val="00E9569D"/>
    <w:rsid w:val="00E979AC"/>
    <w:rsid w:val="00EA7C6D"/>
    <w:rsid w:val="00EB7AEF"/>
    <w:rsid w:val="00EC27DE"/>
    <w:rsid w:val="00EC39FD"/>
    <w:rsid w:val="00ED142F"/>
    <w:rsid w:val="00ED1683"/>
    <w:rsid w:val="00ED468A"/>
    <w:rsid w:val="00ED4B3E"/>
    <w:rsid w:val="00ED6CBD"/>
    <w:rsid w:val="00EE0106"/>
    <w:rsid w:val="00EE1814"/>
    <w:rsid w:val="00EE469B"/>
    <w:rsid w:val="00EF0333"/>
    <w:rsid w:val="00EF104A"/>
    <w:rsid w:val="00F03BFF"/>
    <w:rsid w:val="00F04133"/>
    <w:rsid w:val="00F06534"/>
    <w:rsid w:val="00F133D4"/>
    <w:rsid w:val="00F17987"/>
    <w:rsid w:val="00F22EE1"/>
    <w:rsid w:val="00F23DF6"/>
    <w:rsid w:val="00F23E1D"/>
    <w:rsid w:val="00F23F9D"/>
    <w:rsid w:val="00F25A26"/>
    <w:rsid w:val="00F354FB"/>
    <w:rsid w:val="00F35784"/>
    <w:rsid w:val="00F35919"/>
    <w:rsid w:val="00F37145"/>
    <w:rsid w:val="00F37BE9"/>
    <w:rsid w:val="00F41057"/>
    <w:rsid w:val="00F478D6"/>
    <w:rsid w:val="00F5104A"/>
    <w:rsid w:val="00F54547"/>
    <w:rsid w:val="00F54ABF"/>
    <w:rsid w:val="00F57D0E"/>
    <w:rsid w:val="00F604D4"/>
    <w:rsid w:val="00F67094"/>
    <w:rsid w:val="00F7078A"/>
    <w:rsid w:val="00F754D5"/>
    <w:rsid w:val="00F7556A"/>
    <w:rsid w:val="00F7646D"/>
    <w:rsid w:val="00F77762"/>
    <w:rsid w:val="00F874E3"/>
    <w:rsid w:val="00F923AF"/>
    <w:rsid w:val="00F9419A"/>
    <w:rsid w:val="00F956EB"/>
    <w:rsid w:val="00FA477F"/>
    <w:rsid w:val="00FB08C9"/>
    <w:rsid w:val="00FB147C"/>
    <w:rsid w:val="00FB38D0"/>
    <w:rsid w:val="00FB3ADC"/>
    <w:rsid w:val="00FB4F5B"/>
    <w:rsid w:val="00FB54D6"/>
    <w:rsid w:val="00FC1DBC"/>
    <w:rsid w:val="00FC225C"/>
    <w:rsid w:val="00FC7EB1"/>
    <w:rsid w:val="00FE29AE"/>
    <w:rsid w:val="00FE55B9"/>
    <w:rsid w:val="00FE7127"/>
    <w:rsid w:val="00FE7537"/>
    <w:rsid w:val="00FE7E5E"/>
    <w:rsid w:val="00FF7322"/>
    <w:rsid w:val="00FF74DC"/>
    <w:rsid w:val="00FF773D"/>
    <w:rsid w:val="01283295"/>
    <w:rsid w:val="013F259C"/>
    <w:rsid w:val="017D5A58"/>
    <w:rsid w:val="01B83E2F"/>
    <w:rsid w:val="02210C06"/>
    <w:rsid w:val="0256434B"/>
    <w:rsid w:val="026474EE"/>
    <w:rsid w:val="026F45A7"/>
    <w:rsid w:val="03171EA5"/>
    <w:rsid w:val="03ED51F7"/>
    <w:rsid w:val="042233B1"/>
    <w:rsid w:val="04252E63"/>
    <w:rsid w:val="043471CC"/>
    <w:rsid w:val="05514E3E"/>
    <w:rsid w:val="05720E24"/>
    <w:rsid w:val="05E44808"/>
    <w:rsid w:val="062C58F9"/>
    <w:rsid w:val="06307187"/>
    <w:rsid w:val="07687181"/>
    <w:rsid w:val="079159A1"/>
    <w:rsid w:val="090F7940"/>
    <w:rsid w:val="09236DC5"/>
    <w:rsid w:val="09544216"/>
    <w:rsid w:val="097F6FAE"/>
    <w:rsid w:val="09A756D2"/>
    <w:rsid w:val="09EA163E"/>
    <w:rsid w:val="0A30181B"/>
    <w:rsid w:val="0A765D15"/>
    <w:rsid w:val="0AD651A1"/>
    <w:rsid w:val="0AF949AE"/>
    <w:rsid w:val="0B063EE6"/>
    <w:rsid w:val="0B161B3C"/>
    <w:rsid w:val="0B1E4930"/>
    <w:rsid w:val="0B2D2B37"/>
    <w:rsid w:val="0B922BD0"/>
    <w:rsid w:val="0BB93D26"/>
    <w:rsid w:val="0BEB57DF"/>
    <w:rsid w:val="0D2164C5"/>
    <w:rsid w:val="0D3E2172"/>
    <w:rsid w:val="0D4151CC"/>
    <w:rsid w:val="0D6A287C"/>
    <w:rsid w:val="0D926985"/>
    <w:rsid w:val="0E0D4E46"/>
    <w:rsid w:val="0E112E0A"/>
    <w:rsid w:val="0E306C9E"/>
    <w:rsid w:val="0E9D70ED"/>
    <w:rsid w:val="0EBB7EDC"/>
    <w:rsid w:val="0EBC653B"/>
    <w:rsid w:val="0EDD15F6"/>
    <w:rsid w:val="0EED4F91"/>
    <w:rsid w:val="0F406633"/>
    <w:rsid w:val="0F4E304F"/>
    <w:rsid w:val="0F9B1F41"/>
    <w:rsid w:val="10076A7F"/>
    <w:rsid w:val="10881212"/>
    <w:rsid w:val="10BC0215"/>
    <w:rsid w:val="10CE1CC4"/>
    <w:rsid w:val="125E645C"/>
    <w:rsid w:val="125F31C5"/>
    <w:rsid w:val="12AB1520"/>
    <w:rsid w:val="12B42F20"/>
    <w:rsid w:val="12CC1D8F"/>
    <w:rsid w:val="137B08F6"/>
    <w:rsid w:val="13DB5B12"/>
    <w:rsid w:val="142C39B8"/>
    <w:rsid w:val="14502A59"/>
    <w:rsid w:val="14A27CFE"/>
    <w:rsid w:val="15030BDD"/>
    <w:rsid w:val="158C170B"/>
    <w:rsid w:val="15EB42F1"/>
    <w:rsid w:val="1661096E"/>
    <w:rsid w:val="16996421"/>
    <w:rsid w:val="16F46D27"/>
    <w:rsid w:val="17024DC5"/>
    <w:rsid w:val="174A673C"/>
    <w:rsid w:val="184E3F65"/>
    <w:rsid w:val="190D15D1"/>
    <w:rsid w:val="19317882"/>
    <w:rsid w:val="19460B99"/>
    <w:rsid w:val="19D96B46"/>
    <w:rsid w:val="1AFB7074"/>
    <w:rsid w:val="1B2E348B"/>
    <w:rsid w:val="1B5F00C5"/>
    <w:rsid w:val="1B6B022C"/>
    <w:rsid w:val="1BEA514D"/>
    <w:rsid w:val="1BF81F4D"/>
    <w:rsid w:val="1C6505C1"/>
    <w:rsid w:val="1C950D42"/>
    <w:rsid w:val="1CD30133"/>
    <w:rsid w:val="1D246E3D"/>
    <w:rsid w:val="1D7454E4"/>
    <w:rsid w:val="1DA76EE7"/>
    <w:rsid w:val="1DFA7FB2"/>
    <w:rsid w:val="1E255266"/>
    <w:rsid w:val="1E7D51AC"/>
    <w:rsid w:val="1E906EE4"/>
    <w:rsid w:val="1ED34268"/>
    <w:rsid w:val="1EFE4140"/>
    <w:rsid w:val="1F7543FA"/>
    <w:rsid w:val="1FB00FC7"/>
    <w:rsid w:val="1FB23CB9"/>
    <w:rsid w:val="1FF874DF"/>
    <w:rsid w:val="206B04C1"/>
    <w:rsid w:val="20820CAD"/>
    <w:rsid w:val="20964898"/>
    <w:rsid w:val="20F31CA9"/>
    <w:rsid w:val="20F61030"/>
    <w:rsid w:val="21232287"/>
    <w:rsid w:val="212F16DA"/>
    <w:rsid w:val="21E5041F"/>
    <w:rsid w:val="221140A1"/>
    <w:rsid w:val="224401DC"/>
    <w:rsid w:val="22704C39"/>
    <w:rsid w:val="22CB4246"/>
    <w:rsid w:val="23040255"/>
    <w:rsid w:val="230512D0"/>
    <w:rsid w:val="235E3DF2"/>
    <w:rsid w:val="23633E82"/>
    <w:rsid w:val="23CC7378"/>
    <w:rsid w:val="24322222"/>
    <w:rsid w:val="244E4916"/>
    <w:rsid w:val="24DD05AC"/>
    <w:rsid w:val="250A3632"/>
    <w:rsid w:val="25D0095F"/>
    <w:rsid w:val="25F74B93"/>
    <w:rsid w:val="267023F7"/>
    <w:rsid w:val="26DD66EE"/>
    <w:rsid w:val="274609A9"/>
    <w:rsid w:val="275A3337"/>
    <w:rsid w:val="275D3BB9"/>
    <w:rsid w:val="275E104E"/>
    <w:rsid w:val="27893EC7"/>
    <w:rsid w:val="27941CFF"/>
    <w:rsid w:val="281B106D"/>
    <w:rsid w:val="294C7245"/>
    <w:rsid w:val="297E5E51"/>
    <w:rsid w:val="2AAA1BB0"/>
    <w:rsid w:val="2B3F7F48"/>
    <w:rsid w:val="2B901C85"/>
    <w:rsid w:val="2BAC504F"/>
    <w:rsid w:val="2BE87470"/>
    <w:rsid w:val="2BEF546E"/>
    <w:rsid w:val="2BF53250"/>
    <w:rsid w:val="2C18689A"/>
    <w:rsid w:val="2C267886"/>
    <w:rsid w:val="2C2A2FF0"/>
    <w:rsid w:val="2CE916B2"/>
    <w:rsid w:val="2D2D43D2"/>
    <w:rsid w:val="2D654495"/>
    <w:rsid w:val="2EB5240C"/>
    <w:rsid w:val="2F73680E"/>
    <w:rsid w:val="2F754015"/>
    <w:rsid w:val="2FAC3DB4"/>
    <w:rsid w:val="2FF14CFB"/>
    <w:rsid w:val="30186223"/>
    <w:rsid w:val="304B2C99"/>
    <w:rsid w:val="30736113"/>
    <w:rsid w:val="30A51685"/>
    <w:rsid w:val="30D82A80"/>
    <w:rsid w:val="3129101D"/>
    <w:rsid w:val="31343915"/>
    <w:rsid w:val="314712AD"/>
    <w:rsid w:val="3170692B"/>
    <w:rsid w:val="319B2302"/>
    <w:rsid w:val="325C2E18"/>
    <w:rsid w:val="32F318E1"/>
    <w:rsid w:val="331F182B"/>
    <w:rsid w:val="33844C55"/>
    <w:rsid w:val="33B83654"/>
    <w:rsid w:val="33BB121F"/>
    <w:rsid w:val="340B2214"/>
    <w:rsid w:val="34A2774B"/>
    <w:rsid w:val="355C3543"/>
    <w:rsid w:val="35714DC7"/>
    <w:rsid w:val="359750C8"/>
    <w:rsid w:val="35B31902"/>
    <w:rsid w:val="35C6684B"/>
    <w:rsid w:val="35F73B70"/>
    <w:rsid w:val="362E4A4C"/>
    <w:rsid w:val="36670BE6"/>
    <w:rsid w:val="36BB10C8"/>
    <w:rsid w:val="36BD22BD"/>
    <w:rsid w:val="371D0F29"/>
    <w:rsid w:val="375C7A52"/>
    <w:rsid w:val="38612E62"/>
    <w:rsid w:val="38874FB3"/>
    <w:rsid w:val="388F2857"/>
    <w:rsid w:val="39102AF4"/>
    <w:rsid w:val="3922613E"/>
    <w:rsid w:val="3988347D"/>
    <w:rsid w:val="39C65ADF"/>
    <w:rsid w:val="39F37E96"/>
    <w:rsid w:val="39FE3121"/>
    <w:rsid w:val="3A2604D3"/>
    <w:rsid w:val="3A5A54BA"/>
    <w:rsid w:val="3A966D07"/>
    <w:rsid w:val="3AAD6F57"/>
    <w:rsid w:val="3ABB6F06"/>
    <w:rsid w:val="3B1E08A3"/>
    <w:rsid w:val="3BA037CE"/>
    <w:rsid w:val="3C0A1DF7"/>
    <w:rsid w:val="3C4B6C12"/>
    <w:rsid w:val="3C9F05FA"/>
    <w:rsid w:val="3D2D020D"/>
    <w:rsid w:val="3D6A0606"/>
    <w:rsid w:val="3D986D8C"/>
    <w:rsid w:val="3DE633A4"/>
    <w:rsid w:val="3E22610E"/>
    <w:rsid w:val="3E95711C"/>
    <w:rsid w:val="3EB9038A"/>
    <w:rsid w:val="3F145FAD"/>
    <w:rsid w:val="3F3161E4"/>
    <w:rsid w:val="40170C11"/>
    <w:rsid w:val="40197335"/>
    <w:rsid w:val="40370155"/>
    <w:rsid w:val="4076360E"/>
    <w:rsid w:val="408961BB"/>
    <w:rsid w:val="408D07A3"/>
    <w:rsid w:val="410D72A3"/>
    <w:rsid w:val="426D3974"/>
    <w:rsid w:val="43006F6B"/>
    <w:rsid w:val="433F37FA"/>
    <w:rsid w:val="436A142C"/>
    <w:rsid w:val="440320CC"/>
    <w:rsid w:val="4447075E"/>
    <w:rsid w:val="45CA7240"/>
    <w:rsid w:val="45F3785C"/>
    <w:rsid w:val="462A540D"/>
    <w:rsid w:val="46420762"/>
    <w:rsid w:val="46980646"/>
    <w:rsid w:val="47354FD7"/>
    <w:rsid w:val="47DC6CDE"/>
    <w:rsid w:val="48C637F3"/>
    <w:rsid w:val="48DB338A"/>
    <w:rsid w:val="48E45F89"/>
    <w:rsid w:val="493872F8"/>
    <w:rsid w:val="49C53482"/>
    <w:rsid w:val="49F92059"/>
    <w:rsid w:val="49F94346"/>
    <w:rsid w:val="49FD76B5"/>
    <w:rsid w:val="4A030100"/>
    <w:rsid w:val="4A225F83"/>
    <w:rsid w:val="4AA05F4A"/>
    <w:rsid w:val="4AC86DC2"/>
    <w:rsid w:val="4B372608"/>
    <w:rsid w:val="4B4F2BC1"/>
    <w:rsid w:val="4C1B582F"/>
    <w:rsid w:val="4DD001A6"/>
    <w:rsid w:val="4E790579"/>
    <w:rsid w:val="4EA11089"/>
    <w:rsid w:val="4EA9484A"/>
    <w:rsid w:val="4EDC7213"/>
    <w:rsid w:val="4EE54674"/>
    <w:rsid w:val="4EE77D9B"/>
    <w:rsid w:val="4EFB5844"/>
    <w:rsid w:val="4F8527C7"/>
    <w:rsid w:val="50E853D3"/>
    <w:rsid w:val="51003F81"/>
    <w:rsid w:val="51351D15"/>
    <w:rsid w:val="51401043"/>
    <w:rsid w:val="514912BA"/>
    <w:rsid w:val="51682FC2"/>
    <w:rsid w:val="5258175C"/>
    <w:rsid w:val="52B539AF"/>
    <w:rsid w:val="52C87173"/>
    <w:rsid w:val="52D446F0"/>
    <w:rsid w:val="531D7612"/>
    <w:rsid w:val="53D303E3"/>
    <w:rsid w:val="54065283"/>
    <w:rsid w:val="54084111"/>
    <w:rsid w:val="540938D5"/>
    <w:rsid w:val="542D0BD1"/>
    <w:rsid w:val="557776F2"/>
    <w:rsid w:val="55AF6532"/>
    <w:rsid w:val="55D03AA2"/>
    <w:rsid w:val="566956E2"/>
    <w:rsid w:val="56F84025"/>
    <w:rsid w:val="570B7EC2"/>
    <w:rsid w:val="575C02FE"/>
    <w:rsid w:val="578F2598"/>
    <w:rsid w:val="579A6F61"/>
    <w:rsid w:val="58154BE7"/>
    <w:rsid w:val="58862B32"/>
    <w:rsid w:val="58C3085E"/>
    <w:rsid w:val="58C75EEC"/>
    <w:rsid w:val="590A2A4F"/>
    <w:rsid w:val="5A163F42"/>
    <w:rsid w:val="5A1A43CC"/>
    <w:rsid w:val="5A281235"/>
    <w:rsid w:val="5B174496"/>
    <w:rsid w:val="5B4F72AE"/>
    <w:rsid w:val="5CD81774"/>
    <w:rsid w:val="5D924DD9"/>
    <w:rsid w:val="5DBA018B"/>
    <w:rsid w:val="5E337BCE"/>
    <w:rsid w:val="5E8B5853"/>
    <w:rsid w:val="5EDC2505"/>
    <w:rsid w:val="5F012D6B"/>
    <w:rsid w:val="5F033761"/>
    <w:rsid w:val="5F385194"/>
    <w:rsid w:val="5F82235F"/>
    <w:rsid w:val="5F8F700F"/>
    <w:rsid w:val="5FAF5614"/>
    <w:rsid w:val="600430FE"/>
    <w:rsid w:val="603B7706"/>
    <w:rsid w:val="606D5642"/>
    <w:rsid w:val="60901BA7"/>
    <w:rsid w:val="60A92D64"/>
    <w:rsid w:val="61CA3003"/>
    <w:rsid w:val="62335B17"/>
    <w:rsid w:val="62915BC1"/>
    <w:rsid w:val="62941BF7"/>
    <w:rsid w:val="62EA7E57"/>
    <w:rsid w:val="633D2E0E"/>
    <w:rsid w:val="636A6DF3"/>
    <w:rsid w:val="638024DF"/>
    <w:rsid w:val="63C37195"/>
    <w:rsid w:val="63F4054F"/>
    <w:rsid w:val="64A73D01"/>
    <w:rsid w:val="65A97B5E"/>
    <w:rsid w:val="65B17511"/>
    <w:rsid w:val="663503D1"/>
    <w:rsid w:val="66801540"/>
    <w:rsid w:val="668D18E2"/>
    <w:rsid w:val="66973E45"/>
    <w:rsid w:val="675D5089"/>
    <w:rsid w:val="676E366B"/>
    <w:rsid w:val="677C3509"/>
    <w:rsid w:val="6799169C"/>
    <w:rsid w:val="679B4C51"/>
    <w:rsid w:val="67BB3D0D"/>
    <w:rsid w:val="68931942"/>
    <w:rsid w:val="69116EF4"/>
    <w:rsid w:val="69291120"/>
    <w:rsid w:val="6B4F4556"/>
    <w:rsid w:val="6B570461"/>
    <w:rsid w:val="6B755D3E"/>
    <w:rsid w:val="6C191640"/>
    <w:rsid w:val="6C4B1942"/>
    <w:rsid w:val="6CB5787A"/>
    <w:rsid w:val="6EBD3C73"/>
    <w:rsid w:val="6FA64F9D"/>
    <w:rsid w:val="6FCC3D44"/>
    <w:rsid w:val="6FD233CB"/>
    <w:rsid w:val="701E6A64"/>
    <w:rsid w:val="707E1814"/>
    <w:rsid w:val="70F943CB"/>
    <w:rsid w:val="710339BF"/>
    <w:rsid w:val="71170DA2"/>
    <w:rsid w:val="71461D2D"/>
    <w:rsid w:val="71877BAC"/>
    <w:rsid w:val="71891325"/>
    <w:rsid w:val="71FE4BEA"/>
    <w:rsid w:val="72050C3C"/>
    <w:rsid w:val="720F5389"/>
    <w:rsid w:val="722752AE"/>
    <w:rsid w:val="722B668F"/>
    <w:rsid w:val="737208E1"/>
    <w:rsid w:val="73C1212E"/>
    <w:rsid w:val="741D6C0E"/>
    <w:rsid w:val="741F22E5"/>
    <w:rsid w:val="74412D7C"/>
    <w:rsid w:val="74C376E9"/>
    <w:rsid w:val="74FF39CA"/>
    <w:rsid w:val="75185A19"/>
    <w:rsid w:val="7595486B"/>
    <w:rsid w:val="75E95679"/>
    <w:rsid w:val="762124A6"/>
    <w:rsid w:val="76273CC9"/>
    <w:rsid w:val="763C2BE3"/>
    <w:rsid w:val="76563C0C"/>
    <w:rsid w:val="76F727BA"/>
    <w:rsid w:val="771238F1"/>
    <w:rsid w:val="77397934"/>
    <w:rsid w:val="78142BA1"/>
    <w:rsid w:val="783058EB"/>
    <w:rsid w:val="78427C92"/>
    <w:rsid w:val="787046CE"/>
    <w:rsid w:val="78E31489"/>
    <w:rsid w:val="792974C9"/>
    <w:rsid w:val="7950273F"/>
    <w:rsid w:val="79584CCF"/>
    <w:rsid w:val="797131C7"/>
    <w:rsid w:val="79982533"/>
    <w:rsid w:val="799E71F8"/>
    <w:rsid w:val="79DF4C29"/>
    <w:rsid w:val="7A0F730E"/>
    <w:rsid w:val="7A217312"/>
    <w:rsid w:val="7A3E5C57"/>
    <w:rsid w:val="7A6979A2"/>
    <w:rsid w:val="7A9114DA"/>
    <w:rsid w:val="7A981F2C"/>
    <w:rsid w:val="7B387F12"/>
    <w:rsid w:val="7B645909"/>
    <w:rsid w:val="7BB96C01"/>
    <w:rsid w:val="7C7A6D1D"/>
    <w:rsid w:val="7CC90205"/>
    <w:rsid w:val="7CD246AB"/>
    <w:rsid w:val="7D0F6265"/>
    <w:rsid w:val="7D387EA3"/>
    <w:rsid w:val="7D3B6802"/>
    <w:rsid w:val="7D866AC8"/>
    <w:rsid w:val="7E52504E"/>
    <w:rsid w:val="7EC565E5"/>
    <w:rsid w:val="7EEF3B80"/>
    <w:rsid w:val="7EFC37C7"/>
    <w:rsid w:val="7F79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8"/>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19"/>
    <w:qFormat/>
    <w:uiPriority w:val="0"/>
    <w:pPr>
      <w:adjustRightInd w:val="0"/>
      <w:snapToGrid w:val="0"/>
      <w:spacing w:line="360" w:lineRule="auto"/>
      <w:ind w:firstLine="200" w:firstLineChars="200"/>
    </w:pPr>
    <w:rPr>
      <w:rFonts w:ascii="Calibri" w:hAnsi="Calibri"/>
      <w:kern w:val="0"/>
      <w:sz w:val="24"/>
      <w:szCs w:val="20"/>
      <w:lang w:val="zh-CN"/>
    </w:rPr>
  </w:style>
  <w:style w:type="paragraph" w:styleId="6">
    <w:name w:val="Plain Text"/>
    <w:basedOn w:val="1"/>
    <w:qFormat/>
    <w:uiPriority w:val="0"/>
    <w:rPr>
      <w:rFonts w:ascii="宋体" w:hAnsi="Courier New"/>
      <w:szCs w:val="20"/>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rPr>
      <w:sz w:val="24"/>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qFormat/>
    <w:uiPriority w:val="0"/>
    <w:rPr>
      <w:b/>
    </w:rPr>
  </w:style>
  <w:style w:type="character" w:styleId="16">
    <w:name w:val="page number"/>
    <w:basedOn w:val="14"/>
    <w:qFormat/>
    <w:uiPriority w:val="0"/>
  </w:style>
  <w:style w:type="character" w:styleId="17">
    <w:name w:val="Hyperlink"/>
    <w:unhideWhenUsed/>
    <w:qFormat/>
    <w:uiPriority w:val="99"/>
    <w:rPr>
      <w:color w:val="0563C1"/>
      <w:u w:val="single"/>
    </w:rPr>
  </w:style>
  <w:style w:type="character" w:customStyle="1" w:styleId="18">
    <w:name w:val="标题 2 字符"/>
    <w:link w:val="3"/>
    <w:qFormat/>
    <w:uiPriority w:val="0"/>
    <w:rPr>
      <w:rFonts w:ascii="Arial" w:hAnsi="Arial" w:eastAsia="黑体"/>
      <w:b/>
      <w:bCs/>
      <w:kern w:val="2"/>
      <w:sz w:val="32"/>
      <w:szCs w:val="32"/>
      <w:lang w:val="en-US" w:eastAsia="zh-CN" w:bidi="ar-SA"/>
    </w:rPr>
  </w:style>
  <w:style w:type="character" w:customStyle="1" w:styleId="19">
    <w:name w:val="正文文本 字符"/>
    <w:link w:val="5"/>
    <w:qFormat/>
    <w:uiPriority w:val="0"/>
    <w:rPr>
      <w:rFonts w:ascii="Calibri" w:hAnsi="Calibri"/>
      <w:sz w:val="24"/>
    </w:rPr>
  </w:style>
  <w:style w:type="paragraph" w:customStyle="1" w:styleId="20">
    <w:name w:val="目录 11"/>
    <w:basedOn w:val="1"/>
    <w:next w:val="1"/>
    <w:qFormat/>
    <w:uiPriority w:val="0"/>
  </w:style>
  <w:style w:type="paragraph" w:customStyle="1" w:styleId="21">
    <w:name w:val="目录 21"/>
    <w:basedOn w:val="1"/>
    <w:next w:val="1"/>
    <w:qFormat/>
    <w:uiPriority w:val="0"/>
    <w:pPr>
      <w:ind w:left="420" w:leftChars="200"/>
    </w:pPr>
  </w:style>
  <w:style w:type="character" w:customStyle="1" w:styleId="22">
    <w:name w:val="标题 2 Char1"/>
    <w:qFormat/>
    <w:uiPriority w:val="0"/>
    <w:rPr>
      <w:rFonts w:ascii="Arial" w:hAnsi="Arial" w:eastAsia="黑体" w:cs="Times New Roman"/>
      <w:bCs/>
      <w:kern w:val="0"/>
      <w:sz w:val="28"/>
      <w:szCs w:val="32"/>
    </w:rPr>
  </w:style>
  <w:style w:type="character" w:customStyle="1" w:styleId="23">
    <w:name w:val="正文文本 Char1"/>
    <w:qFormat/>
    <w:uiPriority w:val="0"/>
    <w:rPr>
      <w:kern w:val="2"/>
      <w:sz w:val="21"/>
      <w:szCs w:val="24"/>
    </w:rPr>
  </w:style>
  <w:style w:type="paragraph" w:customStyle="1" w:styleId="24">
    <w:name w:val="Char Char Char Char"/>
    <w:basedOn w:val="1"/>
    <w:qFormat/>
    <w:uiPriority w:val="0"/>
    <w:pPr>
      <w:spacing w:line="360" w:lineRule="auto"/>
      <w:ind w:firstLine="200" w:firstLineChars="200"/>
    </w:pPr>
    <w:rPr>
      <w:rFonts w:ascii="宋体" w:hAnsi="宋体" w:cs="宋体"/>
      <w:sz w:val="24"/>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章、篇名"/>
    <w:basedOn w:val="1"/>
    <w:next w:val="1"/>
    <w:qFormat/>
    <w:uiPriority w:val="0"/>
    <w:pPr>
      <w:spacing w:before="480" w:after="360" w:line="560" w:lineRule="exact"/>
      <w:jc w:val="center"/>
    </w:pPr>
    <w:rPr>
      <w:rFonts w:eastAsia="文鼎大标宋简"/>
      <w:b/>
      <w:sz w:val="36"/>
      <w:szCs w:val="20"/>
    </w:rPr>
  </w:style>
  <w:style w:type="character" w:customStyle="1" w:styleId="28">
    <w:name w:val="font61"/>
    <w:basedOn w:val="14"/>
    <w:qFormat/>
    <w:uiPriority w:val="0"/>
    <w:rPr>
      <w:rFonts w:hint="eastAsia" w:ascii="宋体" w:hAnsi="宋体" w:eastAsia="宋体" w:cs="宋体"/>
      <w:color w:val="auto"/>
      <w:sz w:val="24"/>
      <w:szCs w:val="24"/>
      <w:u w:val="none"/>
    </w:rPr>
  </w:style>
  <w:style w:type="character" w:customStyle="1" w:styleId="29">
    <w:name w:val="font01"/>
    <w:basedOn w:val="14"/>
    <w:qFormat/>
    <w:uiPriority w:val="0"/>
    <w:rPr>
      <w:rFonts w:hint="eastAsia" w:ascii="宋体" w:hAnsi="宋体" w:eastAsia="宋体" w:cs="宋体"/>
      <w:color w:val="auto"/>
      <w:sz w:val="24"/>
      <w:szCs w:val="24"/>
      <w:u w:val="none"/>
    </w:rPr>
  </w:style>
  <w:style w:type="character" w:customStyle="1" w:styleId="30">
    <w:name w:val="font11"/>
    <w:basedOn w:val="14"/>
    <w:qFormat/>
    <w:uiPriority w:val="0"/>
    <w:rPr>
      <w:rFonts w:hint="eastAsia" w:ascii="宋体" w:hAnsi="宋体" w:eastAsia="宋体" w:cs="宋体"/>
      <w:color w:val="000000"/>
      <w:sz w:val="18"/>
      <w:szCs w:val="18"/>
      <w:u w:val="none"/>
    </w:rPr>
  </w:style>
  <w:style w:type="character" w:customStyle="1" w:styleId="31">
    <w:name w:val="font21"/>
    <w:basedOn w:val="14"/>
    <w:qFormat/>
    <w:uiPriority w:val="0"/>
    <w:rPr>
      <w:rFonts w:ascii="smartSimSun" w:hAnsi="smartSimSun" w:eastAsia="smartSimSun" w:cs="smartSimSu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4417</Words>
  <Characters>4754</Characters>
  <Lines>50</Lines>
  <Paragraphs>14</Paragraphs>
  <TotalTime>18</TotalTime>
  <ScaleCrop>false</ScaleCrop>
  <LinksUpToDate>false</LinksUpToDate>
  <CharactersWithSpaces>5336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2022-06-15T06:58:00Z</dcterms:created>
  <dc:creator>User</dc:creator>
  <cp:lastModifiedBy>Administrator</cp:lastModifiedBy>
  <cp:lastPrinted>2022-11-28T08:06:00Z</cp:lastPrinted>
  <dcterms:modified xsi:type="dcterms:W3CDTF">2022-12-08T07:15:15Z</dcterms:modified>
  <dc:title>关于收费大棚铝塑板更换工程说明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C5205CA9167C46E9B22A1201549D6A8C</vt:lpwstr>
  </property>
</Properties>
</file>