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20"/>
          <w:tab w:val="left" w:pos="5602"/>
        </w:tabs>
        <w:spacing w:before="224"/>
        <w:jc w:val="center"/>
        <w:rPr>
          <w:rFonts w:hint="eastAsia" w:ascii="宋体" w:hAnsi="宋体" w:cs="宋体"/>
          <w:b/>
          <w:bCs/>
          <w:sz w:val="30"/>
          <w:szCs w:val="30"/>
          <w:highlight w:val="none"/>
        </w:rPr>
      </w:pPr>
      <w:r>
        <w:rPr>
          <w:rFonts w:hint="eastAsia" w:cs="宋体"/>
          <w:b/>
          <w:bCs/>
          <w:sz w:val="30"/>
          <w:szCs w:val="30"/>
          <w:highlight w:val="none"/>
        </w:rPr>
        <w:t>信丰南收费站升级改造道路工程施工招标</w:t>
      </w:r>
      <w:r>
        <w:rPr>
          <w:rFonts w:hint="eastAsia" w:ascii="宋体" w:hAnsi="宋体" w:cs="宋体"/>
          <w:b/>
          <w:bCs/>
          <w:sz w:val="30"/>
          <w:szCs w:val="30"/>
          <w:highlight w:val="none"/>
        </w:rPr>
        <w:t>公告</w:t>
      </w:r>
    </w:p>
    <w:p>
      <w:pPr>
        <w:pStyle w:val="3"/>
        <w:spacing w:before="11"/>
        <w:rPr>
          <w:rFonts w:hint="eastAsia"/>
          <w:b/>
          <w:bCs/>
          <w:sz w:val="23"/>
          <w:highlight w:val="none"/>
        </w:rPr>
      </w:pPr>
    </w:p>
    <w:p>
      <w:pPr>
        <w:tabs>
          <w:tab w:val="left" w:pos="718"/>
        </w:tabs>
        <w:adjustRightInd w:val="0"/>
        <w:snapToGrid w:val="0"/>
        <w:spacing w:line="360" w:lineRule="auto"/>
        <w:ind w:left="400" w:leftChars="200"/>
        <w:outlineLvl w:val="2"/>
        <w:rPr>
          <w:rFonts w:hint="eastAsia" w:ascii="宋体" w:hAnsi="宋体" w:cs="宋体"/>
          <w:b/>
          <w:sz w:val="28"/>
          <w:highlight w:val="none"/>
        </w:rPr>
      </w:pPr>
      <w:bookmarkStart w:id="0" w:name="_bookmark1"/>
      <w:bookmarkEnd w:id="0"/>
      <w:bookmarkStart w:id="1" w:name="_Toc3820"/>
      <w:bookmarkStart w:id="2" w:name="_Toc31182"/>
      <w:r>
        <w:rPr>
          <w:rFonts w:hint="eastAsia" w:cs="宋体"/>
          <w:b/>
          <w:sz w:val="28"/>
          <w:highlight w:val="none"/>
        </w:rPr>
        <w:t>1.</w:t>
      </w:r>
      <w:r>
        <w:rPr>
          <w:rFonts w:hint="eastAsia" w:ascii="宋体" w:hAnsi="宋体" w:cs="宋体"/>
          <w:b/>
          <w:sz w:val="28"/>
          <w:highlight w:val="none"/>
        </w:rPr>
        <w:t>招标条件</w:t>
      </w:r>
      <w:bookmarkEnd w:id="1"/>
      <w:bookmarkEnd w:id="2"/>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360" w:lineRule="auto"/>
        <w:ind w:firstLine="480" w:firstLineChars="200"/>
        <w:jc w:val="both"/>
        <w:rPr>
          <w:rFonts w:hint="eastAsia"/>
          <w:highlight w:val="none"/>
        </w:rPr>
      </w:pPr>
      <w:r>
        <w:rPr>
          <w:rFonts w:hint="eastAsia"/>
          <w:highlight w:val="none"/>
        </w:rPr>
        <w:t>本招标项目</w:t>
      </w:r>
      <w:r>
        <w:rPr>
          <w:rFonts w:hint="eastAsia"/>
          <w:highlight w:val="none"/>
          <w:u w:val="single"/>
        </w:rPr>
        <w:t>信丰南收费站升级改造道路工程</w:t>
      </w:r>
      <w:r>
        <w:rPr>
          <w:rFonts w:hint="eastAsia"/>
          <w:highlight w:val="none"/>
        </w:rPr>
        <w:t>项目业主为</w:t>
      </w:r>
      <w:r>
        <w:rPr>
          <w:rFonts w:hint="eastAsia"/>
          <w:highlight w:val="none"/>
          <w:u w:val="single"/>
        </w:rPr>
        <w:t>赣州高速公路有限责任公司</w:t>
      </w:r>
      <w:r>
        <w:rPr>
          <w:rFonts w:hint="eastAsia"/>
          <w:spacing w:val="-32"/>
          <w:highlight w:val="none"/>
        </w:rPr>
        <w:t>，</w:t>
      </w:r>
      <w:r>
        <w:rPr>
          <w:rFonts w:hint="eastAsia"/>
          <w:highlight w:val="none"/>
        </w:rPr>
        <w:t>建设资金来自</w:t>
      </w:r>
      <w:r>
        <w:rPr>
          <w:rFonts w:hint="eastAsia"/>
          <w:highlight w:val="none"/>
          <w:u w:val="single"/>
        </w:rPr>
        <w:t>业主自筹</w:t>
      </w:r>
      <w:r>
        <w:rPr>
          <w:rFonts w:hint="eastAsia"/>
          <w:spacing w:val="-76"/>
          <w:highlight w:val="none"/>
        </w:rPr>
        <w:t>，</w:t>
      </w:r>
      <w:r>
        <w:rPr>
          <w:rFonts w:hint="eastAsia"/>
          <w:highlight w:val="none"/>
        </w:rPr>
        <w:t>出资比例为</w:t>
      </w:r>
      <w:r>
        <w:rPr>
          <w:rFonts w:hint="eastAsia"/>
          <w:highlight w:val="none"/>
          <w:u w:val="single"/>
        </w:rPr>
        <w:t>100%</w:t>
      </w:r>
      <w:r>
        <w:rPr>
          <w:rFonts w:hint="eastAsia"/>
          <w:spacing w:val="-32"/>
          <w:highlight w:val="none"/>
        </w:rPr>
        <w:t>，</w:t>
      </w:r>
      <w:r>
        <w:rPr>
          <w:rFonts w:hint="eastAsia"/>
          <w:highlight w:val="none"/>
        </w:rPr>
        <w:t>招标人为</w:t>
      </w:r>
      <w:r>
        <w:rPr>
          <w:rFonts w:hint="eastAsia"/>
          <w:highlight w:val="none"/>
          <w:u w:val="single"/>
        </w:rPr>
        <w:t>赣州高速公路有限责任公司</w:t>
      </w:r>
      <w:r>
        <w:rPr>
          <w:rFonts w:hint="eastAsia"/>
          <w:spacing w:val="-32"/>
          <w:highlight w:val="none"/>
        </w:rPr>
        <w:t>。</w:t>
      </w:r>
      <w:r>
        <w:rPr>
          <w:rFonts w:hint="eastAsia"/>
          <w:highlight w:val="none"/>
        </w:rPr>
        <w:t>项目已具备招标条件</w:t>
      </w:r>
      <w:r>
        <w:rPr>
          <w:rFonts w:hint="eastAsia"/>
          <w:spacing w:val="-32"/>
          <w:highlight w:val="none"/>
        </w:rPr>
        <w:t>，</w:t>
      </w:r>
      <w:r>
        <w:rPr>
          <w:rFonts w:hint="eastAsia"/>
          <w:highlight w:val="none"/>
        </w:rPr>
        <w:t>现对该项目的施工进行公开招标。</w:t>
      </w:r>
    </w:p>
    <w:p>
      <w:pPr>
        <w:tabs>
          <w:tab w:val="left" w:pos="718"/>
        </w:tabs>
        <w:adjustRightInd w:val="0"/>
        <w:snapToGrid w:val="0"/>
        <w:spacing w:line="360" w:lineRule="auto"/>
        <w:ind w:left="400" w:leftChars="200"/>
        <w:outlineLvl w:val="2"/>
        <w:rPr>
          <w:rFonts w:hint="eastAsia" w:ascii="宋体" w:hAnsi="宋体" w:cs="宋体"/>
          <w:b/>
          <w:sz w:val="28"/>
          <w:highlight w:val="none"/>
        </w:rPr>
      </w:pPr>
      <w:bookmarkStart w:id="3" w:name="_bookmark2"/>
      <w:bookmarkEnd w:id="3"/>
      <w:bookmarkStart w:id="4" w:name="_Toc22202"/>
      <w:bookmarkStart w:id="5" w:name="_Toc8700"/>
      <w:r>
        <w:rPr>
          <w:rFonts w:hint="eastAsia" w:ascii="宋体" w:hAnsi="宋体" w:cs="宋体"/>
          <w:b/>
          <w:sz w:val="28"/>
          <w:highlight w:val="none"/>
        </w:rPr>
        <w:t>2.项目概况与招标范围</w:t>
      </w:r>
      <w:bookmarkEnd w:id="4"/>
      <w:bookmarkEnd w:id="5"/>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336" w:lineRule="auto"/>
        <w:ind w:firstLine="480" w:firstLineChars="200"/>
        <w:jc w:val="both"/>
        <w:rPr>
          <w:rFonts w:hint="eastAsia"/>
          <w:highlight w:val="none"/>
        </w:rPr>
      </w:pPr>
      <w:r>
        <w:rPr>
          <w:rFonts w:hint="eastAsia"/>
          <w:highlight w:val="none"/>
        </w:rPr>
        <w:t>（1）建设地点：信丰县嘉定镇信丰南收费站；</w:t>
      </w:r>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336" w:lineRule="auto"/>
        <w:ind w:firstLine="480" w:firstLineChars="200"/>
        <w:jc w:val="both"/>
        <w:rPr>
          <w:rFonts w:hint="eastAsia"/>
          <w:highlight w:val="none"/>
        </w:rPr>
      </w:pPr>
      <w:r>
        <w:rPr>
          <w:rFonts w:hint="eastAsia"/>
          <w:highlight w:val="none"/>
        </w:rPr>
        <w:t>（2）</w:t>
      </w:r>
      <w:bookmarkStart w:id="6" w:name="OLE_LINK14"/>
      <w:r>
        <w:rPr>
          <w:rFonts w:hint="eastAsia"/>
          <w:highlight w:val="none"/>
        </w:rPr>
        <w:t>项目性质：</w:t>
      </w:r>
      <w:bookmarkEnd w:id="6"/>
      <w:r>
        <w:rPr>
          <w:rFonts w:hint="eastAsia"/>
          <w:highlight w:val="none"/>
        </w:rPr>
        <w:t xml:space="preserve">拆除及新建收费站、收费站广场；       </w:t>
      </w:r>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336" w:lineRule="auto"/>
        <w:ind w:firstLine="480" w:firstLineChars="200"/>
        <w:jc w:val="both"/>
        <w:rPr>
          <w:rFonts w:hint="eastAsia"/>
          <w:highlight w:val="none"/>
        </w:rPr>
      </w:pPr>
      <w:r>
        <w:rPr>
          <w:rFonts w:hint="eastAsia"/>
          <w:highlight w:val="none"/>
        </w:rPr>
        <w:t>（3）工程概况：信丰南收费站升级改造工程位于信丰县嘉定镇，项目建设内容为拆除原收费站及收费广场，新建收费站1902.32平方米（由2进3出改为4进5出），向东移54.257米，向北扩宽约25米；收费广场长约100米，直线段内采用水泥混凝土路面；部分匝道局部路段拓宽，采用沥青混凝土路面；新建值班室向南移动1.8米，进出收费管理所的大门向园区内（南）方向移动2米，以及配套的排水工程、照明工程、交通工程、桥涵工程、绿化工程、站房相关机电设备等附属设施。</w:t>
      </w:r>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336" w:lineRule="auto"/>
        <w:ind w:firstLine="480" w:firstLineChars="200"/>
        <w:jc w:val="both"/>
        <w:rPr>
          <w:rFonts w:hint="eastAsia"/>
          <w:highlight w:val="none"/>
        </w:rPr>
      </w:pPr>
      <w:r>
        <w:rPr>
          <w:rFonts w:hint="eastAsia"/>
          <w:highlight w:val="none"/>
        </w:rPr>
        <w:t>互通立交为对向分离双车道，设计速度为40公里/小时，路基宽为10.5米；对匝道原涵洞进行接长，互通区域内匝道工程接长涵洞4米/2道，设计洪水频率1/100，汽车荷载等级为公路-I级。</w:t>
      </w:r>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336" w:lineRule="auto"/>
        <w:ind w:firstLine="480" w:firstLineChars="200"/>
        <w:jc w:val="both"/>
        <w:rPr>
          <w:rFonts w:hint="eastAsia"/>
          <w:highlight w:val="none"/>
        </w:rPr>
      </w:pPr>
      <w:r>
        <w:rPr>
          <w:rFonts w:hint="eastAsia"/>
          <w:highlight w:val="none"/>
        </w:rPr>
        <w:t>道路工程的内容为对与收费广场直接相连的A、D、E 匝道进行拓宽改造，改造路线总长度为1002.272m，其中A 匝道适应ETC不停车收费的特点，按40km/h进行线形设计，A 匝道跨线桥完全利用；A、D、E 匝道连接部以A 匝道为主要道路进行微调，D 匝道盖板涵和E 匝道圆管涵接长2 个；对已破损老旧的A、D、E 匝道沥青混凝土路面铣刨重铺,对收费广场的水泥混凝土路面重铺。具体信息详见附表一。本项目建安费约为2550万元。</w:t>
      </w:r>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360" w:lineRule="auto"/>
        <w:ind w:firstLine="480" w:firstLineChars="200"/>
        <w:jc w:val="both"/>
        <w:rPr>
          <w:rFonts w:hint="eastAsia"/>
          <w:highlight w:val="none"/>
        </w:rPr>
      </w:pPr>
      <w:r>
        <w:rPr>
          <w:rFonts w:hint="eastAsia"/>
          <w:highlight w:val="none"/>
        </w:rPr>
        <w:t>（4）计划工期:施工工期92日历天，养护期</w:t>
      </w:r>
      <w:r>
        <w:rPr>
          <w:rFonts w:hint="eastAsia"/>
          <w:highlight w:val="none"/>
          <w:lang w:eastAsia="zh-CN"/>
        </w:rPr>
        <w:t>为缺陷责任期后</w:t>
      </w:r>
      <w:r>
        <w:rPr>
          <w:rFonts w:hint="eastAsia"/>
          <w:highlight w:val="none"/>
        </w:rPr>
        <w:t>三年；</w:t>
      </w:r>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360" w:lineRule="auto"/>
        <w:ind w:firstLine="480" w:firstLineChars="200"/>
        <w:jc w:val="both"/>
        <w:rPr>
          <w:rFonts w:hint="eastAsia"/>
          <w:highlight w:val="none"/>
        </w:rPr>
      </w:pPr>
      <w:bookmarkStart w:id="7" w:name="_Toc245388704"/>
      <w:bookmarkStart w:id="8" w:name="_Toc245548095"/>
      <w:bookmarkStart w:id="9" w:name="_Toc246911479"/>
      <w:bookmarkStart w:id="10" w:name="_Toc246299429"/>
      <w:bookmarkStart w:id="11" w:name="_Toc251405531"/>
      <w:bookmarkStart w:id="12" w:name="_Toc245358272"/>
      <w:bookmarkStart w:id="13" w:name="_Toc245436929"/>
      <w:bookmarkStart w:id="14" w:name="_Toc251788053"/>
      <w:bookmarkStart w:id="15" w:name="_Toc245388138"/>
      <w:bookmarkStart w:id="16" w:name="_Toc246687273"/>
      <w:bookmarkStart w:id="17" w:name="_Toc245567558"/>
      <w:bookmarkStart w:id="18" w:name="_Toc250908462"/>
      <w:bookmarkStart w:id="19" w:name="_Toc246050791"/>
      <w:bookmarkStart w:id="20" w:name="_Toc251405727"/>
      <w:bookmarkStart w:id="21" w:name="_Toc251658769"/>
      <w:bookmarkStart w:id="22" w:name="_Toc246338190"/>
      <w:bookmarkStart w:id="23" w:name="_Toc246300072"/>
      <w:bookmarkStart w:id="24" w:name="_Toc245292075"/>
      <w:bookmarkStart w:id="25" w:name="_Toc251311788"/>
      <w:bookmarkStart w:id="26" w:name="_Toc245374230"/>
      <w:r>
        <w:rPr>
          <w:rFonts w:hint="eastAsia"/>
          <w:highlight w:val="none"/>
        </w:rPr>
        <w:t>（5）招标范围：</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hint="eastAsia"/>
          <w:highlight w:val="none"/>
        </w:rPr>
        <w:t>工程量清单及招标图纸所涵盖的所有内容；</w:t>
      </w:r>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360" w:lineRule="auto"/>
        <w:ind w:firstLine="480" w:firstLineChars="200"/>
        <w:jc w:val="both"/>
        <w:rPr>
          <w:rFonts w:hint="eastAsia"/>
          <w:highlight w:val="none"/>
        </w:rPr>
      </w:pPr>
      <w:r>
        <w:rPr>
          <w:rFonts w:hint="eastAsia"/>
          <w:highlight w:val="none"/>
        </w:rPr>
        <w:t>（6）标段划分：一个合同段；</w:t>
      </w:r>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360" w:lineRule="auto"/>
        <w:ind w:firstLine="480" w:firstLineChars="200"/>
        <w:jc w:val="both"/>
        <w:rPr>
          <w:rFonts w:hint="eastAsia"/>
          <w:highlight w:val="none"/>
        </w:rPr>
      </w:pPr>
      <w:r>
        <w:rPr>
          <w:rFonts w:hint="eastAsia"/>
          <w:highlight w:val="none"/>
        </w:rPr>
        <w:t>（7）资格审查方式：资格后审；</w:t>
      </w:r>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360" w:lineRule="auto"/>
        <w:ind w:firstLine="480" w:firstLineChars="200"/>
        <w:jc w:val="both"/>
        <w:rPr>
          <w:rFonts w:hint="eastAsia"/>
          <w:highlight w:val="none"/>
        </w:rPr>
      </w:pPr>
      <w:r>
        <w:rPr>
          <w:rFonts w:hint="eastAsia"/>
          <w:highlight w:val="none"/>
        </w:rPr>
        <w:t>（8）评标办法：技术评分最低标价法；</w:t>
      </w:r>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360" w:lineRule="auto"/>
        <w:ind w:firstLine="480" w:firstLineChars="200"/>
        <w:jc w:val="both"/>
        <w:rPr>
          <w:rFonts w:hint="eastAsia"/>
          <w:highlight w:val="none"/>
        </w:rPr>
      </w:pPr>
      <w:r>
        <w:rPr>
          <w:rFonts w:hint="eastAsia"/>
          <w:highlight w:val="none"/>
        </w:rPr>
        <w:t>（9）</w:t>
      </w:r>
      <w:bookmarkStart w:id="27" w:name="OLE_LINK13"/>
      <w:r>
        <w:rPr>
          <w:rFonts w:hint="eastAsia"/>
          <w:highlight w:val="none"/>
          <w:lang w:eastAsia="zh-CN"/>
        </w:rPr>
        <w:t>标段工程交工验收的</w:t>
      </w:r>
      <w:r>
        <w:rPr>
          <w:rFonts w:hint="eastAsia"/>
          <w:highlight w:val="none"/>
        </w:rPr>
        <w:t>质量评定合格</w:t>
      </w:r>
      <w:bookmarkEnd w:id="27"/>
      <w:r>
        <w:rPr>
          <w:rFonts w:hint="eastAsia"/>
          <w:highlight w:val="none"/>
        </w:rPr>
        <w:t>，竣工验收的质量评定合格。</w:t>
      </w:r>
    </w:p>
    <w:p>
      <w:pPr>
        <w:tabs>
          <w:tab w:val="left" w:pos="718"/>
        </w:tabs>
        <w:adjustRightInd w:val="0"/>
        <w:snapToGrid w:val="0"/>
        <w:spacing w:line="360" w:lineRule="auto"/>
        <w:ind w:left="400" w:leftChars="200"/>
        <w:outlineLvl w:val="2"/>
        <w:rPr>
          <w:rFonts w:hint="eastAsia" w:ascii="宋体" w:hAnsi="宋体" w:cs="宋体"/>
          <w:b/>
          <w:sz w:val="28"/>
          <w:highlight w:val="none"/>
        </w:rPr>
      </w:pPr>
      <w:bookmarkStart w:id="28" w:name="_bookmark3"/>
      <w:bookmarkEnd w:id="28"/>
      <w:bookmarkStart w:id="29" w:name="_Toc22760"/>
      <w:bookmarkStart w:id="30" w:name="_Toc14241"/>
      <w:r>
        <w:rPr>
          <w:rFonts w:hint="eastAsia" w:ascii="宋体" w:hAnsi="宋体" w:cs="宋体"/>
          <w:b/>
          <w:sz w:val="28"/>
          <w:highlight w:val="none"/>
        </w:rPr>
        <w:t>3.投标人资格要求</w:t>
      </w:r>
      <w:bookmarkEnd w:id="29"/>
      <w:bookmarkEnd w:id="30"/>
      <w:bookmarkStart w:id="47" w:name="_GoBack"/>
      <w:bookmarkEnd w:id="47"/>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288" w:lineRule="auto"/>
        <w:ind w:firstLine="480" w:firstLineChars="200"/>
        <w:jc w:val="both"/>
        <w:rPr>
          <w:rFonts w:hint="eastAsia"/>
          <w:highlight w:val="none"/>
        </w:rPr>
      </w:pPr>
      <w:r>
        <w:rPr>
          <w:rFonts w:hint="eastAsia"/>
          <w:highlight w:val="none"/>
        </w:rPr>
        <w:t>3.1本次招标要求投标人须具备的资质条件、财务要求、业绩要求、信誉要求、项目经理和项目总工资格要求见附表二、附表三、附表四、附表五、附表六，并在设备等方面具有相应的施工能力。</w:t>
      </w:r>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288" w:lineRule="auto"/>
        <w:ind w:firstLine="480" w:firstLineChars="200"/>
        <w:jc w:val="both"/>
        <w:rPr>
          <w:rFonts w:hint="eastAsia"/>
          <w:highlight w:val="none"/>
        </w:rPr>
      </w:pPr>
      <w:r>
        <w:rPr>
          <w:rFonts w:hint="eastAsia"/>
          <w:highlight w:val="none"/>
        </w:rPr>
        <w:t>3.2本次招标不接受联合体投标。</w:t>
      </w:r>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288" w:lineRule="auto"/>
        <w:ind w:firstLine="480" w:firstLineChars="200"/>
        <w:jc w:val="both"/>
        <w:rPr>
          <w:rFonts w:hint="eastAsia"/>
          <w:highlight w:val="none"/>
        </w:rPr>
      </w:pPr>
      <w:r>
        <w:rPr>
          <w:rFonts w:hint="eastAsia"/>
          <w:highlight w:val="none"/>
        </w:rPr>
        <w:t>3.3每个投标人最多可对1个标段投标；被招标项目所在地省级交通运输主管部门评为/信用等级的投标人，最多可对1个标段投标。每个投标人允许中1个标。对投标人信用等级的认定条件为：以江西省交通运输厅发布的2021年度江西省交通建设市场信用评价结果为本次招标使用的信用等级（以下简称“信用等级”，除特别说明外均为此含义）。信用等级为 D 级的投标人不具有投标资格；未进行信用等级评价的投标人，其信用等级按B级对待。</w:t>
      </w:r>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288" w:lineRule="auto"/>
        <w:ind w:firstLine="480" w:firstLineChars="200"/>
        <w:jc w:val="both"/>
        <w:rPr>
          <w:rFonts w:hint="eastAsia"/>
          <w:highlight w:val="none"/>
        </w:rPr>
      </w:pPr>
      <w:r>
        <w:rPr>
          <w:rFonts w:hint="eastAsia"/>
          <w:highlight w:val="none"/>
        </w:rPr>
        <w:t>3.4与招标人存在利害关系可能影响招标公正性的单位，不得参加投标。单位负责人为同一人或存在控股、管理关系的不同单位，不得参加同一标段投标，否则，相关投标均无效。</w:t>
      </w:r>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288" w:lineRule="auto"/>
        <w:ind w:firstLine="480" w:firstLineChars="200"/>
        <w:jc w:val="both"/>
        <w:rPr>
          <w:rFonts w:hint="eastAsia"/>
          <w:highlight w:val="none"/>
        </w:rPr>
      </w:pPr>
      <w:r>
        <w:rPr>
          <w:rFonts w:hint="eastAsia"/>
          <w:highlight w:val="none"/>
        </w:rPr>
        <w:t>3.5在“信用中国”网站（</w:t>
      </w:r>
      <w:r>
        <w:rPr>
          <w:rFonts w:hint="eastAsia"/>
          <w:highlight w:val="none"/>
        </w:rPr>
        <w:fldChar w:fldCharType="begin"/>
      </w:r>
      <w:r>
        <w:rPr>
          <w:rFonts w:hint="eastAsia"/>
          <w:highlight w:val="none"/>
        </w:rPr>
        <w:instrText xml:space="preserve"> HYPERLINK "http://www.creditchina.gov.cn/" \h </w:instrText>
      </w:r>
      <w:r>
        <w:rPr>
          <w:rFonts w:hint="eastAsia"/>
          <w:highlight w:val="none"/>
        </w:rPr>
        <w:fldChar w:fldCharType="separate"/>
      </w:r>
      <w:r>
        <w:rPr>
          <w:rFonts w:hint="eastAsia"/>
          <w:highlight w:val="none"/>
        </w:rPr>
        <w:t>http://www.creditchina.gov.cn/</w:t>
      </w:r>
      <w:r>
        <w:rPr>
          <w:rFonts w:hint="eastAsia"/>
          <w:highlight w:val="none"/>
        </w:rPr>
        <w:fldChar w:fldCharType="end"/>
      </w:r>
      <w:r>
        <w:rPr>
          <w:rFonts w:hint="eastAsia"/>
          <w:highlight w:val="none"/>
        </w:rPr>
        <w:t>）中被列入失信被执行人名单的投标人，不得参加投标。</w:t>
      </w:r>
    </w:p>
    <w:p>
      <w:pPr>
        <w:tabs>
          <w:tab w:val="left" w:pos="718"/>
        </w:tabs>
        <w:adjustRightInd w:val="0"/>
        <w:snapToGrid w:val="0"/>
        <w:spacing w:line="360" w:lineRule="auto"/>
        <w:ind w:left="400" w:leftChars="200"/>
        <w:outlineLvl w:val="2"/>
        <w:rPr>
          <w:rFonts w:hint="eastAsia" w:ascii="宋体" w:hAnsi="宋体" w:cs="宋体"/>
          <w:b/>
          <w:sz w:val="28"/>
          <w:highlight w:val="none"/>
        </w:rPr>
      </w:pPr>
      <w:bookmarkStart w:id="31" w:name="_bookmark4"/>
      <w:bookmarkEnd w:id="31"/>
      <w:bookmarkStart w:id="32" w:name="_Toc2344"/>
      <w:bookmarkStart w:id="33" w:name="_Toc18360"/>
      <w:r>
        <w:rPr>
          <w:rFonts w:hint="eastAsia" w:ascii="宋体" w:hAnsi="宋体" w:cs="宋体"/>
          <w:b/>
          <w:sz w:val="28"/>
          <w:highlight w:val="none"/>
        </w:rPr>
        <w:t>4.招标文件的获取</w:t>
      </w:r>
      <w:bookmarkEnd w:id="32"/>
      <w:bookmarkEnd w:id="33"/>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360" w:lineRule="auto"/>
        <w:ind w:firstLine="480" w:firstLineChars="200"/>
        <w:jc w:val="both"/>
        <w:rPr>
          <w:rFonts w:hint="eastAsia"/>
          <w:highlight w:val="none"/>
        </w:rPr>
      </w:pPr>
      <w:r>
        <w:rPr>
          <w:rFonts w:hint="eastAsia"/>
          <w:highlight w:val="none"/>
        </w:rPr>
        <w:t>4.1凡有意参加投标者，请于</w:t>
      </w:r>
      <w:r>
        <w:rPr>
          <w:rFonts w:hint="eastAsia"/>
          <w:highlight w:val="none"/>
          <w:u w:val="single"/>
        </w:rPr>
        <w:t>2022年</w:t>
      </w:r>
      <w:r>
        <w:rPr>
          <w:rFonts w:hint="eastAsia"/>
          <w:highlight w:val="none"/>
          <w:u w:val="single"/>
          <w:lang w:val="en-US" w:eastAsia="zh-CN"/>
        </w:rPr>
        <w:t>09</w:t>
      </w:r>
      <w:r>
        <w:rPr>
          <w:rFonts w:hint="eastAsia"/>
          <w:highlight w:val="none"/>
          <w:u w:val="single"/>
        </w:rPr>
        <w:t>月</w:t>
      </w:r>
      <w:r>
        <w:rPr>
          <w:rFonts w:hint="eastAsia"/>
          <w:highlight w:val="none"/>
          <w:u w:val="single"/>
          <w:lang w:val="en-US" w:eastAsia="zh-CN"/>
        </w:rPr>
        <w:t>09</w:t>
      </w:r>
      <w:r>
        <w:rPr>
          <w:rFonts w:hint="eastAsia"/>
          <w:highlight w:val="none"/>
          <w:u w:val="single"/>
        </w:rPr>
        <w:t>日00时00分至2022年</w:t>
      </w:r>
      <w:r>
        <w:rPr>
          <w:rFonts w:hint="eastAsia"/>
          <w:highlight w:val="none"/>
          <w:u w:val="single"/>
          <w:lang w:val="en-US" w:eastAsia="zh-CN"/>
        </w:rPr>
        <w:t>09</w:t>
      </w:r>
      <w:r>
        <w:rPr>
          <w:rFonts w:hint="eastAsia"/>
          <w:highlight w:val="none"/>
          <w:u w:val="single"/>
        </w:rPr>
        <w:t>月</w:t>
      </w:r>
      <w:r>
        <w:rPr>
          <w:rFonts w:hint="eastAsia"/>
          <w:highlight w:val="none"/>
          <w:u w:val="single"/>
          <w:lang w:val="en-US" w:eastAsia="zh-CN"/>
        </w:rPr>
        <w:t>29</w:t>
      </w:r>
      <w:r>
        <w:rPr>
          <w:rFonts w:hint="eastAsia"/>
          <w:highlight w:val="none"/>
          <w:u w:val="single"/>
        </w:rPr>
        <w:t>日09时</w:t>
      </w:r>
      <w:r>
        <w:rPr>
          <w:rFonts w:hint="eastAsia"/>
          <w:highlight w:val="none"/>
          <w:u w:val="single"/>
          <w:lang w:val="en-US" w:eastAsia="zh-CN"/>
        </w:rPr>
        <w:t>0</w:t>
      </w:r>
      <w:r>
        <w:rPr>
          <w:rFonts w:hint="eastAsia"/>
          <w:highlight w:val="none"/>
          <w:u w:val="single"/>
        </w:rPr>
        <w:t>0分</w:t>
      </w:r>
      <w:r>
        <w:rPr>
          <w:rFonts w:hint="eastAsia"/>
          <w:highlight w:val="none"/>
        </w:rPr>
        <w:t>（北京时间，下同），凭其数字证书CA锁在江西省公共资源交易系统（http://www.jxsggzy.cn/web/）进行投标报名（备注：投标人必须添加身份“其他类型（投标人）”，并按照“交通工程非自动评审业务系统”有关操作流程进行投标，未在上述报名截止时间前报名成功的投标人将不能参加本工程投标),并下载电子版招标文件、图纸、工程量固化清单等资料进行投标。</w:t>
      </w:r>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360" w:lineRule="auto"/>
        <w:ind w:firstLine="480" w:firstLineChars="200"/>
        <w:jc w:val="both"/>
        <w:rPr>
          <w:rFonts w:hint="eastAsia"/>
          <w:highlight w:val="none"/>
        </w:rPr>
      </w:pPr>
      <w:r>
        <w:rPr>
          <w:rFonts w:hint="eastAsia"/>
          <w:highlight w:val="none"/>
        </w:rPr>
        <w:t>4.2</w:t>
      </w:r>
      <w:bookmarkStart w:id="34" w:name="OLE_LINK8"/>
      <w:r>
        <w:rPr>
          <w:rFonts w:hint="eastAsia"/>
          <w:highlight w:val="none"/>
        </w:rPr>
        <w:t>招标文件及图纸每套售价/元</w:t>
      </w:r>
      <w:bookmarkEnd w:id="34"/>
      <w:r>
        <w:rPr>
          <w:rFonts w:hint="eastAsia"/>
          <w:highlight w:val="none"/>
        </w:rPr>
        <w:t>，逾期不售，售后不退。</w:t>
      </w:r>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360" w:lineRule="auto"/>
        <w:ind w:firstLine="480" w:firstLineChars="200"/>
        <w:jc w:val="both"/>
        <w:rPr>
          <w:highlight w:val="none"/>
        </w:rPr>
      </w:pPr>
      <w:r>
        <w:rPr>
          <w:rFonts w:hint="eastAsia"/>
          <w:highlight w:val="none"/>
        </w:rPr>
        <w:t>4.3 用户类型获取方式及系统操作请参阅江西省公共资源交易网（http://www.jxsggzy.cn/web/）首页“通知公告”栏中的《江西省交通运输厅关于优化提升交通项目招投标工作效能的通知》（赣交建管字〔2020〕20 号）。</w:t>
      </w:r>
    </w:p>
    <w:p>
      <w:pPr>
        <w:tabs>
          <w:tab w:val="left" w:pos="718"/>
        </w:tabs>
        <w:adjustRightInd w:val="0"/>
        <w:snapToGrid w:val="0"/>
        <w:spacing w:line="360" w:lineRule="auto"/>
        <w:ind w:left="400" w:leftChars="200"/>
        <w:outlineLvl w:val="2"/>
        <w:rPr>
          <w:rFonts w:hint="eastAsia" w:ascii="宋体" w:hAnsi="宋体" w:cs="宋体"/>
          <w:b/>
          <w:sz w:val="28"/>
          <w:highlight w:val="none"/>
        </w:rPr>
      </w:pPr>
      <w:bookmarkStart w:id="35" w:name="_bookmark5"/>
      <w:bookmarkEnd w:id="35"/>
      <w:bookmarkStart w:id="36" w:name="_Toc6830"/>
      <w:bookmarkStart w:id="37" w:name="_Toc8285"/>
      <w:r>
        <w:rPr>
          <w:rFonts w:hint="eastAsia" w:ascii="宋体" w:hAnsi="宋体" w:cs="宋体"/>
          <w:b/>
          <w:sz w:val="28"/>
          <w:highlight w:val="none"/>
        </w:rPr>
        <w:t>5.投标文件的递交及相关事宜</w:t>
      </w:r>
      <w:bookmarkEnd w:id="36"/>
      <w:bookmarkEnd w:id="37"/>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360" w:lineRule="auto"/>
        <w:ind w:firstLine="480" w:firstLineChars="200"/>
        <w:jc w:val="both"/>
        <w:rPr>
          <w:rFonts w:hint="eastAsia"/>
          <w:highlight w:val="none"/>
        </w:rPr>
      </w:pPr>
      <w:r>
        <w:rPr>
          <w:rFonts w:hint="eastAsia"/>
          <w:highlight w:val="none"/>
        </w:rPr>
        <w:t>5.1招标人不组织进行工程现场踏勘及不召开投标预备会。</w:t>
      </w:r>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360" w:lineRule="auto"/>
        <w:ind w:firstLine="480" w:firstLineChars="200"/>
        <w:jc w:val="both"/>
        <w:rPr>
          <w:rFonts w:hint="eastAsia"/>
          <w:highlight w:val="none"/>
        </w:rPr>
      </w:pPr>
      <w:bookmarkStart w:id="38" w:name="_bookmark6"/>
      <w:bookmarkEnd w:id="38"/>
      <w:bookmarkStart w:id="39" w:name="_Toc1356"/>
      <w:r>
        <w:rPr>
          <w:rFonts w:hint="eastAsia"/>
          <w:highlight w:val="none"/>
        </w:rPr>
        <w:t>5.2投标文件应为加密的、交易系统可识别格式的投标文件。投标文件递交的截止时间（投标截止时间，下同）为2022年</w:t>
      </w:r>
      <w:r>
        <w:rPr>
          <w:rFonts w:hint="eastAsia"/>
          <w:highlight w:val="none"/>
          <w:lang w:val="en-US" w:eastAsia="zh-CN"/>
        </w:rPr>
        <w:t>09</w:t>
      </w:r>
      <w:r>
        <w:rPr>
          <w:rFonts w:hint="eastAsia"/>
          <w:highlight w:val="none"/>
        </w:rPr>
        <w:t>月</w:t>
      </w:r>
      <w:r>
        <w:rPr>
          <w:rFonts w:hint="eastAsia"/>
          <w:highlight w:val="none"/>
          <w:lang w:val="en-US" w:eastAsia="zh-CN"/>
        </w:rPr>
        <w:t>29</w:t>
      </w:r>
      <w:r>
        <w:rPr>
          <w:rFonts w:hint="eastAsia"/>
          <w:highlight w:val="none"/>
        </w:rPr>
        <w:t>日9时30分，投标人应于投标截止时间前，通过互联网使用CA数字证书登录交易系统，将加密的投标文件上传到达交易系统。逾期未完成上传或未按时到达交易系统或未按规定加密或未采用交易系统可识别格式的投标文件，交易系统将予以拒收。</w:t>
      </w:r>
    </w:p>
    <w:p>
      <w:pPr>
        <w:pStyle w:val="3"/>
        <w:tabs>
          <w:tab w:val="left" w:pos="1929"/>
          <w:tab w:val="left" w:pos="2289"/>
          <w:tab w:val="left" w:pos="3129"/>
          <w:tab w:val="left" w:pos="3705"/>
          <w:tab w:val="left" w:pos="4401"/>
          <w:tab w:val="left" w:pos="4898"/>
          <w:tab w:val="left" w:pos="6370"/>
          <w:tab w:val="left" w:pos="6667"/>
          <w:tab w:val="left" w:pos="7260"/>
        </w:tabs>
        <w:topLinePunct/>
        <w:autoSpaceDE/>
        <w:autoSpaceDN/>
        <w:adjustRightInd w:val="0"/>
        <w:snapToGrid w:val="0"/>
        <w:spacing w:line="360" w:lineRule="auto"/>
        <w:ind w:firstLine="480" w:firstLineChars="200"/>
        <w:jc w:val="both"/>
        <w:rPr>
          <w:rFonts w:hint="eastAsia"/>
          <w:highlight w:val="none"/>
        </w:rPr>
      </w:pPr>
      <w:bookmarkStart w:id="40" w:name="_Toc11726"/>
      <w:r>
        <w:rPr>
          <w:rFonts w:hint="eastAsia"/>
          <w:highlight w:val="none"/>
        </w:rPr>
        <w:t>5.3本项目采用“不见面开标”系统开、评标，各投标企业的法定代表授权委托代理人无需到开标现场参与本项目开标活动。投标企业应在投标截止时间前进入江西省公共资源交易网-不见面开标大厅进行线上签到（具体详见投标人操作手册），否则无法进入后续的开标环节，因此引起的一切问题由投标企业自行承担。（投标人操作手册下载地址：http://spj.ganzhou.gov.cn/gzsxzsp/c114419/202110/aca46dd6764646dfad4aab3a8b4a3ad9.shtml）</w:t>
      </w:r>
    </w:p>
    <w:p>
      <w:pPr>
        <w:tabs>
          <w:tab w:val="left" w:pos="718"/>
        </w:tabs>
        <w:adjustRightInd w:val="0"/>
        <w:snapToGrid w:val="0"/>
        <w:spacing w:line="360" w:lineRule="auto"/>
        <w:ind w:left="400" w:leftChars="200"/>
        <w:outlineLvl w:val="2"/>
        <w:rPr>
          <w:rFonts w:hint="eastAsia" w:ascii="宋体" w:hAnsi="宋体" w:cs="宋体"/>
          <w:b/>
          <w:sz w:val="28"/>
          <w:highlight w:val="none"/>
        </w:rPr>
      </w:pPr>
      <w:r>
        <w:rPr>
          <w:rFonts w:hint="eastAsia" w:ascii="宋体" w:hAnsi="宋体" w:cs="宋体"/>
          <w:b/>
          <w:sz w:val="28"/>
          <w:highlight w:val="none"/>
        </w:rPr>
        <w:t>6.发布公告的媒介</w:t>
      </w:r>
      <w:bookmarkEnd w:id="39"/>
      <w:bookmarkEnd w:id="40"/>
    </w:p>
    <w:p>
      <w:pPr>
        <w:tabs>
          <w:tab w:val="left" w:pos="718"/>
        </w:tabs>
        <w:adjustRightInd w:val="0"/>
        <w:snapToGrid w:val="0"/>
        <w:spacing w:line="360" w:lineRule="auto"/>
        <w:ind w:firstLine="480" w:firstLineChars="200"/>
        <w:outlineLvl w:val="2"/>
        <w:rPr>
          <w:rFonts w:hint="eastAsia" w:ascii="宋体" w:hAnsi="宋体"/>
          <w:sz w:val="24"/>
          <w:highlight w:val="none"/>
        </w:rPr>
      </w:pPr>
      <w:bookmarkStart w:id="41" w:name="_Toc26877"/>
      <w:r>
        <w:rPr>
          <w:rFonts w:hint="eastAsia" w:ascii="宋体" w:hAnsi="宋体"/>
          <w:sz w:val="24"/>
          <w:highlight w:val="none"/>
        </w:rPr>
        <w:t>本次招标公告同时在江西省公共资源交易网（http://www.jxsggzy.cn/web/）、江西省招标投标网(http://www.jxtb.org.cn)、</w:t>
      </w:r>
      <w:r>
        <w:rPr>
          <w:rFonts w:hint="eastAsia"/>
          <w:sz w:val="24"/>
          <w:highlight w:val="none"/>
        </w:rPr>
        <w:t>赣州交通控股集团有限公司网站</w:t>
      </w:r>
      <w:r>
        <w:rPr>
          <w:rFonts w:hint="eastAsia" w:ascii="宋体" w:hAnsi="宋体"/>
          <w:sz w:val="24"/>
          <w:highlight w:val="none"/>
        </w:rPr>
        <w:t>（http://www.gzjtkgjt.com）上发布，招标文件的关键内容在上述网站同步公开。</w:t>
      </w:r>
      <w:bookmarkEnd w:id="41"/>
    </w:p>
    <w:p>
      <w:pPr>
        <w:tabs>
          <w:tab w:val="left" w:pos="718"/>
        </w:tabs>
        <w:adjustRightInd w:val="0"/>
        <w:snapToGrid w:val="0"/>
        <w:spacing w:line="360" w:lineRule="auto"/>
        <w:ind w:left="400" w:leftChars="200"/>
        <w:outlineLvl w:val="2"/>
        <w:rPr>
          <w:rFonts w:hint="eastAsia" w:ascii="宋体" w:hAnsi="宋体" w:cs="宋体"/>
          <w:b/>
          <w:sz w:val="28"/>
          <w:highlight w:val="none"/>
        </w:rPr>
      </w:pPr>
      <w:bookmarkStart w:id="42" w:name="_bookmark7"/>
      <w:bookmarkEnd w:id="42"/>
      <w:bookmarkStart w:id="43" w:name="_Toc14044"/>
      <w:bookmarkStart w:id="44" w:name="_Toc5596"/>
      <w:r>
        <w:rPr>
          <w:rFonts w:hint="eastAsia" w:ascii="宋体" w:hAnsi="宋体" w:cs="宋体"/>
          <w:b/>
          <w:sz w:val="28"/>
          <w:highlight w:val="none"/>
        </w:rPr>
        <w:t>7.联系方式</w:t>
      </w:r>
      <w:bookmarkEnd w:id="43"/>
      <w:bookmarkEnd w:id="44"/>
    </w:p>
    <w:p>
      <w:pPr>
        <w:tabs>
          <w:tab w:val="left" w:pos="4536"/>
        </w:tabs>
        <w:autoSpaceDE/>
        <w:autoSpaceDN/>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招   标   人：</w:t>
      </w:r>
      <w:r>
        <w:rPr>
          <w:rFonts w:hint="eastAsia" w:cs="宋体"/>
          <w:sz w:val="24"/>
          <w:highlight w:val="none"/>
        </w:rPr>
        <w:t>赣州高速公路有限责任公司</w:t>
      </w:r>
      <w:r>
        <w:rPr>
          <w:rFonts w:hint="eastAsia" w:ascii="宋体" w:hAnsi="宋体" w:cs="宋体"/>
          <w:sz w:val="24"/>
          <w:highlight w:val="none"/>
        </w:rPr>
        <w:t xml:space="preserve">          </w:t>
      </w:r>
    </w:p>
    <w:p>
      <w:pPr>
        <w:tabs>
          <w:tab w:val="left" w:pos="4536"/>
        </w:tabs>
        <w:autoSpaceDE/>
        <w:autoSpaceDN/>
        <w:adjustRightInd w:val="0"/>
        <w:snapToGrid w:val="0"/>
        <w:spacing w:line="360" w:lineRule="auto"/>
        <w:ind w:firstLine="480" w:firstLineChars="200"/>
        <w:rPr>
          <w:rFonts w:hint="eastAsia" w:ascii="宋体" w:hAnsi="宋体" w:cs="宋体"/>
          <w:spacing w:val="-8"/>
          <w:sz w:val="24"/>
          <w:highlight w:val="none"/>
        </w:rPr>
      </w:pPr>
      <w:r>
        <w:rPr>
          <w:rFonts w:hint="eastAsia" w:ascii="宋体" w:hAnsi="宋体" w:cs="宋体"/>
          <w:sz w:val="24"/>
          <w:highlight w:val="none"/>
        </w:rPr>
        <w:t>地        址：</w:t>
      </w:r>
      <w:r>
        <w:rPr>
          <w:rFonts w:hint="eastAsia" w:cs="宋体"/>
          <w:sz w:val="24"/>
          <w:highlight w:val="none"/>
        </w:rPr>
        <w:t>江西省赣州市章贡区沙河镇赣州绕城高速赣州东出口</w:t>
      </w:r>
      <w:r>
        <w:rPr>
          <w:rFonts w:hint="eastAsia" w:ascii="宋体" w:hAnsi="宋体" w:cs="宋体"/>
          <w:sz w:val="24"/>
          <w:highlight w:val="none"/>
        </w:rPr>
        <w:t xml:space="preserve">    </w:t>
      </w:r>
    </w:p>
    <w:p>
      <w:pPr>
        <w:tabs>
          <w:tab w:val="left" w:pos="4678"/>
        </w:tabs>
        <w:autoSpaceDE/>
        <w:autoSpaceDN/>
        <w:adjustRightInd w:val="0"/>
        <w:snapToGrid w:val="0"/>
        <w:spacing w:line="360" w:lineRule="auto"/>
        <w:ind w:firstLine="480" w:firstLineChars="200"/>
        <w:rPr>
          <w:rFonts w:hint="eastAsia" w:ascii="宋体" w:hAnsi="宋体" w:cs="宋体"/>
          <w:szCs w:val="21"/>
          <w:highlight w:val="none"/>
        </w:rPr>
      </w:pPr>
      <w:r>
        <w:rPr>
          <w:rFonts w:hint="eastAsia" w:ascii="宋体" w:hAnsi="宋体" w:cs="宋体"/>
          <w:sz w:val="24"/>
          <w:highlight w:val="none"/>
        </w:rPr>
        <w:t>联   系   人：</w:t>
      </w:r>
      <w:r>
        <w:rPr>
          <w:rFonts w:hint="eastAsia" w:cs="宋体"/>
          <w:sz w:val="24"/>
          <w:highlight w:val="none"/>
        </w:rPr>
        <w:t>温女士</w:t>
      </w:r>
      <w:r>
        <w:rPr>
          <w:rFonts w:hint="eastAsia" w:ascii="宋体" w:hAnsi="宋体" w:cs="宋体"/>
          <w:sz w:val="24"/>
          <w:highlight w:val="none"/>
        </w:rPr>
        <w:t xml:space="preserve">  </w:t>
      </w:r>
      <w:r>
        <w:rPr>
          <w:rFonts w:hint="eastAsia" w:ascii="宋体" w:hAnsi="宋体" w:cs="宋体"/>
          <w:szCs w:val="21"/>
          <w:highlight w:val="none"/>
        </w:rPr>
        <w:t xml:space="preserve">                </w:t>
      </w:r>
    </w:p>
    <w:p>
      <w:pPr>
        <w:autoSpaceDE/>
        <w:autoSpaceDN/>
        <w:adjustRightInd w:val="0"/>
        <w:snapToGrid w:val="0"/>
        <w:spacing w:line="360" w:lineRule="auto"/>
        <w:ind w:firstLine="480" w:firstLineChars="200"/>
        <w:rPr>
          <w:rFonts w:hint="eastAsia" w:cs="宋体"/>
          <w:sz w:val="24"/>
          <w:highlight w:val="none"/>
        </w:rPr>
      </w:pPr>
      <w:r>
        <w:rPr>
          <w:rFonts w:hint="eastAsia" w:ascii="宋体" w:hAnsi="宋体" w:cs="宋体"/>
          <w:sz w:val="24"/>
          <w:highlight w:val="none"/>
        </w:rPr>
        <w:t>电        话：</w:t>
      </w:r>
      <w:r>
        <w:rPr>
          <w:rFonts w:hint="eastAsia" w:cs="宋体"/>
          <w:sz w:val="24"/>
          <w:highlight w:val="none"/>
        </w:rPr>
        <w:t>0797-8289692</w:t>
      </w:r>
    </w:p>
    <w:p>
      <w:pPr>
        <w:autoSpaceDE/>
        <w:autoSpaceDN/>
        <w:adjustRightInd w:val="0"/>
        <w:snapToGrid w:val="0"/>
        <w:spacing w:line="360" w:lineRule="auto"/>
        <w:ind w:firstLine="480" w:firstLineChars="200"/>
        <w:rPr>
          <w:rFonts w:hint="eastAsia" w:cs="宋体"/>
          <w:sz w:val="24"/>
          <w:highlight w:val="none"/>
        </w:rPr>
      </w:pPr>
      <w:r>
        <w:rPr>
          <w:rFonts w:hint="eastAsia" w:cs="宋体"/>
          <w:sz w:val="24"/>
          <w:highlight w:val="none"/>
        </w:rPr>
        <w:t>传</w:t>
      </w:r>
      <w:r>
        <w:rPr>
          <w:rFonts w:hint="eastAsia" w:ascii="宋体" w:hAnsi="宋体" w:cs="宋体"/>
          <w:sz w:val="24"/>
          <w:highlight w:val="none"/>
        </w:rPr>
        <w:t xml:space="preserve">        </w:t>
      </w:r>
      <w:r>
        <w:rPr>
          <w:rFonts w:hint="eastAsia" w:cs="宋体"/>
          <w:sz w:val="24"/>
          <w:highlight w:val="none"/>
        </w:rPr>
        <w:t>真</w:t>
      </w:r>
      <w:r>
        <w:rPr>
          <w:rFonts w:hint="eastAsia" w:ascii="宋体" w:hAnsi="宋体" w:cs="宋体"/>
          <w:sz w:val="24"/>
          <w:highlight w:val="none"/>
        </w:rPr>
        <w:t>：</w:t>
      </w:r>
      <w:r>
        <w:rPr>
          <w:rFonts w:hint="eastAsia" w:cs="宋体"/>
          <w:sz w:val="24"/>
          <w:highlight w:val="none"/>
        </w:rPr>
        <w:t>0797-8289692</w:t>
      </w:r>
    </w:p>
    <w:p>
      <w:pPr>
        <w:autoSpaceDE/>
        <w:autoSpaceDN/>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邮        编：341000</w:t>
      </w:r>
    </w:p>
    <w:p>
      <w:pPr>
        <w:autoSpaceDE/>
        <w:autoSpaceDN/>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            </w:t>
      </w:r>
    </w:p>
    <w:p>
      <w:pPr>
        <w:autoSpaceDE/>
        <w:autoSpaceDN/>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招标代理机构：</w:t>
      </w:r>
      <w:r>
        <w:rPr>
          <w:rFonts w:hint="eastAsia" w:cs="宋体"/>
          <w:sz w:val="24"/>
          <w:highlight w:val="none"/>
        </w:rPr>
        <w:t>江西省赣南公路勘察设计院有限公司</w:t>
      </w:r>
    </w:p>
    <w:p>
      <w:pPr>
        <w:autoSpaceDE/>
        <w:autoSpaceDN/>
        <w:adjustRightInd w:val="0"/>
        <w:snapToGrid w:val="0"/>
        <w:spacing w:line="360" w:lineRule="auto"/>
        <w:ind w:firstLine="480" w:firstLineChars="200"/>
        <w:rPr>
          <w:rFonts w:hint="eastAsia" w:ascii="宋体" w:hAnsi="宋体" w:cs="宋体"/>
          <w:spacing w:val="-8"/>
          <w:sz w:val="24"/>
          <w:highlight w:val="none"/>
        </w:rPr>
      </w:pPr>
      <w:r>
        <w:rPr>
          <w:rFonts w:hint="eastAsia" w:ascii="宋体" w:hAnsi="宋体" w:cs="宋体"/>
          <w:sz w:val="24"/>
          <w:highlight w:val="none"/>
        </w:rPr>
        <w:t>地        址：</w:t>
      </w:r>
      <w:r>
        <w:rPr>
          <w:rFonts w:hint="eastAsia" w:ascii="宋体" w:hAnsi="宋体" w:cs="宋体"/>
          <w:spacing w:val="-8"/>
          <w:sz w:val="24"/>
          <w:highlight w:val="none"/>
        </w:rPr>
        <w:t>赣州市章江新区赞贤路36号</w:t>
      </w:r>
    </w:p>
    <w:p>
      <w:pPr>
        <w:autoSpaceDE/>
        <w:autoSpaceDN/>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联   系   人：</w:t>
      </w:r>
      <w:r>
        <w:rPr>
          <w:rFonts w:hint="eastAsia" w:cs="宋体"/>
          <w:sz w:val="24"/>
          <w:highlight w:val="none"/>
        </w:rPr>
        <w:t>赖丙娣</w:t>
      </w:r>
      <w:r>
        <w:rPr>
          <w:rFonts w:hint="eastAsia" w:ascii="宋体" w:hAnsi="宋体" w:cs="宋体"/>
          <w:sz w:val="24"/>
          <w:highlight w:val="none"/>
        </w:rPr>
        <w:t xml:space="preserve"> </w:t>
      </w:r>
      <w:r>
        <w:rPr>
          <w:rFonts w:hint="eastAsia" w:ascii="宋体" w:hAnsi="宋体" w:cs="宋体"/>
          <w:szCs w:val="21"/>
          <w:highlight w:val="none"/>
        </w:rPr>
        <w:t xml:space="preserve">    </w:t>
      </w:r>
    </w:p>
    <w:p>
      <w:pPr>
        <w:autoSpaceDE/>
        <w:autoSpaceDN/>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电        话：0797-8088235 </w:t>
      </w:r>
    </w:p>
    <w:p>
      <w:pPr>
        <w:autoSpaceDE/>
        <w:autoSpaceDN/>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邮        编：341000 </w:t>
      </w:r>
    </w:p>
    <w:p>
      <w:pPr>
        <w:autoSpaceDE/>
        <w:autoSpaceDN/>
        <w:adjustRightInd w:val="0"/>
        <w:snapToGrid w:val="0"/>
        <w:spacing w:line="360" w:lineRule="auto"/>
        <w:ind w:firstLine="480" w:firstLineChars="200"/>
        <w:rPr>
          <w:rFonts w:hint="eastAsia" w:ascii="宋体" w:hAnsi="宋体" w:cs="宋体"/>
          <w:sz w:val="24"/>
          <w:highlight w:val="none"/>
        </w:rPr>
      </w:pPr>
      <w:r>
        <w:rPr>
          <w:rFonts w:hint="eastAsia" w:cs="宋体"/>
          <w:sz w:val="24"/>
          <w:highlight w:val="none"/>
        </w:rPr>
        <w:t>电子邮箱：</w:t>
      </w:r>
      <w:r>
        <w:rPr>
          <w:rFonts w:cs="宋体"/>
          <w:sz w:val="24"/>
          <w:highlight w:val="none"/>
        </w:rPr>
        <w:t>gnglkcsjy@163.com</w:t>
      </w:r>
      <w:r>
        <w:rPr>
          <w:rFonts w:hint="eastAsia" w:ascii="宋体" w:hAnsi="宋体" w:cs="宋体"/>
          <w:sz w:val="24"/>
          <w:highlight w:val="none"/>
        </w:rPr>
        <w:t xml:space="preserve">  </w:t>
      </w:r>
    </w:p>
    <w:p>
      <w:pPr>
        <w:pStyle w:val="2"/>
        <w:rPr>
          <w:rFonts w:hint="eastAsia"/>
          <w:highlight w:val="none"/>
        </w:rPr>
      </w:pPr>
    </w:p>
    <w:p>
      <w:pPr>
        <w:autoSpaceDE/>
        <w:autoSpaceDN/>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监 督 单 位： 赣州市交通运输局 、</w:t>
      </w:r>
      <w:r>
        <w:rPr>
          <w:rFonts w:hint="eastAsia" w:cs="宋体"/>
          <w:sz w:val="24"/>
          <w:highlight w:val="none"/>
        </w:rPr>
        <w:t>赣州交通控股集团有限公司</w:t>
      </w:r>
      <w:r>
        <w:rPr>
          <w:rFonts w:hint="eastAsia" w:ascii="宋体" w:hAnsi="宋体" w:cs="宋体"/>
          <w:sz w:val="24"/>
          <w:highlight w:val="none"/>
        </w:rPr>
        <w:t>风控审计部、</w:t>
      </w:r>
      <w:r>
        <w:rPr>
          <w:rFonts w:hint="eastAsia" w:cs="宋体"/>
          <w:sz w:val="24"/>
          <w:highlight w:val="none"/>
        </w:rPr>
        <w:t>赣州交通控股集团有限公司纪检监察室</w:t>
      </w:r>
    </w:p>
    <w:p>
      <w:pPr>
        <w:autoSpaceDE/>
        <w:autoSpaceDN/>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监 督 电 话： 0797-8996559、0797-8289879、0797-8282685</w:t>
      </w:r>
    </w:p>
    <w:p>
      <w:pPr>
        <w:autoSpaceDE/>
        <w:autoSpaceDN/>
        <w:adjustRightInd w:val="0"/>
        <w:snapToGrid w:val="0"/>
        <w:spacing w:line="360" w:lineRule="auto"/>
        <w:ind w:firstLine="480" w:firstLineChars="200"/>
        <w:jc w:val="right"/>
        <w:rPr>
          <w:rFonts w:hint="eastAsia" w:ascii="宋体" w:hAnsi="宋体" w:cs="宋体"/>
          <w:sz w:val="24"/>
          <w:highlight w:val="none"/>
        </w:rPr>
        <w:sectPr>
          <w:footerReference r:id="rId3" w:type="default"/>
          <w:pgSz w:w="11906" w:h="16838"/>
          <w:pgMar w:top="1361" w:right="1134" w:bottom="1361" w:left="1134" w:header="851" w:footer="992" w:gutter="0"/>
          <w:cols w:space="425" w:num="1"/>
          <w:docGrid w:type="lines" w:linePitch="312" w:charSpace="0"/>
        </w:sectPr>
      </w:pPr>
      <w:r>
        <w:rPr>
          <w:rFonts w:hint="eastAsia" w:ascii="宋体" w:hAnsi="宋体" w:cs="宋体"/>
          <w:sz w:val="24"/>
          <w:highlight w:val="none"/>
        </w:rPr>
        <w:t xml:space="preserve">                </w:t>
      </w:r>
      <w:r>
        <w:rPr>
          <w:rFonts w:hint="eastAsia" w:ascii="宋体" w:hAnsi="宋体" w:cs="宋体"/>
          <w:sz w:val="24"/>
          <w:highlight w:val="none"/>
          <w:u w:val="single"/>
        </w:rPr>
        <w:t>202</w:t>
      </w:r>
      <w:r>
        <w:rPr>
          <w:rFonts w:hint="eastAsia" w:cs="宋体"/>
          <w:sz w:val="24"/>
          <w:highlight w:val="none"/>
          <w:u w:val="single"/>
        </w:rPr>
        <w:t>2</w:t>
      </w:r>
      <w:r>
        <w:rPr>
          <w:rFonts w:hint="eastAsia" w:ascii="宋体" w:hAnsi="宋体" w:cs="宋体"/>
          <w:sz w:val="24"/>
          <w:highlight w:val="none"/>
        </w:rPr>
        <w:t>年</w:t>
      </w:r>
      <w:r>
        <w:rPr>
          <w:rFonts w:hint="eastAsia" w:cs="宋体"/>
          <w:sz w:val="24"/>
          <w:highlight w:val="none"/>
          <w:u w:val="single"/>
          <w:lang w:val="en-US" w:eastAsia="zh-CN"/>
        </w:rPr>
        <w:t>09</w:t>
      </w:r>
      <w:r>
        <w:rPr>
          <w:rFonts w:hint="eastAsia" w:ascii="宋体" w:hAnsi="宋体" w:cs="宋体"/>
          <w:sz w:val="24"/>
          <w:highlight w:val="none"/>
        </w:rPr>
        <w:t>月</w:t>
      </w:r>
      <w:r>
        <w:rPr>
          <w:rFonts w:hint="eastAsia" w:ascii="宋体" w:hAnsi="宋体" w:cs="宋体"/>
          <w:sz w:val="24"/>
          <w:highlight w:val="none"/>
          <w:u w:val="single"/>
          <w:lang w:val="en-US" w:eastAsia="zh-CN"/>
        </w:rPr>
        <w:t>09</w:t>
      </w:r>
      <w:r>
        <w:rPr>
          <w:rFonts w:hint="eastAsia" w:ascii="宋体" w:hAnsi="宋体" w:cs="宋体"/>
          <w:sz w:val="24"/>
          <w:highlight w:val="none"/>
        </w:rPr>
        <w:t>日</w:t>
      </w:r>
    </w:p>
    <w:p>
      <w:pPr>
        <w:jc w:val="center"/>
        <w:rPr>
          <w:rFonts w:hint="eastAsia" w:ascii="宋体" w:hAnsi="宋体" w:cs="宋体"/>
          <w:b/>
          <w:sz w:val="28"/>
          <w:highlight w:val="none"/>
        </w:rPr>
      </w:pPr>
      <w:r>
        <w:rPr>
          <w:rFonts w:hint="eastAsia" w:ascii="宋体" w:hAnsi="宋体" w:cs="宋体"/>
          <w:b/>
          <w:sz w:val="28"/>
          <w:highlight w:val="none"/>
        </w:rPr>
        <w:t>附表一   标段划分一览表</w:t>
      </w:r>
    </w:p>
    <w:p>
      <w:pPr>
        <w:rPr>
          <w:rFonts w:hint="eastAsia"/>
          <w:highlight w:val="none"/>
        </w:rPr>
      </w:pPr>
    </w:p>
    <w:tbl>
      <w:tblPr>
        <w:tblStyle w:val="6"/>
        <w:tblW w:w="841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003"/>
        <w:gridCol w:w="1375"/>
        <w:gridCol w:w="50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0" w:hRule="atLeast"/>
          <w:tblHeader/>
          <w:jc w:val="center"/>
        </w:trPr>
        <w:tc>
          <w:tcPr>
            <w:tcW w:w="2003" w:type="dxa"/>
            <w:noWrap w:val="0"/>
            <w:tcMar>
              <w:top w:w="0" w:type="dxa"/>
              <w:left w:w="108" w:type="dxa"/>
              <w:bottom w:w="0" w:type="dxa"/>
              <w:right w:w="108" w:type="dxa"/>
            </w:tcMar>
            <w:vAlign w:val="center"/>
          </w:tcPr>
          <w:p>
            <w:pPr>
              <w:jc w:val="center"/>
              <w:rPr>
                <w:sz w:val="24"/>
                <w:highlight w:val="none"/>
              </w:rPr>
            </w:pPr>
            <w:r>
              <w:rPr>
                <w:rFonts w:hint="eastAsia"/>
                <w:highlight w:val="none"/>
              </w:rPr>
              <w:t>标段</w:t>
            </w:r>
          </w:p>
        </w:tc>
        <w:tc>
          <w:tcPr>
            <w:tcW w:w="1375" w:type="dxa"/>
            <w:noWrap w:val="0"/>
            <w:tcMar>
              <w:top w:w="0" w:type="dxa"/>
              <w:left w:w="108" w:type="dxa"/>
              <w:bottom w:w="0" w:type="dxa"/>
              <w:right w:w="108" w:type="dxa"/>
            </w:tcMar>
            <w:vAlign w:val="center"/>
          </w:tcPr>
          <w:p>
            <w:pPr>
              <w:jc w:val="center"/>
              <w:rPr>
                <w:sz w:val="24"/>
                <w:highlight w:val="none"/>
              </w:rPr>
            </w:pPr>
            <w:r>
              <w:rPr>
                <w:rFonts w:hint="eastAsia"/>
                <w:highlight w:val="none"/>
              </w:rPr>
              <w:t>长度(m)</w:t>
            </w:r>
          </w:p>
        </w:tc>
        <w:tc>
          <w:tcPr>
            <w:tcW w:w="5040" w:type="dxa"/>
            <w:noWrap w:val="0"/>
            <w:tcMar>
              <w:top w:w="0" w:type="dxa"/>
              <w:left w:w="108" w:type="dxa"/>
              <w:bottom w:w="0" w:type="dxa"/>
              <w:right w:w="108" w:type="dxa"/>
            </w:tcMar>
            <w:vAlign w:val="center"/>
          </w:tcPr>
          <w:p>
            <w:pPr>
              <w:jc w:val="center"/>
              <w:rPr>
                <w:sz w:val="24"/>
                <w:highlight w:val="none"/>
              </w:rPr>
            </w:pPr>
            <w:r>
              <w:rPr>
                <w:rFonts w:hint="eastAsia"/>
                <w:highlight w:val="none"/>
              </w:rPr>
              <w:t>主要工作内容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08" w:hRule="atLeast"/>
          <w:jc w:val="center"/>
        </w:trPr>
        <w:tc>
          <w:tcPr>
            <w:tcW w:w="2003" w:type="dxa"/>
            <w:noWrap w:val="0"/>
            <w:tcMar>
              <w:top w:w="0" w:type="dxa"/>
              <w:left w:w="108" w:type="dxa"/>
              <w:bottom w:w="0" w:type="dxa"/>
              <w:right w:w="108" w:type="dxa"/>
            </w:tcMar>
            <w:vAlign w:val="center"/>
          </w:tcPr>
          <w:p>
            <w:pPr>
              <w:jc w:val="center"/>
              <w:rPr>
                <w:rFonts w:hint="eastAsia"/>
                <w:highlight w:val="none"/>
              </w:rPr>
            </w:pPr>
            <w:r>
              <w:rPr>
                <w:rFonts w:hint="eastAsia"/>
                <w:highlight w:val="none"/>
              </w:rPr>
              <w:t>信丰南收费站升级改造道路工程</w:t>
            </w:r>
          </w:p>
        </w:tc>
        <w:tc>
          <w:tcPr>
            <w:tcW w:w="1375" w:type="dxa"/>
            <w:noWrap w:val="0"/>
            <w:tcMar>
              <w:top w:w="0" w:type="dxa"/>
              <w:left w:w="108" w:type="dxa"/>
              <w:bottom w:w="0" w:type="dxa"/>
              <w:right w:w="108" w:type="dxa"/>
            </w:tcMar>
            <w:vAlign w:val="center"/>
          </w:tcPr>
          <w:p>
            <w:pPr>
              <w:jc w:val="center"/>
              <w:rPr>
                <w:highlight w:val="none"/>
              </w:rPr>
            </w:pPr>
            <w:r>
              <w:rPr>
                <w:sz w:val="22"/>
                <w:szCs w:val="22"/>
                <w:highlight w:val="none"/>
              </w:rPr>
              <w:t>1002.272</w:t>
            </w:r>
          </w:p>
        </w:tc>
        <w:tc>
          <w:tcPr>
            <w:tcW w:w="5040" w:type="dxa"/>
            <w:noWrap w:val="0"/>
            <w:tcMar>
              <w:top w:w="0" w:type="dxa"/>
              <w:left w:w="108" w:type="dxa"/>
              <w:bottom w:w="0" w:type="dxa"/>
              <w:right w:w="108" w:type="dxa"/>
            </w:tcMar>
            <w:vAlign w:val="center"/>
          </w:tcPr>
          <w:p>
            <w:pPr>
              <w:rPr>
                <w:rFonts w:hint="eastAsia"/>
                <w:sz w:val="24"/>
                <w:highlight w:val="none"/>
              </w:rPr>
            </w:pPr>
            <w:r>
              <w:rPr>
                <w:sz w:val="22"/>
                <w:szCs w:val="22"/>
                <w:highlight w:val="none"/>
              </w:rPr>
              <w:t>主要工作内容为全线路基工程、路面工程、</w:t>
            </w:r>
            <w:r>
              <w:rPr>
                <w:rFonts w:hint="eastAsia"/>
                <w:sz w:val="22"/>
                <w:szCs w:val="22"/>
                <w:highlight w:val="none"/>
              </w:rPr>
              <w:t>桥涵工程、绿化工程、</w:t>
            </w:r>
            <w:r>
              <w:rPr>
                <w:sz w:val="22"/>
                <w:szCs w:val="22"/>
                <w:highlight w:val="none"/>
              </w:rPr>
              <w:t>标志标线、安全设施及沿线设施的实施、完成及缺陷修复的施工</w:t>
            </w:r>
            <w:r>
              <w:rPr>
                <w:rFonts w:hint="eastAsia"/>
                <w:sz w:val="22"/>
                <w:szCs w:val="22"/>
                <w:highlight w:val="none"/>
              </w:rPr>
              <w:t>。</w:t>
            </w:r>
          </w:p>
        </w:tc>
      </w:tr>
    </w:tbl>
    <w:p>
      <w:pPr>
        <w:pStyle w:val="8"/>
        <w:rPr>
          <w:color w:val="auto"/>
          <w:highlight w:val="none"/>
        </w:rPr>
      </w:pPr>
    </w:p>
    <w:p>
      <w:pPr>
        <w:tabs>
          <w:tab w:val="left" w:pos="1198"/>
        </w:tabs>
        <w:rPr>
          <w:rFonts w:hint="eastAsia"/>
          <w:highlight w:val="none"/>
        </w:rPr>
      </w:pPr>
      <w:r>
        <w:rPr>
          <w:rFonts w:hint="eastAsia"/>
          <w:highlight w:val="none"/>
        </w:rPr>
        <w:tab/>
      </w:r>
    </w:p>
    <w:p>
      <w:pPr>
        <w:pStyle w:val="8"/>
        <w:rPr>
          <w:rFonts w:hint="eastAsia"/>
          <w:color w:val="auto"/>
          <w:highlight w:val="none"/>
        </w:rPr>
      </w:pPr>
    </w:p>
    <w:p>
      <w:pPr>
        <w:jc w:val="center"/>
        <w:rPr>
          <w:rFonts w:hint="eastAsia" w:ascii="宋体" w:hAnsi="宋体" w:cs="宋体"/>
          <w:b/>
          <w:sz w:val="14"/>
          <w:highlight w:val="none"/>
        </w:rPr>
      </w:pPr>
      <w:bookmarkStart w:id="45" w:name="_bookmark18"/>
      <w:bookmarkEnd w:id="45"/>
      <w:bookmarkStart w:id="46" w:name="_bookmark8"/>
      <w:bookmarkEnd w:id="46"/>
      <w:r>
        <w:rPr>
          <w:rFonts w:hint="eastAsia" w:ascii="宋体" w:hAnsi="宋体" w:cs="宋体"/>
          <w:b/>
          <w:sz w:val="28"/>
          <w:highlight w:val="none"/>
        </w:rPr>
        <w:t>附</w:t>
      </w:r>
      <w:r>
        <w:rPr>
          <w:rFonts w:hint="eastAsia" w:cs="宋体"/>
          <w:b/>
          <w:sz w:val="28"/>
          <w:highlight w:val="none"/>
        </w:rPr>
        <w:t>表二</w:t>
      </w:r>
      <w:r>
        <w:rPr>
          <w:rFonts w:hint="eastAsia" w:ascii="宋体" w:hAnsi="宋体" w:cs="宋体"/>
          <w:b/>
          <w:sz w:val="28"/>
          <w:highlight w:val="none"/>
        </w:rPr>
        <w:tab/>
      </w:r>
      <w:r>
        <w:rPr>
          <w:rFonts w:hint="eastAsia" w:ascii="宋体" w:hAnsi="宋体" w:cs="宋体"/>
          <w:b/>
          <w:sz w:val="28"/>
          <w:highlight w:val="none"/>
        </w:rPr>
        <w:t>资格审查条件（资质最低要求）</w:t>
      </w:r>
    </w:p>
    <w:p>
      <w:pPr>
        <w:pStyle w:val="3"/>
        <w:spacing w:before="2"/>
        <w:rPr>
          <w:rFonts w:hint="eastAsia"/>
          <w:b/>
          <w:highlight w:val="none"/>
        </w:rPr>
      </w:pPr>
    </w:p>
    <w:tbl>
      <w:tblPr>
        <w:tblStyle w:val="6"/>
        <w:tblpPr w:leftFromText="180" w:rightFromText="180" w:vertAnchor="text" w:horzAnchor="margin" w:tblpXSpec="center" w:tblpY="35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trPr>
        <w:tc>
          <w:tcPr>
            <w:tcW w:w="8994" w:type="dxa"/>
            <w:noWrap w:val="0"/>
            <w:vAlign w:val="center"/>
          </w:tcPr>
          <w:p>
            <w:pPr>
              <w:jc w:val="center"/>
              <w:rPr>
                <w:rFonts w:hint="eastAsia" w:ascii="宋体" w:hAnsi="宋体" w:cs="宋体"/>
                <w:sz w:val="21"/>
                <w:szCs w:val="21"/>
                <w:highlight w:val="none"/>
              </w:rPr>
            </w:pPr>
            <w:r>
              <w:rPr>
                <w:rFonts w:hint="eastAsia" w:ascii="宋体" w:hAnsi="宋体" w:cs="宋体"/>
                <w:sz w:val="21"/>
                <w:szCs w:val="21"/>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7" w:hRule="atLeast"/>
        </w:trPr>
        <w:tc>
          <w:tcPr>
            <w:tcW w:w="8994" w:type="dxa"/>
            <w:noWrap w:val="0"/>
            <w:vAlign w:val="center"/>
          </w:tcPr>
          <w:p>
            <w:pPr>
              <w:autoSpaceDE/>
              <w:autoSpaceDN/>
              <w:spacing w:line="500" w:lineRule="exact"/>
              <w:ind w:firstLine="400" w:firstLineChars="200"/>
              <w:rPr>
                <w:rFonts w:hint="eastAsia"/>
                <w:highlight w:val="none"/>
              </w:rPr>
            </w:pPr>
            <w:r>
              <w:rPr>
                <w:rFonts w:hint="eastAsia"/>
                <w:highlight w:val="none"/>
              </w:rPr>
              <w:t>投标人必须同时具备以下资质：</w:t>
            </w:r>
          </w:p>
          <w:p>
            <w:pPr>
              <w:autoSpaceDE/>
              <w:autoSpaceDN/>
              <w:spacing w:line="500" w:lineRule="exact"/>
              <w:ind w:firstLine="400" w:firstLineChars="200"/>
              <w:rPr>
                <w:rFonts w:hint="eastAsia" w:ascii="宋体" w:hAnsi="宋体" w:cs="宋体"/>
                <w:highlight w:val="none"/>
              </w:rPr>
            </w:pPr>
            <w:r>
              <w:rPr>
                <w:rFonts w:hint="eastAsia" w:ascii="宋体" w:hAnsi="宋体" w:cs="宋体"/>
                <w:highlight w:val="none"/>
              </w:rPr>
              <w:t>①具有独立企业法人资格、合法有效的营业执照和企业安全生产许可证。</w:t>
            </w:r>
          </w:p>
          <w:p>
            <w:pPr>
              <w:autoSpaceDE/>
              <w:autoSpaceDN/>
              <w:spacing w:line="500" w:lineRule="exact"/>
              <w:ind w:firstLine="400" w:firstLineChars="200"/>
              <w:rPr>
                <w:highlight w:val="none"/>
              </w:rPr>
            </w:pPr>
            <w:r>
              <w:rPr>
                <w:rFonts w:hint="eastAsia" w:ascii="宋体" w:hAnsi="宋体" w:cs="宋体"/>
                <w:highlight w:val="none"/>
              </w:rPr>
              <w:t>②</w:t>
            </w:r>
            <w:r>
              <w:rPr>
                <w:rFonts w:hint="eastAsia" w:ascii="宋体" w:hAnsi="宋体" w:cs="宋体"/>
                <w:highlight w:val="none"/>
              </w:rPr>
              <w:t>具有公路养护工程施工</w:t>
            </w:r>
            <w:r>
              <w:rPr>
                <w:rFonts w:hint="eastAsia" w:cs="宋体"/>
                <w:highlight w:val="none"/>
              </w:rPr>
              <w:t>二类甲</w:t>
            </w:r>
            <w:r>
              <w:rPr>
                <w:rFonts w:hint="eastAsia" w:ascii="宋体" w:hAnsi="宋体" w:cs="宋体"/>
                <w:highlight w:val="none"/>
              </w:rPr>
              <w:t>资质</w:t>
            </w:r>
            <w:r>
              <w:rPr>
                <w:rFonts w:hint="eastAsia"/>
                <w:highlight w:val="none"/>
              </w:rPr>
              <w:t>（已按《公路养护作业单位资质管理办法（中华人民共和国交通运输部令2021年第22号）》办理资质的须具备</w:t>
            </w:r>
            <w:r>
              <w:rPr>
                <w:rFonts w:hint="eastAsia"/>
                <w:highlight w:val="none"/>
              </w:rPr>
              <w:t>路基路面养护甲级</w:t>
            </w:r>
            <w:r>
              <w:rPr>
                <w:rFonts w:hint="eastAsia"/>
                <w:highlight w:val="none"/>
              </w:rPr>
              <w:t>资质及交通安全设施养护资质）</w:t>
            </w:r>
            <w:r>
              <w:rPr>
                <w:rFonts w:hint="eastAsia" w:ascii="宋体" w:hAnsi="宋体" w:cs="宋体"/>
                <w:highlight w:val="none"/>
              </w:rPr>
              <w:t>。</w:t>
            </w:r>
          </w:p>
        </w:tc>
      </w:tr>
    </w:tbl>
    <w:p>
      <w:pPr>
        <w:tabs>
          <w:tab w:val="left" w:pos="3254"/>
        </w:tabs>
        <w:spacing w:before="109"/>
        <w:ind w:left="2198"/>
        <w:rPr>
          <w:rFonts w:hint="eastAsia" w:ascii="宋体" w:hAnsi="宋体" w:cs="宋体"/>
          <w:b/>
          <w:sz w:val="28"/>
          <w:highlight w:val="none"/>
        </w:rPr>
      </w:pPr>
    </w:p>
    <w:p>
      <w:pPr>
        <w:jc w:val="center"/>
        <w:rPr>
          <w:rFonts w:hint="eastAsia" w:ascii="宋体" w:hAnsi="宋体" w:cs="宋体"/>
          <w:b/>
          <w:sz w:val="14"/>
          <w:highlight w:val="none"/>
        </w:rPr>
      </w:pPr>
      <w:r>
        <w:rPr>
          <w:rFonts w:hint="eastAsia" w:ascii="宋体" w:hAnsi="宋体" w:cs="宋体"/>
          <w:b/>
          <w:sz w:val="28"/>
          <w:highlight w:val="none"/>
        </w:rPr>
        <w:t>附</w:t>
      </w:r>
      <w:r>
        <w:rPr>
          <w:rFonts w:hint="eastAsia" w:cs="宋体"/>
          <w:b/>
          <w:sz w:val="28"/>
          <w:highlight w:val="none"/>
        </w:rPr>
        <w:t>表</w:t>
      </w:r>
      <w:r>
        <w:rPr>
          <w:rFonts w:hint="eastAsia" w:ascii="宋体" w:hAnsi="宋体" w:cs="宋体"/>
          <w:b/>
          <w:spacing w:val="-71"/>
          <w:sz w:val="28"/>
          <w:highlight w:val="none"/>
        </w:rPr>
        <w:t xml:space="preserve"> </w:t>
      </w:r>
      <w:r>
        <w:rPr>
          <w:rFonts w:hint="eastAsia" w:cs="宋体"/>
          <w:b/>
          <w:spacing w:val="-71"/>
          <w:sz w:val="28"/>
          <w:highlight w:val="none"/>
        </w:rPr>
        <w:t>三</w:t>
      </w:r>
      <w:r>
        <w:rPr>
          <w:rFonts w:hint="eastAsia" w:ascii="宋体" w:hAnsi="宋体" w:cs="宋体"/>
          <w:b/>
          <w:sz w:val="28"/>
          <w:highlight w:val="none"/>
        </w:rPr>
        <w:tab/>
      </w:r>
      <w:r>
        <w:rPr>
          <w:rFonts w:hint="eastAsia" w:ascii="宋体" w:hAnsi="宋体" w:cs="宋体"/>
          <w:b/>
          <w:sz w:val="28"/>
          <w:highlight w:val="none"/>
        </w:rPr>
        <w:t>资格审查条件（财务最低要求）</w:t>
      </w:r>
    </w:p>
    <w:p>
      <w:pPr>
        <w:pStyle w:val="3"/>
        <w:jc w:val="center"/>
        <w:rPr>
          <w:rFonts w:hint="eastAsia"/>
          <w:b/>
          <w:sz w:val="20"/>
          <w:highlight w:val="none"/>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8999" w:type="dxa"/>
            <w:noWrap w:val="0"/>
            <w:vAlign w:val="center"/>
          </w:tcPr>
          <w:p>
            <w:pPr>
              <w:jc w:val="center"/>
              <w:rPr>
                <w:rFonts w:hint="eastAsia" w:ascii="宋体" w:hAnsi="宋体" w:cs="宋体"/>
                <w:sz w:val="21"/>
                <w:szCs w:val="21"/>
                <w:highlight w:val="none"/>
              </w:rPr>
            </w:pPr>
            <w:r>
              <w:rPr>
                <w:rFonts w:hint="eastAsia" w:ascii="宋体" w:hAnsi="宋体" w:cs="宋体"/>
                <w:sz w:val="21"/>
                <w:szCs w:val="21"/>
                <w:highlight w:val="none"/>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8999" w:type="dxa"/>
            <w:noWrap w:val="0"/>
            <w:vAlign w:val="center"/>
          </w:tcPr>
          <w:p>
            <w:pPr>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无</w:t>
            </w:r>
          </w:p>
        </w:tc>
      </w:tr>
    </w:tbl>
    <w:p>
      <w:pPr>
        <w:pStyle w:val="3"/>
        <w:rPr>
          <w:rFonts w:hint="eastAsia"/>
          <w:b/>
          <w:sz w:val="20"/>
          <w:highlight w:val="none"/>
        </w:rPr>
      </w:pPr>
    </w:p>
    <w:p>
      <w:pPr>
        <w:pStyle w:val="3"/>
        <w:rPr>
          <w:rFonts w:hint="eastAsia"/>
          <w:b/>
          <w:sz w:val="20"/>
          <w:highlight w:val="none"/>
        </w:rPr>
      </w:pPr>
    </w:p>
    <w:p>
      <w:pPr>
        <w:pStyle w:val="3"/>
        <w:spacing w:before="10"/>
        <w:rPr>
          <w:rFonts w:hint="eastAsia"/>
          <w:sz w:val="21"/>
          <w:highlight w:val="none"/>
        </w:rPr>
      </w:pPr>
    </w:p>
    <w:p>
      <w:pPr>
        <w:jc w:val="center"/>
        <w:rPr>
          <w:rFonts w:hint="eastAsia" w:ascii="宋体" w:hAnsi="宋体" w:cs="宋体"/>
          <w:b/>
          <w:sz w:val="28"/>
          <w:highlight w:val="none"/>
        </w:rPr>
      </w:pPr>
      <w:r>
        <w:rPr>
          <w:rFonts w:hint="eastAsia" w:ascii="宋体" w:hAnsi="宋体" w:cs="宋体"/>
          <w:b/>
          <w:sz w:val="28"/>
          <w:highlight w:val="none"/>
        </w:rPr>
        <w:t>附</w:t>
      </w:r>
      <w:r>
        <w:rPr>
          <w:rFonts w:hint="eastAsia" w:cs="宋体"/>
          <w:b/>
          <w:sz w:val="28"/>
          <w:highlight w:val="none"/>
        </w:rPr>
        <w:t>表</w:t>
      </w:r>
      <w:r>
        <w:rPr>
          <w:rFonts w:hint="eastAsia" w:ascii="宋体" w:hAnsi="宋体" w:cs="宋体"/>
          <w:b/>
          <w:spacing w:val="-71"/>
          <w:sz w:val="28"/>
          <w:highlight w:val="none"/>
        </w:rPr>
        <w:t xml:space="preserve"> </w:t>
      </w:r>
      <w:r>
        <w:rPr>
          <w:rFonts w:hint="eastAsia" w:cs="宋体"/>
          <w:b/>
          <w:spacing w:val="-71"/>
          <w:sz w:val="28"/>
          <w:highlight w:val="none"/>
        </w:rPr>
        <w:t>四</w:t>
      </w:r>
      <w:r>
        <w:rPr>
          <w:rFonts w:hint="eastAsia" w:ascii="宋体" w:hAnsi="宋体" w:cs="宋体"/>
          <w:b/>
          <w:sz w:val="28"/>
          <w:highlight w:val="none"/>
        </w:rPr>
        <w:tab/>
      </w:r>
      <w:r>
        <w:rPr>
          <w:rFonts w:hint="eastAsia" w:ascii="宋体" w:hAnsi="宋体" w:cs="宋体"/>
          <w:b/>
          <w:sz w:val="28"/>
          <w:highlight w:val="none"/>
        </w:rPr>
        <w:t>资格审查条件（业绩最低要求）</w:t>
      </w:r>
    </w:p>
    <w:p>
      <w:pPr>
        <w:tabs>
          <w:tab w:val="left" w:pos="1095"/>
        </w:tabs>
        <w:spacing w:before="70"/>
        <w:ind w:left="39"/>
        <w:jc w:val="center"/>
        <w:rPr>
          <w:rFonts w:hint="eastAsia" w:ascii="宋体" w:hAnsi="宋体" w:cs="宋体"/>
          <w:b/>
          <w:sz w:val="14"/>
          <w:highlight w:val="none"/>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9156" w:type="dxa"/>
            <w:tcBorders>
              <w:left w:val="single" w:color="auto" w:sz="12" w:space="0"/>
            </w:tcBorders>
            <w:noWrap w:val="0"/>
            <w:vAlign w:val="center"/>
          </w:tcPr>
          <w:p>
            <w:pPr>
              <w:jc w:val="center"/>
              <w:rPr>
                <w:rFonts w:hint="eastAsia" w:ascii="宋体" w:hAnsi="宋体" w:cs="宋体"/>
                <w:sz w:val="21"/>
                <w:szCs w:val="21"/>
                <w:highlight w:val="none"/>
              </w:rPr>
            </w:pPr>
            <w:r>
              <w:rPr>
                <w:rFonts w:hint="eastAsia" w:ascii="宋体" w:hAnsi="宋体" w:cs="宋体"/>
                <w:sz w:val="21"/>
                <w:szCs w:val="21"/>
                <w:highlight w:val="none"/>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1" w:hRule="atLeast"/>
          <w:jc w:val="center"/>
        </w:trPr>
        <w:tc>
          <w:tcPr>
            <w:tcW w:w="9156" w:type="dxa"/>
            <w:tcBorders>
              <w:left w:val="single" w:color="auto" w:sz="12" w:space="0"/>
            </w:tcBorders>
            <w:noWrap w:val="0"/>
            <w:vAlign w:val="center"/>
          </w:tcPr>
          <w:p>
            <w:pPr>
              <w:spacing w:line="540" w:lineRule="exact"/>
              <w:ind w:firstLine="420" w:firstLineChars="200"/>
              <w:rPr>
                <w:rFonts w:hint="eastAsia" w:ascii="宋体" w:hAnsi="宋体" w:cs="宋体"/>
                <w:sz w:val="21"/>
                <w:szCs w:val="21"/>
                <w:highlight w:val="none"/>
              </w:rPr>
            </w:pPr>
            <w:r>
              <w:rPr>
                <w:rFonts w:hint="eastAsia" w:ascii="宋体" w:hAnsi="宋体" w:cs="宋体"/>
                <w:sz w:val="21"/>
                <w:szCs w:val="21"/>
                <w:highlight w:val="none"/>
              </w:rPr>
              <w:t xml:space="preserve">  无</w:t>
            </w:r>
          </w:p>
        </w:tc>
      </w:tr>
    </w:tbl>
    <w:p>
      <w:pPr>
        <w:pStyle w:val="3"/>
        <w:rPr>
          <w:rFonts w:hint="eastAsia"/>
          <w:sz w:val="20"/>
          <w:highlight w:val="none"/>
        </w:rPr>
      </w:pPr>
    </w:p>
    <w:p>
      <w:pPr>
        <w:spacing w:line="312" w:lineRule="auto"/>
        <w:rPr>
          <w:rFonts w:hint="eastAsia" w:ascii="宋体" w:hAnsi="宋体" w:cs="宋体"/>
          <w:sz w:val="18"/>
          <w:highlight w:val="none"/>
        </w:rPr>
        <w:sectPr>
          <w:pgSz w:w="11907" w:h="16840"/>
          <w:pgMar w:top="1361" w:right="1134" w:bottom="1361" w:left="1134" w:header="567" w:footer="567" w:gutter="0"/>
          <w:pgNumType w:fmt="decimal"/>
          <w:cols w:space="720" w:num="1"/>
        </w:sectPr>
      </w:pPr>
    </w:p>
    <w:p>
      <w:pPr>
        <w:jc w:val="center"/>
        <w:rPr>
          <w:rFonts w:hint="eastAsia" w:ascii="宋体" w:hAnsi="宋体" w:cs="宋体"/>
          <w:b/>
          <w:sz w:val="14"/>
          <w:highlight w:val="none"/>
        </w:rPr>
      </w:pPr>
      <w:r>
        <w:rPr>
          <w:rFonts w:hint="eastAsia" w:ascii="宋体" w:hAnsi="宋体" w:cs="宋体"/>
          <w:b/>
          <w:sz w:val="28"/>
          <w:highlight w:val="none"/>
        </w:rPr>
        <w:t>附</w:t>
      </w:r>
      <w:r>
        <w:rPr>
          <w:rFonts w:hint="eastAsia" w:cs="宋体"/>
          <w:b/>
          <w:sz w:val="28"/>
          <w:highlight w:val="none"/>
        </w:rPr>
        <w:t>表</w:t>
      </w:r>
      <w:r>
        <w:rPr>
          <w:rFonts w:hint="eastAsia" w:ascii="宋体" w:hAnsi="宋体" w:cs="宋体"/>
          <w:b/>
          <w:spacing w:val="-71"/>
          <w:sz w:val="28"/>
          <w:highlight w:val="none"/>
        </w:rPr>
        <w:t xml:space="preserve"> </w:t>
      </w:r>
      <w:r>
        <w:rPr>
          <w:rFonts w:hint="eastAsia" w:cs="宋体"/>
          <w:b/>
          <w:spacing w:val="-71"/>
          <w:sz w:val="28"/>
          <w:highlight w:val="none"/>
        </w:rPr>
        <w:t>五</w:t>
      </w:r>
      <w:r>
        <w:rPr>
          <w:rFonts w:hint="eastAsia" w:ascii="宋体" w:hAnsi="宋体" w:cs="宋体"/>
          <w:b/>
          <w:sz w:val="28"/>
          <w:highlight w:val="none"/>
        </w:rPr>
        <w:tab/>
      </w:r>
      <w:r>
        <w:rPr>
          <w:rFonts w:hint="eastAsia" w:ascii="宋体" w:hAnsi="宋体" w:cs="宋体"/>
          <w:b/>
          <w:sz w:val="28"/>
          <w:highlight w:val="none"/>
        </w:rPr>
        <w:t>资格审查条件（信誉最低要求）</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9300" w:type="dxa"/>
            <w:noWrap w:val="0"/>
            <w:vAlign w:val="center"/>
          </w:tcPr>
          <w:p>
            <w:pPr>
              <w:jc w:val="center"/>
              <w:rPr>
                <w:rFonts w:hint="eastAsia" w:ascii="宋体" w:hAnsi="宋体" w:cs="宋体"/>
                <w:sz w:val="21"/>
                <w:szCs w:val="21"/>
                <w:highlight w:val="none"/>
              </w:rPr>
            </w:pPr>
            <w:r>
              <w:rPr>
                <w:rFonts w:hint="eastAsia" w:ascii="宋体" w:hAnsi="宋体" w:cs="宋体"/>
                <w:sz w:val="21"/>
                <w:szCs w:val="21"/>
                <w:highlight w:val="none"/>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7" w:hRule="atLeast"/>
          <w:jc w:val="center"/>
        </w:trPr>
        <w:tc>
          <w:tcPr>
            <w:tcW w:w="9300" w:type="dxa"/>
            <w:noWrap w:val="0"/>
            <w:vAlign w:val="center"/>
          </w:tcPr>
          <w:p>
            <w:pPr>
              <w:spacing w:line="360" w:lineRule="auto"/>
              <w:rPr>
                <w:rFonts w:hint="eastAsia" w:ascii="宋体" w:hAnsi="宋体" w:cs="宋体"/>
                <w:sz w:val="21"/>
                <w:szCs w:val="21"/>
                <w:highlight w:val="none"/>
              </w:rPr>
            </w:pPr>
          </w:p>
          <w:p>
            <w:pPr>
              <w:pStyle w:val="9"/>
              <w:spacing w:before="170" w:line="374" w:lineRule="auto"/>
              <w:ind w:left="107" w:right="86" w:firstLine="479"/>
              <w:rPr>
                <w:sz w:val="24"/>
                <w:highlight w:val="none"/>
              </w:rPr>
            </w:pPr>
            <w:r>
              <w:rPr>
                <w:rFonts w:hint="eastAsia"/>
                <w:sz w:val="24"/>
                <w:highlight w:val="none"/>
              </w:rPr>
              <w:t>1、</w:t>
            </w:r>
            <w:r>
              <w:rPr>
                <w:sz w:val="24"/>
                <w:highlight w:val="none"/>
              </w:rPr>
              <w:t>未</w:t>
            </w:r>
            <w:r>
              <w:rPr>
                <w:rFonts w:hint="eastAsia"/>
                <w:sz w:val="24"/>
                <w:highlight w:val="none"/>
              </w:rPr>
              <w:t>存在对本项目有重大影响的诉讼案件</w:t>
            </w:r>
            <w:r>
              <w:rPr>
                <w:sz w:val="24"/>
                <w:highlight w:val="none"/>
              </w:rPr>
              <w:t>。</w:t>
            </w:r>
          </w:p>
          <w:p>
            <w:pPr>
              <w:pStyle w:val="9"/>
              <w:spacing w:line="374" w:lineRule="auto"/>
              <w:ind w:left="107" w:right="75" w:firstLine="479"/>
              <w:rPr>
                <w:sz w:val="24"/>
                <w:highlight w:val="none"/>
              </w:rPr>
            </w:pPr>
            <w:r>
              <w:rPr>
                <w:rFonts w:hint="eastAsia"/>
                <w:spacing w:val="-7"/>
                <w:sz w:val="24"/>
                <w:highlight w:val="none"/>
              </w:rPr>
              <w:t>2、</w:t>
            </w:r>
            <w:r>
              <w:rPr>
                <w:spacing w:val="-7"/>
                <w:sz w:val="24"/>
                <w:highlight w:val="none"/>
              </w:rPr>
              <w:t>近</w:t>
            </w:r>
            <w:r>
              <w:rPr>
                <w:sz w:val="24"/>
                <w:highlight w:val="none"/>
              </w:rPr>
              <w:t>3</w:t>
            </w:r>
            <w:r>
              <w:rPr>
                <w:spacing w:val="-6"/>
                <w:sz w:val="24"/>
                <w:highlight w:val="none"/>
              </w:rPr>
              <w:t>年内</w:t>
            </w:r>
            <w:r>
              <w:rPr>
                <w:rFonts w:hint="eastAsia"/>
                <w:spacing w:val="-6"/>
                <w:sz w:val="24"/>
                <w:highlight w:val="none"/>
              </w:rPr>
              <w:t>（</w:t>
            </w:r>
            <w:r>
              <w:rPr>
                <w:rFonts w:hint="eastAsia"/>
                <w:spacing w:val="-7"/>
                <w:sz w:val="24"/>
                <w:highlight w:val="none"/>
              </w:rPr>
              <w:t>发布招标公告前一日回溯三年，下同</w:t>
            </w:r>
            <w:r>
              <w:rPr>
                <w:rFonts w:hint="eastAsia"/>
                <w:spacing w:val="-6"/>
                <w:sz w:val="24"/>
                <w:highlight w:val="none"/>
              </w:rPr>
              <w:t>）</w:t>
            </w:r>
            <w:r>
              <w:rPr>
                <w:spacing w:val="-7"/>
                <w:sz w:val="24"/>
                <w:highlight w:val="none"/>
              </w:rPr>
              <w:t>工程施工中不存在</w:t>
            </w:r>
            <w:r>
              <w:rPr>
                <w:sz w:val="24"/>
                <w:highlight w:val="none"/>
              </w:rPr>
              <w:t>重、特大工程质量事故或重、特大安全事故的情况。</w:t>
            </w:r>
          </w:p>
          <w:p>
            <w:pPr>
              <w:pStyle w:val="9"/>
              <w:spacing w:before="2" w:line="374" w:lineRule="auto"/>
              <w:ind w:left="107" w:right="11" w:firstLine="479"/>
              <w:rPr>
                <w:sz w:val="24"/>
                <w:highlight w:val="none"/>
              </w:rPr>
            </w:pPr>
            <w:r>
              <w:rPr>
                <w:rFonts w:hint="eastAsia"/>
                <w:sz w:val="24"/>
                <w:highlight w:val="none"/>
              </w:rPr>
              <w:t>3、</w:t>
            </w:r>
            <w:r>
              <w:rPr>
                <w:sz w:val="24"/>
                <w:highlight w:val="none"/>
              </w:rPr>
              <w:t>在江西省交通运输厅发布的20</w:t>
            </w:r>
            <w:r>
              <w:rPr>
                <w:rFonts w:hint="eastAsia"/>
                <w:sz w:val="24"/>
                <w:highlight w:val="none"/>
              </w:rPr>
              <w:t>21</w:t>
            </w:r>
            <w:r>
              <w:rPr>
                <w:sz w:val="24"/>
                <w:highlight w:val="none"/>
              </w:rPr>
              <w:t>年度江西省交通建设市场信用评价结果中未被评为D级。</w:t>
            </w:r>
          </w:p>
          <w:p>
            <w:pPr>
              <w:pStyle w:val="9"/>
              <w:spacing w:before="2" w:line="374" w:lineRule="auto"/>
              <w:ind w:left="107" w:right="11" w:firstLine="479"/>
              <w:rPr>
                <w:rFonts w:hint="eastAsia"/>
                <w:sz w:val="24"/>
                <w:highlight w:val="none"/>
              </w:rPr>
            </w:pPr>
            <w:r>
              <w:rPr>
                <w:rFonts w:hint="eastAsia"/>
                <w:sz w:val="24"/>
                <w:highlight w:val="none"/>
              </w:rPr>
              <w:t>4、未出现在全国建筑市场诚信信息平台上正受到住房和城乡建设部暂扣或吊销企业资质的处罚的情况。</w:t>
            </w:r>
          </w:p>
          <w:p>
            <w:pPr>
              <w:pStyle w:val="9"/>
              <w:spacing w:before="2" w:line="374" w:lineRule="auto"/>
              <w:ind w:left="107" w:right="11" w:firstLine="479"/>
              <w:rPr>
                <w:sz w:val="24"/>
                <w:highlight w:val="none"/>
              </w:rPr>
            </w:pPr>
            <w:r>
              <w:rPr>
                <w:rFonts w:hint="eastAsia"/>
                <w:sz w:val="24"/>
                <w:highlight w:val="none"/>
              </w:rPr>
              <w:t>5、未受到责令停产、停业的行政处罚或处于财务被接管、冻结、破产状态的情况。</w:t>
            </w:r>
          </w:p>
          <w:p>
            <w:pPr>
              <w:pStyle w:val="9"/>
              <w:ind w:left="589"/>
              <w:rPr>
                <w:b/>
                <w:sz w:val="24"/>
                <w:highlight w:val="none"/>
              </w:rPr>
            </w:pPr>
            <w:r>
              <w:rPr>
                <w:b/>
                <w:sz w:val="24"/>
                <w:highlight w:val="none"/>
              </w:rPr>
              <w:t>注：投标人信誉应同时符合交通运输部《公路工程标准施工招标文件》（2018</w:t>
            </w:r>
          </w:p>
          <w:p>
            <w:pPr>
              <w:adjustRightInd w:val="0"/>
              <w:snapToGrid w:val="0"/>
              <w:spacing w:line="360" w:lineRule="auto"/>
              <w:rPr>
                <w:rFonts w:hint="eastAsia" w:ascii="宋体" w:hAnsi="宋体" w:cs="宋体"/>
                <w:sz w:val="21"/>
                <w:szCs w:val="21"/>
                <w:highlight w:val="none"/>
              </w:rPr>
            </w:pPr>
            <w:r>
              <w:rPr>
                <w:b/>
                <w:sz w:val="24"/>
                <w:highlight w:val="none"/>
              </w:rPr>
              <w:t>年版第一册）第二章“投标人须知”第 1.4.4 项的规定。</w:t>
            </w:r>
          </w:p>
        </w:tc>
      </w:tr>
    </w:tbl>
    <w:p>
      <w:pPr>
        <w:pStyle w:val="3"/>
        <w:rPr>
          <w:rFonts w:hint="eastAsia"/>
          <w:sz w:val="20"/>
          <w:highlight w:val="none"/>
        </w:rPr>
      </w:pPr>
    </w:p>
    <w:p>
      <w:pPr>
        <w:jc w:val="center"/>
        <w:rPr>
          <w:rFonts w:hint="eastAsia" w:ascii="宋体" w:hAnsi="宋体" w:cs="宋体"/>
          <w:b/>
          <w:sz w:val="28"/>
          <w:highlight w:val="none"/>
        </w:rPr>
      </w:pPr>
    </w:p>
    <w:p>
      <w:pPr>
        <w:jc w:val="center"/>
        <w:rPr>
          <w:rFonts w:hint="eastAsia" w:ascii="宋体" w:hAnsi="宋体" w:cs="宋体"/>
          <w:b/>
          <w:sz w:val="14"/>
          <w:highlight w:val="none"/>
        </w:rPr>
      </w:pPr>
      <w:r>
        <w:rPr>
          <w:rFonts w:hint="eastAsia" w:ascii="宋体" w:hAnsi="宋体" w:cs="宋体"/>
          <w:b/>
          <w:sz w:val="28"/>
          <w:highlight w:val="none"/>
        </w:rPr>
        <w:t>附</w:t>
      </w:r>
      <w:r>
        <w:rPr>
          <w:rFonts w:hint="eastAsia" w:cs="宋体"/>
          <w:b/>
          <w:sz w:val="28"/>
          <w:highlight w:val="none"/>
        </w:rPr>
        <w:t>表</w:t>
      </w:r>
      <w:r>
        <w:rPr>
          <w:rFonts w:hint="eastAsia" w:ascii="宋体" w:hAnsi="宋体" w:cs="宋体"/>
          <w:b/>
          <w:spacing w:val="-72"/>
          <w:sz w:val="28"/>
          <w:highlight w:val="none"/>
        </w:rPr>
        <w:t xml:space="preserve"> </w:t>
      </w:r>
      <w:r>
        <w:rPr>
          <w:rFonts w:hint="eastAsia" w:cs="宋体"/>
          <w:b/>
          <w:spacing w:val="-72"/>
          <w:sz w:val="28"/>
          <w:highlight w:val="none"/>
        </w:rPr>
        <w:t>六</w:t>
      </w:r>
      <w:r>
        <w:rPr>
          <w:rFonts w:hint="eastAsia" w:ascii="宋体" w:hAnsi="宋体" w:cs="宋体"/>
          <w:b/>
          <w:sz w:val="28"/>
          <w:highlight w:val="none"/>
        </w:rPr>
        <w:tab/>
      </w:r>
      <w:r>
        <w:rPr>
          <w:rFonts w:hint="eastAsia" w:ascii="宋体" w:hAnsi="宋体" w:cs="宋体"/>
          <w:b/>
          <w:sz w:val="28"/>
          <w:highlight w:val="none"/>
        </w:rPr>
        <w:t>资格审查条件（项目经理和项目总工最低要求）</w:t>
      </w:r>
    </w:p>
    <w:tbl>
      <w:tblPr>
        <w:tblStyle w:val="6"/>
        <w:tblpPr w:leftFromText="180" w:rightFromText="180" w:vertAnchor="text" w:horzAnchor="page" w:tblpX="1320" w:tblpY="212"/>
        <w:tblOverlap w:val="never"/>
        <w:tblW w:w="0" w:type="auto"/>
        <w:tblInd w:w="-15"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
      <w:tblGrid>
        <w:gridCol w:w="1425"/>
        <w:gridCol w:w="1315"/>
        <w:gridCol w:w="4138"/>
        <w:gridCol w:w="2402"/>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1425" w:type="dxa"/>
            <w:noWrap w:val="0"/>
            <w:vAlign w:val="center"/>
          </w:tcPr>
          <w:p>
            <w:pPr>
              <w:pStyle w:val="9"/>
              <w:tabs>
                <w:tab w:val="left" w:pos="432"/>
              </w:tabs>
              <w:ind w:left="9"/>
              <w:jc w:val="center"/>
              <w:rPr>
                <w:rFonts w:hint="eastAsia" w:ascii="宋体" w:hAnsi="宋体" w:cs="宋体"/>
                <w:sz w:val="21"/>
                <w:szCs w:val="21"/>
                <w:highlight w:val="none"/>
              </w:rPr>
            </w:pPr>
            <w:r>
              <w:rPr>
                <w:rFonts w:hint="eastAsia" w:ascii="宋体" w:hAnsi="宋体" w:cs="宋体"/>
                <w:sz w:val="21"/>
                <w:szCs w:val="21"/>
                <w:highlight w:val="none"/>
              </w:rPr>
              <w:t>人员</w:t>
            </w:r>
          </w:p>
        </w:tc>
        <w:tc>
          <w:tcPr>
            <w:tcW w:w="1315" w:type="dxa"/>
            <w:noWrap w:val="0"/>
            <w:vAlign w:val="center"/>
          </w:tcPr>
          <w:p>
            <w:pPr>
              <w:pStyle w:val="9"/>
              <w:tabs>
                <w:tab w:val="left" w:pos="883"/>
              </w:tabs>
              <w:jc w:val="center"/>
              <w:rPr>
                <w:rFonts w:hint="eastAsia" w:ascii="宋体" w:hAnsi="宋体" w:cs="宋体"/>
                <w:sz w:val="21"/>
                <w:szCs w:val="21"/>
                <w:highlight w:val="none"/>
              </w:rPr>
            </w:pPr>
            <w:r>
              <w:rPr>
                <w:rFonts w:hint="eastAsia" w:ascii="宋体" w:hAnsi="宋体" w:cs="宋体"/>
                <w:sz w:val="21"/>
                <w:szCs w:val="21"/>
                <w:highlight w:val="none"/>
              </w:rPr>
              <w:t>数量</w:t>
            </w:r>
          </w:p>
        </w:tc>
        <w:tc>
          <w:tcPr>
            <w:tcW w:w="4138" w:type="dxa"/>
            <w:noWrap w:val="0"/>
            <w:vAlign w:val="center"/>
          </w:tcPr>
          <w:p>
            <w:pPr>
              <w:pStyle w:val="9"/>
              <w:jc w:val="center"/>
              <w:rPr>
                <w:rFonts w:hint="eastAsia" w:ascii="宋体" w:hAnsi="宋体" w:cs="宋体"/>
                <w:sz w:val="21"/>
                <w:szCs w:val="21"/>
                <w:highlight w:val="none"/>
              </w:rPr>
            </w:pPr>
            <w:r>
              <w:rPr>
                <w:rFonts w:hint="eastAsia" w:ascii="宋体" w:hAnsi="宋体" w:cs="宋体"/>
                <w:sz w:val="21"/>
                <w:szCs w:val="21"/>
                <w:highlight w:val="none"/>
              </w:rPr>
              <w:t>资格要求</w:t>
            </w:r>
          </w:p>
        </w:tc>
        <w:tc>
          <w:tcPr>
            <w:tcW w:w="2402" w:type="dxa"/>
            <w:noWrap w:val="0"/>
            <w:vAlign w:val="center"/>
          </w:tcPr>
          <w:p>
            <w:pPr>
              <w:pStyle w:val="9"/>
              <w:jc w:val="center"/>
              <w:rPr>
                <w:rFonts w:hint="eastAsia" w:ascii="宋体" w:hAnsi="宋体" w:cs="宋体"/>
                <w:sz w:val="21"/>
                <w:szCs w:val="21"/>
                <w:highlight w:val="none"/>
              </w:rPr>
            </w:pPr>
            <w:r>
              <w:rPr>
                <w:rFonts w:hint="eastAsia" w:ascii="宋体" w:hAnsi="宋体" w:cs="宋体"/>
                <w:sz w:val="21"/>
                <w:szCs w:val="21"/>
                <w:highlight w:val="none"/>
              </w:rPr>
              <w:t>在岗要求</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425" w:type="dxa"/>
            <w:noWrap w:val="0"/>
            <w:vAlign w:val="center"/>
          </w:tcPr>
          <w:p>
            <w:pPr>
              <w:pStyle w:val="9"/>
              <w:spacing w:before="157"/>
              <w:ind w:left="12"/>
              <w:jc w:val="center"/>
              <w:rPr>
                <w:rFonts w:hint="eastAsia" w:ascii="宋体" w:hAnsi="宋体" w:cs="宋体"/>
                <w:sz w:val="21"/>
                <w:szCs w:val="21"/>
                <w:highlight w:val="none"/>
              </w:rPr>
            </w:pPr>
            <w:r>
              <w:rPr>
                <w:rFonts w:hint="eastAsia" w:ascii="宋体" w:hAnsi="宋体" w:cs="宋体"/>
                <w:sz w:val="21"/>
                <w:szCs w:val="21"/>
                <w:highlight w:val="none"/>
              </w:rPr>
              <w:t>项目经理</w:t>
            </w:r>
          </w:p>
        </w:tc>
        <w:tc>
          <w:tcPr>
            <w:tcW w:w="1315" w:type="dxa"/>
            <w:noWrap w:val="0"/>
            <w:vAlign w:val="center"/>
          </w:tcPr>
          <w:p>
            <w:pPr>
              <w:jc w:val="center"/>
              <w:rPr>
                <w:rFonts w:hint="eastAsia" w:ascii="宋体" w:hAnsi="宋体" w:cs="宋体"/>
                <w:sz w:val="21"/>
                <w:szCs w:val="21"/>
                <w:highlight w:val="none"/>
              </w:rPr>
            </w:pPr>
            <w:r>
              <w:rPr>
                <w:rFonts w:hint="eastAsia" w:ascii="宋体" w:hAnsi="宋体" w:cs="宋体"/>
                <w:sz w:val="21"/>
                <w:szCs w:val="21"/>
                <w:highlight w:val="none"/>
              </w:rPr>
              <w:t>1</w:t>
            </w:r>
          </w:p>
        </w:tc>
        <w:tc>
          <w:tcPr>
            <w:tcW w:w="4138" w:type="dxa"/>
            <w:noWrap w:val="0"/>
            <w:vAlign w:val="center"/>
          </w:tcPr>
          <w:p>
            <w:pPr>
              <w:spacing w:line="360" w:lineRule="auto"/>
              <w:rPr>
                <w:rFonts w:hint="eastAsia" w:ascii="宋体" w:hAnsi="宋体" w:cs="宋体"/>
                <w:spacing w:val="-14"/>
                <w:sz w:val="21"/>
                <w:szCs w:val="21"/>
                <w:highlight w:val="none"/>
              </w:rPr>
            </w:pPr>
          </w:p>
          <w:p>
            <w:pPr>
              <w:spacing w:line="360" w:lineRule="auto"/>
              <w:rPr>
                <w:rFonts w:hint="eastAsia" w:ascii="宋体" w:hAnsi="宋体" w:cs="宋体"/>
                <w:sz w:val="21"/>
                <w:szCs w:val="21"/>
                <w:highlight w:val="none"/>
              </w:rPr>
            </w:pPr>
            <w:r>
              <w:rPr>
                <w:rFonts w:hint="eastAsia" w:ascii="宋体" w:hAnsi="宋体" w:cs="宋体"/>
                <w:spacing w:val="-14"/>
                <w:sz w:val="21"/>
                <w:szCs w:val="21"/>
                <w:highlight w:val="none"/>
              </w:rPr>
              <w:t>具有公路工程相关专业中级及以上职称；公路工程专业</w:t>
            </w:r>
            <w:r>
              <w:rPr>
                <w:rFonts w:hint="eastAsia" w:cs="宋体"/>
                <w:spacing w:val="-14"/>
                <w:sz w:val="21"/>
                <w:szCs w:val="21"/>
                <w:highlight w:val="none"/>
              </w:rPr>
              <w:t>二</w:t>
            </w:r>
            <w:r>
              <w:rPr>
                <w:rFonts w:hint="eastAsia" w:ascii="宋体" w:hAnsi="宋体" w:cs="宋体"/>
                <w:spacing w:val="-14"/>
                <w:sz w:val="21"/>
                <w:szCs w:val="21"/>
                <w:highlight w:val="none"/>
              </w:rPr>
              <w:t>级注册建造师执业资格证书</w:t>
            </w:r>
            <w:r>
              <w:rPr>
                <w:rFonts w:hint="eastAsia" w:cs="宋体"/>
                <w:spacing w:val="-14"/>
                <w:sz w:val="21"/>
                <w:szCs w:val="21"/>
                <w:highlight w:val="none"/>
              </w:rPr>
              <w:t>；持有交通运输主管部门颁发的</w:t>
            </w:r>
            <w:r>
              <w:rPr>
                <w:rFonts w:hint="eastAsia" w:ascii="宋体" w:hAnsi="宋体" w:cs="宋体"/>
                <w:sz w:val="21"/>
                <w:szCs w:val="21"/>
                <w:highlight w:val="none"/>
              </w:rPr>
              <w:t>安全生产考核</w:t>
            </w:r>
            <w:r>
              <w:rPr>
                <w:rFonts w:hint="eastAsia" w:cs="宋体"/>
                <w:sz w:val="21"/>
                <w:szCs w:val="21"/>
                <w:highlight w:val="none"/>
              </w:rPr>
              <w:t>合格“B”类</w:t>
            </w:r>
            <w:r>
              <w:rPr>
                <w:rFonts w:hint="eastAsia" w:ascii="宋体" w:hAnsi="宋体" w:cs="宋体"/>
                <w:sz w:val="21"/>
                <w:szCs w:val="21"/>
                <w:highlight w:val="none"/>
              </w:rPr>
              <w:t>证书</w:t>
            </w:r>
            <w:r>
              <w:rPr>
                <w:rFonts w:hint="eastAsia" w:ascii="宋体" w:hAnsi="宋体" w:cs="宋体"/>
                <w:spacing w:val="-14"/>
                <w:sz w:val="21"/>
                <w:szCs w:val="21"/>
                <w:highlight w:val="none"/>
              </w:rPr>
              <w:t>；年龄 55周岁及以下。</w:t>
            </w:r>
          </w:p>
        </w:tc>
        <w:tc>
          <w:tcPr>
            <w:tcW w:w="2402" w:type="dxa"/>
            <w:vMerge w:val="restart"/>
            <w:noWrap w:val="0"/>
            <w:vAlign w:val="center"/>
          </w:tcPr>
          <w:p>
            <w:pPr>
              <w:pStyle w:val="9"/>
              <w:spacing w:before="1" w:line="302" w:lineRule="auto"/>
              <w:ind w:left="105" w:right="95"/>
              <w:jc w:val="both"/>
              <w:rPr>
                <w:rFonts w:hint="eastAsia" w:ascii="宋体" w:hAnsi="宋体" w:cs="宋体"/>
                <w:sz w:val="21"/>
                <w:szCs w:val="21"/>
                <w:highlight w:val="none"/>
              </w:rPr>
            </w:pPr>
            <w:r>
              <w:rPr>
                <w:rFonts w:hint="eastAsia" w:ascii="宋体" w:hAnsi="宋体" w:cs="宋体"/>
                <w:spacing w:val="-14"/>
                <w:sz w:val="21"/>
                <w:szCs w:val="21"/>
                <w:highlight w:val="none"/>
              </w:rPr>
              <w:t>无在岗项目</w:t>
            </w:r>
            <w:r>
              <w:rPr>
                <w:rFonts w:hint="eastAsia" w:ascii="宋体" w:hAnsi="宋体" w:cs="宋体"/>
                <w:sz w:val="21"/>
                <w:szCs w:val="21"/>
                <w:highlight w:val="none"/>
              </w:rPr>
              <w:t>（</w:t>
            </w:r>
            <w:r>
              <w:rPr>
                <w:rFonts w:hint="eastAsia" w:ascii="宋体" w:hAnsi="宋体" w:cs="宋体"/>
                <w:spacing w:val="-3"/>
                <w:sz w:val="21"/>
                <w:szCs w:val="21"/>
                <w:highlight w:val="none"/>
              </w:rPr>
              <w:t>指目前未在其他</w:t>
            </w:r>
            <w:r>
              <w:rPr>
                <w:rFonts w:hint="eastAsia" w:ascii="宋体" w:hAnsi="宋体" w:cs="宋体"/>
                <w:spacing w:val="-10"/>
                <w:sz w:val="21"/>
                <w:szCs w:val="21"/>
                <w:highlight w:val="none"/>
              </w:rPr>
              <w:t>项目上任职，或虽在其他项目</w:t>
            </w:r>
            <w:r>
              <w:rPr>
                <w:rFonts w:hint="eastAsia" w:ascii="宋体" w:hAnsi="宋体" w:cs="宋体"/>
                <w:spacing w:val="8"/>
                <w:sz w:val="21"/>
                <w:szCs w:val="21"/>
                <w:highlight w:val="none"/>
              </w:rPr>
              <w:t>上任职但本项目中标后能够</w:t>
            </w:r>
            <w:r>
              <w:rPr>
                <w:rFonts w:hint="eastAsia" w:ascii="宋体" w:hAnsi="宋体" w:cs="宋体"/>
                <w:sz w:val="21"/>
                <w:szCs w:val="21"/>
                <w:highlight w:val="none"/>
              </w:rPr>
              <w:t>从该项目撤离，在其他项目上任职的，应提供由该项目发包人出具的、承诺能够从该项目撤离的书面证明材料原件或彩色扫描件）</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1389" w:hRule="atLeast"/>
        </w:trPr>
        <w:tc>
          <w:tcPr>
            <w:tcW w:w="1425" w:type="dxa"/>
            <w:noWrap w:val="0"/>
            <w:vAlign w:val="center"/>
          </w:tcPr>
          <w:p>
            <w:pPr>
              <w:pStyle w:val="9"/>
              <w:spacing w:before="157"/>
              <w:ind w:left="12"/>
              <w:jc w:val="center"/>
              <w:rPr>
                <w:rFonts w:hint="eastAsia" w:ascii="宋体" w:hAnsi="宋体" w:cs="宋体"/>
                <w:sz w:val="21"/>
                <w:szCs w:val="21"/>
                <w:highlight w:val="none"/>
              </w:rPr>
            </w:pPr>
            <w:r>
              <w:rPr>
                <w:rFonts w:hint="eastAsia" w:ascii="宋体" w:hAnsi="宋体" w:cs="宋体"/>
                <w:sz w:val="21"/>
                <w:szCs w:val="21"/>
                <w:highlight w:val="none"/>
              </w:rPr>
              <w:t>项目总工</w:t>
            </w:r>
          </w:p>
        </w:tc>
        <w:tc>
          <w:tcPr>
            <w:tcW w:w="1315" w:type="dxa"/>
            <w:noWrap w:val="0"/>
            <w:vAlign w:val="center"/>
          </w:tcPr>
          <w:p>
            <w:pPr>
              <w:jc w:val="center"/>
              <w:rPr>
                <w:rFonts w:hint="eastAsia" w:ascii="宋体" w:hAnsi="宋体" w:cs="宋体"/>
                <w:sz w:val="21"/>
                <w:szCs w:val="21"/>
                <w:highlight w:val="none"/>
              </w:rPr>
            </w:pPr>
            <w:r>
              <w:rPr>
                <w:rFonts w:hint="eastAsia" w:ascii="宋体" w:hAnsi="宋体" w:cs="宋体"/>
                <w:sz w:val="21"/>
                <w:szCs w:val="21"/>
                <w:highlight w:val="none"/>
              </w:rPr>
              <w:t>1</w:t>
            </w:r>
          </w:p>
        </w:tc>
        <w:tc>
          <w:tcPr>
            <w:tcW w:w="4138" w:type="dxa"/>
            <w:noWrap w:val="0"/>
            <w:vAlign w:val="center"/>
          </w:tcPr>
          <w:p>
            <w:pPr>
              <w:spacing w:line="360" w:lineRule="auto"/>
              <w:rPr>
                <w:rFonts w:hint="eastAsia" w:ascii="宋体" w:hAnsi="宋体" w:cs="宋体"/>
                <w:sz w:val="21"/>
                <w:szCs w:val="21"/>
                <w:highlight w:val="none"/>
              </w:rPr>
            </w:pPr>
            <w:r>
              <w:rPr>
                <w:rFonts w:hint="eastAsia" w:ascii="宋体" w:hAnsi="宋体" w:cs="宋体"/>
                <w:sz w:val="21"/>
                <w:szCs w:val="21"/>
                <w:highlight w:val="none"/>
              </w:rPr>
              <w:t xml:space="preserve"> </w:t>
            </w:r>
          </w:p>
          <w:p>
            <w:pPr>
              <w:spacing w:line="360" w:lineRule="auto"/>
              <w:rPr>
                <w:rFonts w:hint="eastAsia" w:ascii="宋体" w:hAnsi="宋体" w:cs="宋体"/>
                <w:sz w:val="21"/>
                <w:szCs w:val="21"/>
                <w:highlight w:val="none"/>
              </w:rPr>
            </w:pPr>
            <w:r>
              <w:rPr>
                <w:rFonts w:hint="eastAsia" w:ascii="宋体" w:hAnsi="宋体" w:cs="宋体"/>
                <w:spacing w:val="-14"/>
                <w:sz w:val="21"/>
                <w:szCs w:val="21"/>
                <w:highlight w:val="none"/>
              </w:rPr>
              <w:t>具备公路工程相关专业</w:t>
            </w:r>
            <w:r>
              <w:rPr>
                <w:rFonts w:hint="eastAsia" w:cs="宋体"/>
                <w:spacing w:val="-14"/>
                <w:sz w:val="21"/>
                <w:szCs w:val="21"/>
                <w:highlight w:val="none"/>
              </w:rPr>
              <w:t>中级</w:t>
            </w:r>
            <w:r>
              <w:rPr>
                <w:rFonts w:hint="eastAsia" w:ascii="宋体" w:hAnsi="宋体" w:cs="宋体"/>
                <w:spacing w:val="-14"/>
                <w:sz w:val="21"/>
                <w:szCs w:val="21"/>
                <w:highlight w:val="none"/>
              </w:rPr>
              <w:t>及以上职称；持有</w:t>
            </w:r>
            <w:r>
              <w:rPr>
                <w:rFonts w:hint="eastAsia" w:cs="宋体"/>
                <w:spacing w:val="-14"/>
                <w:sz w:val="21"/>
                <w:szCs w:val="21"/>
                <w:highlight w:val="none"/>
              </w:rPr>
              <w:t>交通运输主管部门颁发的</w:t>
            </w:r>
            <w:r>
              <w:rPr>
                <w:rFonts w:hint="eastAsia" w:ascii="宋体" w:hAnsi="宋体" w:cs="宋体"/>
                <w:spacing w:val="-14"/>
                <w:sz w:val="21"/>
                <w:szCs w:val="21"/>
                <w:highlight w:val="none"/>
              </w:rPr>
              <w:t>安全生产考核合格</w:t>
            </w:r>
            <w:r>
              <w:rPr>
                <w:rFonts w:hint="eastAsia" w:cs="宋体"/>
                <w:spacing w:val="-14"/>
                <w:sz w:val="21"/>
                <w:szCs w:val="21"/>
                <w:highlight w:val="none"/>
              </w:rPr>
              <w:t>“B”类</w:t>
            </w:r>
            <w:r>
              <w:rPr>
                <w:rFonts w:hint="eastAsia" w:ascii="宋体" w:hAnsi="宋体" w:cs="宋体"/>
                <w:spacing w:val="-14"/>
                <w:sz w:val="21"/>
                <w:szCs w:val="21"/>
                <w:highlight w:val="none"/>
              </w:rPr>
              <w:t>证书；年龄 55 周岁及以下。</w:t>
            </w:r>
          </w:p>
        </w:tc>
        <w:tc>
          <w:tcPr>
            <w:tcW w:w="2402" w:type="dxa"/>
            <w:vMerge w:val="continue"/>
            <w:noWrap w:val="0"/>
            <w:vAlign w:val="top"/>
          </w:tcPr>
          <w:p>
            <w:pPr>
              <w:rPr>
                <w:rFonts w:hint="eastAsia" w:ascii="宋体" w:hAnsi="宋体" w:cs="宋体"/>
                <w:sz w:val="21"/>
                <w:szCs w:val="21"/>
                <w:highlight w:val="none"/>
              </w:rPr>
            </w:pPr>
          </w:p>
        </w:tc>
      </w:tr>
    </w:tbl>
    <w:p>
      <w:pPr>
        <w:pStyle w:val="2"/>
        <w:ind w:left="0" w:leftChars="0" w:firstLine="0" w:firstLineChars="0"/>
        <w:rPr>
          <w:highlight w:val="none"/>
        </w:rPr>
      </w:pPr>
    </w:p>
    <w:sectPr>
      <w:pgSz w:w="11906" w:h="16838"/>
      <w:pgMar w:top="1361" w:right="1134" w:bottom="136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10</w:t>
    </w:r>
    <w:r>
      <w:fldChar w:fldCharType="end"/>
    </w:r>
  </w:p>
  <w:p>
    <w:pPr>
      <w:pStyle w:val="3"/>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zYjMwMjI2NWE4YzgwOGNlZjJhNGU3Y2ZmZmNjYTcifQ=="/>
  </w:docVars>
  <w:rsids>
    <w:rsidRoot w:val="3CB365C6"/>
    <w:rsid w:val="3CB365C6"/>
    <w:rsid w:val="6892174F"/>
    <w:rsid w:val="6F5F77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Times New Roman" w:hAnsi="Times New Roman" w:eastAsia="宋体" w:cs="Times New Roman"/>
      <w:szCs w:val="24"/>
      <w:lang w:val="en-US" w:eastAsia="zh-CN" w:bidi="ar-SA"/>
    </w:rPr>
  </w:style>
  <w:style w:type="paragraph" w:styleId="2">
    <w:name w:val="heading 3"/>
    <w:basedOn w:val="1"/>
    <w:next w:val="1"/>
    <w:qFormat/>
    <w:uiPriority w:val="1"/>
    <w:pPr>
      <w:spacing w:before="45"/>
      <w:ind w:left="1881"/>
      <w:outlineLvl w:val="2"/>
    </w:pPr>
    <w:rPr>
      <w:rFonts w:ascii="黑体" w:hAnsi="黑体" w:eastAsia="黑体" w:cs="黑体"/>
      <w:sz w:val="40"/>
      <w:szCs w:val="4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ascii="宋体" w:hAnsi="宋体" w:cs="宋体"/>
      <w:sz w:val="24"/>
      <w:lang w:val="zh-CN" w:bidi="zh-CN"/>
    </w:rPr>
  </w:style>
  <w:style w:type="paragraph" w:styleId="4">
    <w:name w:val="footer"/>
    <w:basedOn w:val="1"/>
    <w:unhideWhenUsed/>
    <w:qFormat/>
    <w:uiPriority w:val="99"/>
    <w:pPr>
      <w:tabs>
        <w:tab w:val="center" w:pos="4153"/>
        <w:tab w:val="right" w:pos="8306"/>
      </w:tabs>
      <w:snapToGrid w:val="0"/>
    </w:pPr>
    <w:rPr>
      <w:rFonts w:ascii="宋体" w:hAnsi="宋体" w:cs="宋体"/>
      <w:sz w:val="18"/>
      <w:szCs w:val="18"/>
      <w:lang w:val="zh-CN" w:bidi="zh-CN"/>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rFonts w:ascii="宋体" w:hAnsi="宋体" w:cs="宋体"/>
      <w:sz w:val="18"/>
      <w:szCs w:val="18"/>
      <w:lang w:val="zh-CN" w:bidi="zh-CN"/>
    </w:rPr>
  </w:style>
  <w:style w:type="paragraph" w:customStyle="1" w:styleId="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2133</Words>
  <Characters>2573</Characters>
  <Lines>0</Lines>
  <Paragraphs>0</Paragraphs>
  <TotalTime>1</TotalTime>
  <ScaleCrop>false</ScaleCrop>
  <LinksUpToDate>false</LinksUpToDate>
  <CharactersWithSpaces>2745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2022-09-08T09:39:00Z</dcterms:created>
  <dc:creator>宝贝丫</dc:creator>
  <cp:lastModifiedBy>宝贝丫</cp:lastModifiedBy>
  <dcterms:modified xsi:type="dcterms:W3CDTF">2022-09-09T00:58:29Z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9C6F1F1545184818884896C78BF52C7E</vt:lpwstr>
  </property>
</Properties>
</file>