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宋体" w:eastAsia="黑体"/>
          <w:b/>
          <w:bCs/>
          <w:sz w:val="30"/>
          <w:szCs w:val="30"/>
          <w:highlight w:val="none"/>
        </w:rPr>
      </w:pPr>
      <w:r>
        <w:rPr>
          <w:rFonts w:hint="eastAsia" w:ascii="黑体" w:hAnsi="宋体" w:eastAsia="黑体"/>
          <w:b/>
          <w:bCs/>
          <w:sz w:val="30"/>
          <w:szCs w:val="30"/>
          <w:highlight w:val="none"/>
        </w:rPr>
        <w:t>赣州东高速交警综合楼工程施工招标公告</w:t>
      </w:r>
    </w:p>
    <w:p>
      <w:pPr>
        <w:pStyle w:val="3"/>
        <w:keepLines w:val="0"/>
        <w:numPr>
          <w:ilvl w:val="0"/>
          <w:numId w:val="1"/>
        </w:numPr>
        <w:adjustRightInd w:val="0"/>
        <w:snapToGrid w:val="0"/>
        <w:spacing w:before="240" w:after="240" w:line="240" w:lineRule="auto"/>
        <w:ind w:left="0" w:firstLine="600" w:firstLineChars="200"/>
        <w:jc w:val="left"/>
        <w:rPr>
          <w:rFonts w:ascii="Times New Roman" w:hAnsi="Times New Roman" w:eastAsia="黑体"/>
          <w:b w:val="0"/>
          <w:bCs w:val="0"/>
          <w:kern w:val="44"/>
          <w:sz w:val="30"/>
          <w:szCs w:val="24"/>
          <w:highlight w:val="none"/>
        </w:rPr>
      </w:pPr>
      <w:bookmarkStart w:id="0" w:name="_Toc13226"/>
      <w:bookmarkStart w:id="1" w:name="_Toc6270"/>
      <w:bookmarkStart w:id="2" w:name="_Toc234382570"/>
      <w:r>
        <w:rPr>
          <w:rFonts w:hint="eastAsia" w:ascii="Times New Roman" w:hAnsi="Times New Roman" w:eastAsia="黑体"/>
          <w:b w:val="0"/>
          <w:bCs w:val="0"/>
          <w:kern w:val="44"/>
          <w:sz w:val="30"/>
          <w:szCs w:val="24"/>
          <w:highlight w:val="none"/>
        </w:rPr>
        <w:t>招标条件</w:t>
      </w:r>
      <w:bookmarkEnd w:id="0"/>
      <w:bookmarkEnd w:id="1"/>
      <w:bookmarkEnd w:id="2"/>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本次招标项目</w:t>
      </w:r>
      <w:r>
        <w:rPr>
          <w:rFonts w:hint="eastAsia" w:ascii="宋体" w:hAnsi="宋体"/>
          <w:sz w:val="24"/>
          <w:highlight w:val="none"/>
          <w:u w:val="single"/>
        </w:rPr>
        <w:t>赣州东高速交警综合楼工程</w:t>
      </w:r>
      <w:r>
        <w:rPr>
          <w:rFonts w:hint="eastAsia" w:ascii="宋体" w:hAnsi="宋体"/>
          <w:sz w:val="24"/>
          <w:highlight w:val="none"/>
        </w:rPr>
        <w:t>已由</w:t>
      </w:r>
      <w:r>
        <w:rPr>
          <w:rFonts w:hint="eastAsia" w:ascii="宋体" w:hAnsi="宋体"/>
          <w:sz w:val="24"/>
          <w:highlight w:val="none"/>
          <w:u w:val="single"/>
        </w:rPr>
        <w:t>赣州交通控股集团有限公司</w:t>
      </w:r>
      <w:r>
        <w:rPr>
          <w:rFonts w:hint="eastAsia" w:ascii="宋体" w:hAnsi="宋体"/>
          <w:sz w:val="24"/>
          <w:highlight w:val="none"/>
        </w:rPr>
        <w:t>批准建设，项目业主为</w:t>
      </w:r>
      <w:r>
        <w:rPr>
          <w:rFonts w:hint="eastAsia" w:ascii="宋体" w:hAnsi="宋体"/>
          <w:sz w:val="24"/>
          <w:highlight w:val="none"/>
          <w:u w:val="single"/>
        </w:rPr>
        <w:t>赣州赣康高速公路有限责任公司</w:t>
      </w:r>
      <w:r>
        <w:rPr>
          <w:rFonts w:hint="eastAsia" w:ascii="宋体" w:hAnsi="宋体"/>
          <w:sz w:val="24"/>
          <w:highlight w:val="none"/>
        </w:rPr>
        <w:t>，建设资金来自</w:t>
      </w:r>
      <w:r>
        <w:rPr>
          <w:rFonts w:hint="eastAsia" w:ascii="宋体" w:hAnsi="宋体"/>
          <w:sz w:val="24"/>
          <w:highlight w:val="none"/>
          <w:u w:val="single"/>
        </w:rPr>
        <w:t>业主自筹</w:t>
      </w:r>
      <w:r>
        <w:rPr>
          <w:rFonts w:hint="eastAsia" w:ascii="宋体" w:hAnsi="宋体"/>
          <w:sz w:val="24"/>
          <w:highlight w:val="none"/>
        </w:rPr>
        <w:t>，项目出资比例为</w:t>
      </w:r>
      <w:r>
        <w:rPr>
          <w:rFonts w:hint="eastAsia" w:ascii="宋体" w:hAnsi="宋体"/>
          <w:sz w:val="24"/>
          <w:highlight w:val="none"/>
          <w:u w:val="single"/>
        </w:rPr>
        <w:t xml:space="preserve">业主自筹100% </w:t>
      </w:r>
      <w:r>
        <w:rPr>
          <w:rFonts w:hint="eastAsia" w:ascii="宋体" w:hAnsi="宋体"/>
          <w:sz w:val="24"/>
          <w:highlight w:val="none"/>
        </w:rPr>
        <w:t>，招标人为</w:t>
      </w:r>
      <w:r>
        <w:rPr>
          <w:rFonts w:hint="eastAsia" w:ascii="宋体" w:hAnsi="宋体"/>
          <w:sz w:val="24"/>
          <w:highlight w:val="none"/>
          <w:u w:val="single"/>
        </w:rPr>
        <w:t>赣州交通控股集团有限公司</w:t>
      </w:r>
      <w:r>
        <w:rPr>
          <w:rFonts w:hint="eastAsia" w:ascii="宋体" w:hAnsi="宋体"/>
          <w:sz w:val="24"/>
          <w:highlight w:val="none"/>
        </w:rPr>
        <w:t>。项目已具备招标条件，现对该项目的施工进行公开招标。</w:t>
      </w:r>
    </w:p>
    <w:p>
      <w:pPr>
        <w:pStyle w:val="3"/>
        <w:keepLines w:val="0"/>
        <w:numPr>
          <w:ilvl w:val="0"/>
          <w:numId w:val="1"/>
        </w:numPr>
        <w:adjustRightInd w:val="0"/>
        <w:snapToGrid w:val="0"/>
        <w:spacing w:before="240" w:after="240" w:line="240" w:lineRule="auto"/>
        <w:ind w:left="0" w:firstLine="600" w:firstLineChars="200"/>
        <w:jc w:val="left"/>
        <w:rPr>
          <w:rFonts w:ascii="Times New Roman" w:hAnsi="Times New Roman" w:eastAsia="黑体"/>
          <w:b w:val="0"/>
          <w:bCs w:val="0"/>
          <w:kern w:val="44"/>
          <w:sz w:val="30"/>
          <w:szCs w:val="24"/>
          <w:highlight w:val="none"/>
        </w:rPr>
      </w:pPr>
      <w:bookmarkStart w:id="3" w:name="_Toc27548"/>
      <w:bookmarkStart w:id="4" w:name="_Toc234382571"/>
      <w:bookmarkStart w:id="5" w:name="_Toc31312"/>
      <w:r>
        <w:rPr>
          <w:rFonts w:hint="eastAsia" w:ascii="Times New Roman" w:hAnsi="Times New Roman" w:eastAsia="黑体"/>
          <w:b w:val="0"/>
          <w:bCs w:val="0"/>
          <w:kern w:val="44"/>
          <w:sz w:val="30"/>
          <w:szCs w:val="24"/>
          <w:highlight w:val="none"/>
        </w:rPr>
        <w:t>项目概况与招标范围</w:t>
      </w:r>
      <w:bookmarkEnd w:id="3"/>
      <w:bookmarkEnd w:id="4"/>
      <w:bookmarkEnd w:id="5"/>
    </w:p>
    <w:p>
      <w:pPr>
        <w:adjustRightInd w:val="0"/>
        <w:snapToGrid w:val="0"/>
        <w:spacing w:line="360" w:lineRule="auto"/>
        <w:ind w:firstLine="480" w:firstLineChars="200"/>
        <w:rPr>
          <w:rFonts w:ascii="宋体" w:hAnsi="宋体"/>
          <w:szCs w:val="21"/>
          <w:highlight w:val="none"/>
        </w:rPr>
      </w:pPr>
      <w:bookmarkStart w:id="6" w:name="_Toc234382572"/>
      <w:r>
        <w:rPr>
          <w:rFonts w:hint="eastAsia" w:ascii="宋体" w:hAnsi="宋体"/>
          <w:sz w:val="24"/>
          <w:highlight w:val="none"/>
        </w:rPr>
        <w:t>2.1建设地点：</w:t>
      </w:r>
      <w:r>
        <w:rPr>
          <w:rFonts w:hint="eastAsia" w:ascii="宋体" w:hAnsi="宋体"/>
          <w:szCs w:val="21"/>
          <w:highlight w:val="none"/>
        </w:rPr>
        <w:t>江西省赣州市</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2.2项目性质：房建工程</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2.3项目概况</w:t>
      </w:r>
    </w:p>
    <w:p>
      <w:pPr>
        <w:adjustRightInd w:val="0"/>
        <w:snapToGrid w:val="0"/>
        <w:spacing w:line="288" w:lineRule="auto"/>
        <w:ind w:firstLine="480" w:firstLineChars="200"/>
        <w:rPr>
          <w:rFonts w:ascii="宋体" w:hAnsi="宋体"/>
          <w:snapToGrid w:val="0"/>
          <w:kern w:val="0"/>
          <w:sz w:val="24"/>
          <w:highlight w:val="none"/>
        </w:rPr>
      </w:pPr>
      <w:r>
        <w:rPr>
          <w:rFonts w:hint="eastAsia" w:ascii="宋体" w:hAnsi="宋体"/>
          <w:kern w:val="0"/>
          <w:sz w:val="24"/>
          <w:highlight w:val="none"/>
        </w:rPr>
        <w:t>赣州东高速交警综合楼位于赣州绕城高速赣州东出口，占地总面积约4670.9m2，新建一栋建筑面积为2148.69m2地上四层的综合楼建筑装饰、安装工程，新建一间建筑面积为21m2的门卫室建筑装饰、安装工程。主要建设内容为综合楼及门卫室建筑装饰安装工程、车棚、室外沥青路面、绿化及围墙等工程。</w:t>
      </w:r>
      <w:r>
        <w:rPr>
          <w:rFonts w:hint="eastAsia" w:ascii="宋体" w:hAnsi="宋体"/>
          <w:snapToGrid w:val="0"/>
          <w:kern w:val="0"/>
          <w:sz w:val="24"/>
          <w:highlight w:val="none"/>
        </w:rPr>
        <w:t>现拟对本项目工程施工进行招标，本项目投资概算约900万元。</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2.4招标范围及标段划分</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本次招标范围为工程量清单所涵盖的所有内容，本次招标划分为1个类别，共1个合同段，类别及标段划分详见附表一。</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2.5 计划工期</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本项目计划开工日期为</w:t>
      </w:r>
      <w:r>
        <w:rPr>
          <w:rFonts w:hint="eastAsia" w:ascii="宋体" w:hAnsi="宋体"/>
          <w:sz w:val="24"/>
          <w:highlight w:val="none"/>
        </w:rPr>
        <w:t>2022年0</w:t>
      </w:r>
      <w:r>
        <w:rPr>
          <w:rFonts w:hint="eastAsia" w:ascii="宋体" w:hAnsi="宋体"/>
          <w:sz w:val="24"/>
          <w:highlight w:val="none"/>
          <w:lang w:val="en-US" w:eastAsia="zh-CN"/>
        </w:rPr>
        <w:t>8</w:t>
      </w:r>
      <w:r>
        <w:rPr>
          <w:rFonts w:hint="eastAsia" w:ascii="宋体" w:hAnsi="宋体"/>
          <w:sz w:val="24"/>
          <w:highlight w:val="none"/>
        </w:rPr>
        <w:t>月</w:t>
      </w:r>
      <w:r>
        <w:rPr>
          <w:rFonts w:hint="eastAsia" w:ascii="宋体" w:hAnsi="宋体"/>
          <w:sz w:val="24"/>
          <w:highlight w:val="none"/>
          <w:lang w:val="en-US" w:eastAsia="zh-CN"/>
        </w:rPr>
        <w:t>12</w:t>
      </w:r>
      <w:r>
        <w:rPr>
          <w:rFonts w:hint="eastAsia" w:ascii="宋体" w:hAnsi="宋体"/>
          <w:sz w:val="24"/>
          <w:highlight w:val="none"/>
        </w:rPr>
        <w:t>日，</w:t>
      </w:r>
      <w:r>
        <w:rPr>
          <w:rFonts w:hint="eastAsia" w:ascii="宋体" w:hAnsi="宋体"/>
          <w:sz w:val="24"/>
          <w:szCs w:val="28"/>
          <w:highlight w:val="none"/>
        </w:rPr>
        <w:t>2023年0</w:t>
      </w:r>
      <w:r>
        <w:rPr>
          <w:rFonts w:hint="eastAsia" w:ascii="宋体" w:hAnsi="宋体"/>
          <w:sz w:val="24"/>
          <w:szCs w:val="28"/>
          <w:highlight w:val="none"/>
          <w:lang w:val="en-US" w:eastAsia="zh-CN"/>
        </w:rPr>
        <w:t>2</w:t>
      </w:r>
      <w:r>
        <w:rPr>
          <w:rFonts w:hint="eastAsia" w:ascii="宋体" w:hAnsi="宋体"/>
          <w:sz w:val="24"/>
          <w:szCs w:val="28"/>
          <w:highlight w:val="none"/>
        </w:rPr>
        <w:t>月</w:t>
      </w:r>
      <w:r>
        <w:rPr>
          <w:rFonts w:hint="eastAsia" w:ascii="宋体" w:hAnsi="宋体"/>
          <w:sz w:val="24"/>
          <w:szCs w:val="28"/>
          <w:highlight w:val="none"/>
          <w:lang w:val="en-US" w:eastAsia="zh-CN"/>
        </w:rPr>
        <w:t>07</w:t>
      </w:r>
      <w:r>
        <w:rPr>
          <w:rFonts w:hint="eastAsia" w:ascii="宋体" w:hAnsi="宋体"/>
          <w:sz w:val="24"/>
          <w:szCs w:val="28"/>
          <w:highlight w:val="none"/>
        </w:rPr>
        <w:t>日完工</w:t>
      </w:r>
      <w:r>
        <w:rPr>
          <w:rFonts w:hint="eastAsia" w:ascii="宋体" w:hAnsi="宋体"/>
          <w:sz w:val="24"/>
          <w:szCs w:val="28"/>
          <w:highlight w:val="none"/>
        </w:rPr>
        <w:t>，总工期6个月，</w:t>
      </w:r>
      <w:r>
        <w:rPr>
          <w:rFonts w:hint="eastAsia" w:ascii="宋体" w:hAnsi="宋体"/>
          <w:sz w:val="24"/>
          <w:highlight w:val="none"/>
        </w:rPr>
        <w:t>缺陷责任期24个月，保修期60个月。在合同执行过程中，发包人可能根据工程的实际进度调整工期和施工计划，投标人必须理解并接受。</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2.6标段划分：一个合同段</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2.7资格审查方式：资格后审</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2.8评标办法：合理低价法</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2.9工程质量要求：工程交工验收的质量评定合格；工程竣工验收的质量评定合格。</w:t>
      </w:r>
    </w:p>
    <w:p>
      <w:pPr>
        <w:pStyle w:val="3"/>
        <w:keepLines w:val="0"/>
        <w:numPr>
          <w:ilvl w:val="0"/>
          <w:numId w:val="1"/>
        </w:numPr>
        <w:adjustRightInd w:val="0"/>
        <w:snapToGrid w:val="0"/>
        <w:spacing w:before="240" w:after="240" w:line="240" w:lineRule="auto"/>
        <w:ind w:left="0" w:firstLine="600" w:firstLineChars="200"/>
        <w:jc w:val="left"/>
        <w:rPr>
          <w:rFonts w:ascii="Times New Roman" w:hAnsi="Times New Roman" w:eastAsia="黑体"/>
          <w:b w:val="0"/>
          <w:bCs w:val="0"/>
          <w:kern w:val="44"/>
          <w:sz w:val="30"/>
          <w:szCs w:val="24"/>
          <w:highlight w:val="none"/>
        </w:rPr>
      </w:pPr>
      <w:bookmarkStart w:id="7" w:name="_Toc26883"/>
      <w:bookmarkStart w:id="8" w:name="_Toc8582"/>
      <w:r>
        <w:rPr>
          <w:rFonts w:hint="eastAsia" w:ascii="Times New Roman" w:hAnsi="Times New Roman" w:eastAsia="黑体"/>
          <w:b w:val="0"/>
          <w:bCs w:val="0"/>
          <w:kern w:val="44"/>
          <w:sz w:val="30"/>
          <w:szCs w:val="24"/>
          <w:highlight w:val="none"/>
        </w:rPr>
        <w:t>投标人资格要求</w:t>
      </w:r>
      <w:bookmarkEnd w:id="6"/>
      <w:bookmarkEnd w:id="7"/>
      <w:bookmarkEnd w:id="8"/>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3.1  本次招标要求投标人具备的资质条件、财务要求、业绩要求、信誉要求、项目经理和项目总工资格要求见附表二</w:t>
      </w:r>
      <w:r>
        <w:rPr>
          <w:rFonts w:hint="eastAsia" w:ascii="宋体" w:hAnsi="宋体" w:cs="宋体"/>
          <w:sz w:val="24"/>
          <w:highlight w:val="none"/>
        </w:rPr>
        <w:t>～</w:t>
      </w:r>
      <w:r>
        <w:rPr>
          <w:rFonts w:hint="eastAsia" w:ascii="宋体" w:hAnsi="宋体"/>
          <w:sz w:val="24"/>
          <w:highlight w:val="none"/>
        </w:rPr>
        <w:t>附表六，并在设备等方面具备相应的施工能力。</w:t>
      </w:r>
    </w:p>
    <w:p>
      <w:pPr>
        <w:adjustRightInd w:val="0"/>
        <w:snapToGrid w:val="0"/>
        <w:spacing w:line="360" w:lineRule="auto"/>
        <w:ind w:firstLine="482"/>
        <w:rPr>
          <w:rFonts w:ascii="Arial" w:hAnsi="Arial" w:cs="Arial"/>
          <w:b/>
          <w:sz w:val="24"/>
          <w:highlight w:val="none"/>
        </w:rPr>
      </w:pPr>
      <w:r>
        <w:rPr>
          <w:rFonts w:ascii="Arial" w:hAnsi="Arial" w:cs="Arial"/>
          <w:b/>
          <w:sz w:val="24"/>
          <w:highlight w:val="none"/>
        </w:rPr>
        <w:t>截至20</w:t>
      </w:r>
      <w:r>
        <w:rPr>
          <w:rFonts w:hint="eastAsia" w:ascii="Arial" w:hAnsi="Arial" w:cs="Arial"/>
          <w:b/>
          <w:sz w:val="24"/>
          <w:highlight w:val="none"/>
        </w:rPr>
        <w:t>22</w:t>
      </w:r>
      <w:r>
        <w:rPr>
          <w:rFonts w:ascii="Arial" w:hAnsi="Arial" w:cs="Arial"/>
          <w:b/>
          <w:sz w:val="24"/>
          <w:highlight w:val="none"/>
        </w:rPr>
        <w:t>年</w:t>
      </w:r>
      <w:r>
        <w:rPr>
          <w:rFonts w:hint="eastAsia" w:ascii="Arial" w:hAnsi="Arial" w:cs="Arial"/>
          <w:b/>
          <w:sz w:val="24"/>
          <w:highlight w:val="none"/>
        </w:rPr>
        <w:t>6</w:t>
      </w:r>
      <w:r>
        <w:rPr>
          <w:rFonts w:ascii="Arial" w:hAnsi="Arial" w:cs="Arial"/>
          <w:b/>
          <w:sz w:val="24"/>
          <w:highlight w:val="none"/>
        </w:rPr>
        <w:t>月</w:t>
      </w:r>
      <w:r>
        <w:rPr>
          <w:rFonts w:hint="eastAsia" w:ascii="Arial" w:hAnsi="Arial" w:cs="Arial"/>
          <w:b/>
          <w:sz w:val="24"/>
          <w:highlight w:val="none"/>
          <w:lang w:val="en-US" w:eastAsia="zh-CN"/>
        </w:rPr>
        <w:t>23</w:t>
      </w:r>
      <w:r>
        <w:rPr>
          <w:rFonts w:ascii="Arial" w:hAnsi="Arial" w:cs="Arial"/>
          <w:b/>
          <w:sz w:val="24"/>
          <w:highlight w:val="none"/>
        </w:rPr>
        <w:t>日</w:t>
      </w:r>
      <w:r>
        <w:rPr>
          <w:rFonts w:hint="eastAsia" w:ascii="Arial" w:hAnsi="Arial" w:cs="Arial"/>
          <w:b/>
          <w:sz w:val="24"/>
          <w:highlight w:val="none"/>
        </w:rPr>
        <w:t>23</w:t>
      </w:r>
      <w:r>
        <w:rPr>
          <w:rFonts w:ascii="Arial" w:hAnsi="Arial" w:cs="Arial"/>
          <w:b/>
          <w:sz w:val="24"/>
          <w:highlight w:val="none"/>
        </w:rPr>
        <w:t>时</w:t>
      </w:r>
      <w:r>
        <w:rPr>
          <w:rFonts w:hint="eastAsia" w:ascii="Arial" w:hAnsi="Arial" w:cs="Arial"/>
          <w:b/>
          <w:sz w:val="24"/>
          <w:highlight w:val="none"/>
        </w:rPr>
        <w:t>59</w:t>
      </w:r>
      <w:r>
        <w:rPr>
          <w:rFonts w:ascii="Arial" w:hAnsi="Arial" w:cs="Arial"/>
          <w:b/>
          <w:sz w:val="24"/>
          <w:highlight w:val="none"/>
        </w:rPr>
        <w:t>分，在江西省交通建设市场信用信息管理系统（以下简称“信用系统”）最新发布的公路施工企业</w:t>
      </w:r>
      <w:r>
        <w:rPr>
          <w:rFonts w:ascii="宋体" w:hAnsi="宋体"/>
          <w:b/>
          <w:sz w:val="24"/>
          <w:highlight w:val="none"/>
          <w:u w:val="single"/>
        </w:rPr>
        <w:t>公路施工企业</w:t>
      </w:r>
      <w:r>
        <w:rPr>
          <w:rFonts w:hint="eastAsia" w:ascii="宋体" w:hAnsi="宋体"/>
          <w:b/>
          <w:sz w:val="24"/>
          <w:highlight w:val="none"/>
          <w:u w:val="single"/>
        </w:rPr>
        <w:t>房建</w:t>
      </w:r>
      <w:r>
        <w:rPr>
          <w:rFonts w:ascii="Arial" w:hAnsi="Arial" w:cs="Arial"/>
          <w:b/>
          <w:sz w:val="24"/>
          <w:highlight w:val="none"/>
        </w:rPr>
        <w:t>序列信用评价结果为本次招标使用的信用等级。</w:t>
      </w:r>
      <w:r>
        <w:rPr>
          <w:rFonts w:hint="eastAsia" w:ascii="Arial" w:hAnsi="Arial" w:cs="Arial"/>
          <w:b/>
          <w:sz w:val="24"/>
          <w:highlight w:val="none"/>
        </w:rPr>
        <w:t>（以下简称“信用等级”，除特别说明外均为此含义）。</w:t>
      </w:r>
      <w:r>
        <w:rPr>
          <w:rFonts w:ascii="Arial" w:hAnsi="Arial" w:cs="Arial"/>
          <w:b/>
          <w:sz w:val="24"/>
          <w:highlight w:val="none"/>
        </w:rPr>
        <w:t>信用等级为D级的投标人不具有投标资格；</w:t>
      </w:r>
      <w:r>
        <w:rPr>
          <w:rFonts w:hint="eastAsia" w:ascii="Arial" w:hAnsi="Arial" w:cs="Arial"/>
          <w:b/>
          <w:sz w:val="24"/>
          <w:highlight w:val="none"/>
        </w:rPr>
        <w:t>未被评价的投标人，其信用等级根据江西省公路水运建设市场从业单位信用管理的有关办法确定，按B级信用对待。</w:t>
      </w:r>
    </w:p>
    <w:p>
      <w:pPr>
        <w:adjustRightInd w:val="0"/>
        <w:snapToGrid w:val="0"/>
        <w:spacing w:line="360" w:lineRule="auto"/>
        <w:ind w:firstLine="482"/>
        <w:rPr>
          <w:rFonts w:ascii="Arial" w:hAnsi="Arial" w:cs="Arial"/>
          <w:b/>
          <w:sz w:val="24"/>
          <w:highlight w:val="none"/>
        </w:rPr>
      </w:pPr>
      <w:r>
        <w:rPr>
          <w:rFonts w:hint="eastAsia" w:ascii="Arial" w:hAnsi="Arial" w:cs="Arial"/>
          <w:b/>
          <w:sz w:val="24"/>
          <w:highlight w:val="none"/>
        </w:rPr>
        <w:t>截至 2022年</w:t>
      </w:r>
      <w:r>
        <w:rPr>
          <w:rFonts w:hint="eastAsia" w:ascii="Arial" w:hAnsi="Arial" w:cs="Arial"/>
          <w:b/>
          <w:sz w:val="24"/>
          <w:highlight w:val="none"/>
        </w:rPr>
        <w:t>6月</w:t>
      </w:r>
      <w:r>
        <w:rPr>
          <w:rFonts w:hint="eastAsia" w:ascii="Arial" w:hAnsi="Arial" w:cs="Arial"/>
          <w:b/>
          <w:sz w:val="24"/>
          <w:highlight w:val="none"/>
          <w:lang w:val="en-US" w:eastAsia="zh-CN"/>
        </w:rPr>
        <w:t>23</w:t>
      </w:r>
      <w:r>
        <w:rPr>
          <w:rFonts w:hint="eastAsia" w:ascii="Arial" w:hAnsi="Arial" w:cs="Arial"/>
          <w:b/>
          <w:sz w:val="24"/>
          <w:highlight w:val="none"/>
        </w:rPr>
        <w:t>日</w:t>
      </w:r>
      <w:r>
        <w:rPr>
          <w:rFonts w:hint="eastAsia" w:ascii="Arial" w:hAnsi="Arial" w:cs="Arial"/>
          <w:b/>
          <w:sz w:val="24"/>
          <w:highlight w:val="none"/>
        </w:rPr>
        <w:t>23 时 59分，未在江西省公共资源交易系统（交通平台）（以下简称“交易系统”）开设交通施工用户的从业单位不具有投标资格；在截止时间之前，投标人未在交易系统完成登记的资质、财务能力、业绩、人员和获奖情况，评标时不予认可；投标人在交易系统完成登记的资质、财务能力、业绩、人员和获奖情况等信息在截止时间后发生更改的，评标时以截止时间前采集的数据为准。</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3.2  本次招标不接受联合体投标。</w:t>
      </w:r>
    </w:p>
    <w:p>
      <w:pPr>
        <w:adjustRightInd w:val="0"/>
        <w:snapToGrid w:val="0"/>
        <w:spacing w:line="360" w:lineRule="auto"/>
        <w:ind w:firstLine="480" w:firstLineChars="200"/>
        <w:rPr>
          <w:rFonts w:ascii="Arial" w:hAnsi="Arial" w:cs="Arial"/>
          <w:sz w:val="24"/>
          <w:highlight w:val="none"/>
        </w:rPr>
      </w:pPr>
      <w:bookmarkStart w:id="9" w:name="_Toc234382573"/>
      <w:r>
        <w:rPr>
          <w:rFonts w:hint="eastAsia" w:ascii="宋体" w:hAnsi="宋体"/>
          <w:sz w:val="24"/>
          <w:highlight w:val="none"/>
        </w:rPr>
        <w:t xml:space="preserve">3.3 </w:t>
      </w:r>
      <w:r>
        <w:rPr>
          <w:rFonts w:hint="eastAsia" w:ascii="Arial" w:hAnsi="Arial" w:cs="Arial"/>
          <w:sz w:val="24"/>
          <w:highlight w:val="none"/>
        </w:rPr>
        <w:t>本次招标仅有一个标段的类别要求投标人按类别进行报名</w:t>
      </w:r>
      <w:r>
        <w:rPr>
          <w:rFonts w:ascii="Arial" w:hAnsi="Arial" w:cs="Arial"/>
          <w:sz w:val="24"/>
          <w:highlight w:val="none"/>
        </w:rPr>
        <w:t>。投标人在制作投标文件</w:t>
      </w:r>
      <w:r>
        <w:rPr>
          <w:rFonts w:hint="eastAsia" w:ascii="Arial" w:hAnsi="Arial" w:cs="Arial"/>
          <w:sz w:val="24"/>
          <w:highlight w:val="none"/>
        </w:rPr>
        <w:t>（未另加说明时，投标文件均指电子投标文件）</w:t>
      </w:r>
      <w:r>
        <w:rPr>
          <w:rFonts w:ascii="Arial" w:hAnsi="Arial" w:cs="Arial"/>
          <w:sz w:val="24"/>
          <w:highlight w:val="none"/>
        </w:rPr>
        <w:t>时，</w:t>
      </w:r>
      <w:r>
        <w:rPr>
          <w:rFonts w:hint="eastAsia" w:ascii="Arial" w:hAnsi="Arial" w:cs="Arial"/>
          <w:sz w:val="24"/>
          <w:highlight w:val="none"/>
        </w:rPr>
        <w:t>按标段</w:t>
      </w:r>
      <w:r>
        <w:rPr>
          <w:rFonts w:ascii="Arial" w:hAnsi="Arial" w:cs="Arial"/>
          <w:sz w:val="24"/>
          <w:highlight w:val="none"/>
        </w:rPr>
        <w:t>制作第一信封（商务及技术文件</w:t>
      </w:r>
      <w:r>
        <w:rPr>
          <w:rFonts w:hint="eastAsia" w:ascii="Arial" w:hAnsi="Arial" w:cs="Arial"/>
          <w:sz w:val="24"/>
          <w:highlight w:val="none"/>
        </w:rPr>
        <w:t>）和</w:t>
      </w:r>
      <w:r>
        <w:rPr>
          <w:rFonts w:ascii="Arial" w:hAnsi="Arial" w:cs="Arial"/>
          <w:sz w:val="24"/>
          <w:highlight w:val="none"/>
        </w:rPr>
        <w:t>第二信封（报价文件）</w:t>
      </w:r>
      <w:r>
        <w:rPr>
          <w:rFonts w:hint="eastAsia" w:ascii="Arial" w:hAnsi="Arial" w:cs="Arial"/>
          <w:sz w:val="24"/>
          <w:highlight w:val="none"/>
        </w:rPr>
        <w:t>。</w:t>
      </w:r>
    </w:p>
    <w:p>
      <w:pPr>
        <w:adjustRightInd w:val="0"/>
        <w:snapToGrid w:val="0"/>
        <w:spacing w:line="360" w:lineRule="auto"/>
        <w:ind w:firstLine="480" w:firstLineChars="200"/>
        <w:rPr>
          <w:rFonts w:ascii="Arial" w:hAnsi="Arial" w:cs="Arial"/>
          <w:sz w:val="24"/>
          <w:highlight w:val="none"/>
        </w:rPr>
      </w:pPr>
      <w:r>
        <w:rPr>
          <w:rFonts w:ascii="Arial" w:hAnsi="Arial" w:cs="Arial"/>
          <w:sz w:val="24"/>
          <w:highlight w:val="none"/>
        </w:rPr>
        <w:t>投标人投标数量和中标数量的规定如下：</w:t>
      </w:r>
    </w:p>
    <w:p>
      <w:pPr>
        <w:adjustRightInd w:val="0"/>
        <w:snapToGrid w:val="0"/>
        <w:spacing w:line="360" w:lineRule="auto"/>
        <w:ind w:firstLine="480" w:firstLineChars="200"/>
        <w:rPr>
          <w:rFonts w:ascii="Arial" w:hAnsi="Arial" w:cs="Arial"/>
          <w:sz w:val="24"/>
          <w:highlight w:val="none"/>
        </w:rPr>
      </w:pPr>
      <w:r>
        <w:rPr>
          <w:rFonts w:hint="eastAsia" w:ascii="宋体" w:hAnsi="宋体"/>
          <w:sz w:val="24"/>
          <w:highlight w:val="none"/>
        </w:rPr>
        <w:t>3.3.1</w:t>
      </w:r>
      <w:r>
        <w:rPr>
          <w:rFonts w:hint="eastAsia" w:ascii="Arial" w:hAnsi="Arial" w:cs="Arial"/>
          <w:sz w:val="24"/>
          <w:highlight w:val="none"/>
        </w:rPr>
        <w:t>信用系统内信用等级评价为</w:t>
      </w:r>
      <w:r>
        <w:rPr>
          <w:rFonts w:ascii="Arial" w:hAnsi="Arial" w:cs="Arial"/>
          <w:sz w:val="24"/>
          <w:highlight w:val="none"/>
          <w:u w:val="single"/>
        </w:rPr>
        <w:t>AA</w:t>
      </w:r>
      <w:r>
        <w:rPr>
          <w:rFonts w:hint="eastAsia" w:ascii="Arial" w:hAnsi="Arial" w:cs="Arial"/>
          <w:sz w:val="24"/>
          <w:highlight w:val="none"/>
          <w:u w:val="single"/>
        </w:rPr>
        <w:t>、A、</w:t>
      </w:r>
      <w:r>
        <w:rPr>
          <w:rFonts w:ascii="Arial" w:hAnsi="Arial" w:cs="Arial"/>
          <w:sz w:val="24"/>
          <w:highlight w:val="none"/>
          <w:u w:val="single"/>
        </w:rPr>
        <w:t>B</w:t>
      </w:r>
      <w:r>
        <w:rPr>
          <w:rFonts w:hint="eastAsia" w:ascii="Arial" w:hAnsi="Arial" w:cs="Arial"/>
          <w:sz w:val="24"/>
          <w:highlight w:val="none"/>
          <w:u w:val="single"/>
        </w:rPr>
        <w:t>、C</w:t>
      </w:r>
      <w:r>
        <w:rPr>
          <w:rFonts w:hint="eastAsia" w:ascii="Arial" w:hAnsi="Arial" w:cs="Arial"/>
          <w:sz w:val="24"/>
          <w:highlight w:val="none"/>
        </w:rPr>
        <w:t>级的投标人最多可对</w:t>
      </w:r>
      <w:r>
        <w:rPr>
          <w:rFonts w:hint="eastAsia" w:ascii="Arial" w:hAnsi="Arial" w:cs="Arial"/>
          <w:sz w:val="24"/>
          <w:highlight w:val="none"/>
          <w:u w:val="single"/>
        </w:rPr>
        <w:t>1</w:t>
      </w:r>
      <w:r>
        <w:rPr>
          <w:rFonts w:hint="eastAsia" w:ascii="Arial" w:hAnsi="Arial" w:cs="Arial"/>
          <w:sz w:val="24"/>
          <w:highlight w:val="none"/>
        </w:rPr>
        <w:t>个类别投标，最多可通过</w:t>
      </w:r>
      <w:r>
        <w:rPr>
          <w:rFonts w:hint="eastAsia" w:ascii="Arial" w:hAnsi="Arial" w:cs="Arial"/>
          <w:sz w:val="24"/>
          <w:highlight w:val="none"/>
          <w:u w:val="single"/>
        </w:rPr>
        <w:t>1</w:t>
      </w:r>
      <w:r>
        <w:rPr>
          <w:rFonts w:hint="eastAsia" w:ascii="Arial" w:hAnsi="Arial" w:cs="Arial"/>
          <w:sz w:val="24"/>
          <w:highlight w:val="none"/>
        </w:rPr>
        <w:t>个类别的第一信封（商务及技术文件）评审；</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3.3.2 信用等级评价为</w:t>
      </w:r>
      <w:r>
        <w:rPr>
          <w:rFonts w:hint="eastAsia" w:ascii="Arial" w:hAnsi="Arial" w:cs="Arial"/>
          <w:sz w:val="24"/>
          <w:highlight w:val="none"/>
          <w:u w:val="single"/>
        </w:rPr>
        <w:t>AA、A、B、C</w:t>
      </w:r>
      <w:r>
        <w:rPr>
          <w:rFonts w:hint="eastAsia" w:ascii="宋体" w:hAnsi="宋体"/>
          <w:sz w:val="24"/>
          <w:highlight w:val="none"/>
        </w:rPr>
        <w:t>级的投标人在I类中每类最多可投</w:t>
      </w:r>
      <w:r>
        <w:rPr>
          <w:rFonts w:hint="eastAsia" w:ascii="Arial" w:hAnsi="Arial" w:cs="Arial"/>
          <w:sz w:val="24"/>
          <w:highlight w:val="none"/>
          <w:u w:val="single"/>
        </w:rPr>
        <w:t>1</w:t>
      </w:r>
      <w:r>
        <w:rPr>
          <w:rFonts w:hint="eastAsia" w:ascii="宋体" w:hAnsi="宋体"/>
          <w:sz w:val="24"/>
          <w:highlight w:val="none"/>
        </w:rPr>
        <w:t>个标段，本次投标最多可中</w:t>
      </w:r>
      <w:r>
        <w:rPr>
          <w:rFonts w:hint="eastAsia" w:ascii="宋体" w:hAnsi="宋体"/>
          <w:sz w:val="24"/>
          <w:highlight w:val="none"/>
          <w:u w:val="single"/>
        </w:rPr>
        <w:t>1</w:t>
      </w:r>
      <w:r>
        <w:rPr>
          <w:rFonts w:hint="eastAsia" w:ascii="宋体" w:hAnsi="宋体"/>
          <w:sz w:val="24"/>
          <w:highlight w:val="none"/>
        </w:rPr>
        <w:t>个标段；</w:t>
      </w:r>
    </w:p>
    <w:p>
      <w:pPr>
        <w:adjustRightInd w:val="0"/>
        <w:snapToGrid w:val="0"/>
        <w:spacing w:line="360" w:lineRule="auto"/>
        <w:ind w:firstLine="480" w:firstLineChars="200"/>
        <w:rPr>
          <w:rFonts w:ascii="Arial" w:hAnsi="Arial" w:cs="Arial"/>
          <w:sz w:val="24"/>
          <w:highlight w:val="none"/>
        </w:rPr>
      </w:pPr>
      <w:r>
        <w:rPr>
          <w:rFonts w:hint="eastAsia" w:ascii="宋体" w:hAnsi="宋体"/>
          <w:sz w:val="24"/>
          <w:highlight w:val="none"/>
        </w:rPr>
        <w:t>3.3.3</w:t>
      </w:r>
      <w:r>
        <w:rPr>
          <w:rFonts w:hint="eastAsia" w:ascii="Arial" w:hAnsi="Arial" w:cs="Arial"/>
          <w:sz w:val="24"/>
          <w:highlight w:val="none"/>
        </w:rPr>
        <w:t>信用系统内信用等级评价为</w:t>
      </w:r>
      <w:r>
        <w:rPr>
          <w:rFonts w:hint="eastAsia" w:ascii="Arial" w:hAnsi="Arial" w:cs="Arial"/>
          <w:sz w:val="24"/>
          <w:highlight w:val="none"/>
          <w:u w:val="single"/>
        </w:rPr>
        <w:t>AA、</w:t>
      </w:r>
      <w:r>
        <w:rPr>
          <w:rFonts w:ascii="Arial" w:hAnsi="Arial" w:cs="Arial"/>
          <w:sz w:val="24"/>
          <w:highlight w:val="none"/>
          <w:u w:val="single"/>
        </w:rPr>
        <w:t>A</w:t>
      </w:r>
      <w:r>
        <w:rPr>
          <w:rFonts w:hint="eastAsia" w:ascii="Arial" w:hAnsi="Arial" w:cs="Arial"/>
          <w:sz w:val="24"/>
          <w:highlight w:val="none"/>
          <w:u w:val="single"/>
        </w:rPr>
        <w:t>、</w:t>
      </w:r>
      <w:r>
        <w:rPr>
          <w:rFonts w:ascii="Arial" w:hAnsi="Arial" w:cs="Arial"/>
          <w:sz w:val="24"/>
          <w:highlight w:val="none"/>
          <w:u w:val="single"/>
        </w:rPr>
        <w:t>B</w:t>
      </w:r>
      <w:r>
        <w:rPr>
          <w:rFonts w:hint="eastAsia" w:ascii="Arial" w:hAnsi="Arial" w:cs="Arial"/>
          <w:sz w:val="24"/>
          <w:highlight w:val="none"/>
          <w:u w:val="single"/>
        </w:rPr>
        <w:t>、</w:t>
      </w:r>
      <w:r>
        <w:rPr>
          <w:rFonts w:ascii="Arial" w:hAnsi="Arial" w:cs="Arial"/>
          <w:sz w:val="24"/>
          <w:highlight w:val="none"/>
          <w:u w:val="single"/>
        </w:rPr>
        <w:t>C</w:t>
      </w:r>
      <w:r>
        <w:rPr>
          <w:rFonts w:hint="eastAsia" w:ascii="Arial" w:hAnsi="Arial" w:cs="Arial"/>
          <w:sz w:val="24"/>
          <w:highlight w:val="none"/>
        </w:rPr>
        <w:t>级的投标人在本次招标项目最多允许中</w:t>
      </w:r>
      <w:r>
        <w:rPr>
          <w:rFonts w:ascii="Arial" w:hAnsi="Arial" w:cs="Arial"/>
          <w:sz w:val="24"/>
          <w:highlight w:val="none"/>
          <w:u w:val="single"/>
        </w:rPr>
        <w:t>1</w:t>
      </w:r>
      <w:r>
        <w:rPr>
          <w:rFonts w:hint="eastAsia" w:ascii="Arial" w:hAnsi="Arial" w:cs="Arial"/>
          <w:sz w:val="24"/>
          <w:highlight w:val="none"/>
        </w:rPr>
        <w:t>个标段。</w:t>
      </w:r>
    </w:p>
    <w:p>
      <w:pPr>
        <w:adjustRightInd w:val="0"/>
        <w:snapToGrid w:val="0"/>
        <w:spacing w:line="360" w:lineRule="auto"/>
        <w:ind w:firstLine="480" w:firstLineChars="200"/>
        <w:rPr>
          <w:rFonts w:ascii="宋体" w:hAnsi="宋体"/>
          <w:kern w:val="0"/>
          <w:sz w:val="24"/>
          <w:highlight w:val="none"/>
        </w:rPr>
      </w:pPr>
      <w:bookmarkStart w:id="10" w:name="_Toc2535"/>
      <w:r>
        <w:rPr>
          <w:rFonts w:hint="eastAsia" w:ascii="宋体" w:hAnsi="宋体"/>
          <w:kern w:val="0"/>
          <w:sz w:val="24"/>
          <w:highlight w:val="none"/>
        </w:rPr>
        <w:t>3.4  与招标人存在利害关系可能影响招标公正性的单位，不得参加投标。单位负责人为同一人或者存在控股、管理关系的不同单位（即关联企业），不得参加同一标段投标或者未划分标段的同一招标项目投标。</w:t>
      </w:r>
    </w:p>
    <w:p>
      <w:pPr>
        <w:adjustRightInd w:val="0"/>
        <w:snapToGrid w:val="0"/>
        <w:spacing w:line="360" w:lineRule="auto"/>
        <w:ind w:firstLine="480" w:firstLineChars="200"/>
        <w:rPr>
          <w:rFonts w:ascii="宋体" w:hAnsi="宋体"/>
          <w:kern w:val="0"/>
          <w:sz w:val="24"/>
          <w:highlight w:val="none"/>
        </w:rPr>
      </w:pPr>
      <w:r>
        <w:rPr>
          <w:rFonts w:hint="eastAsia" w:ascii="宋体" w:hAnsi="宋体"/>
          <w:kern w:val="0"/>
          <w:sz w:val="24"/>
          <w:highlight w:val="none"/>
        </w:rPr>
        <w:t>3.5 在“信用中国”网站（</w:t>
      </w:r>
      <w:r>
        <w:rPr>
          <w:rFonts w:hint="eastAsia" w:ascii="宋体" w:hAnsi="宋体"/>
          <w:kern w:val="0"/>
          <w:sz w:val="24"/>
          <w:highlight w:val="none"/>
        </w:rPr>
        <w:fldChar w:fldCharType="begin"/>
      </w:r>
      <w:r>
        <w:rPr>
          <w:rFonts w:hint="eastAsia" w:ascii="宋体" w:hAnsi="宋体"/>
          <w:kern w:val="0"/>
          <w:sz w:val="24"/>
          <w:highlight w:val="none"/>
        </w:rPr>
        <w:instrText xml:space="preserve"> HYPERLINK "http://www.creditchina.gov.cn/" \h </w:instrText>
      </w:r>
      <w:r>
        <w:rPr>
          <w:rFonts w:hint="eastAsia" w:ascii="宋体" w:hAnsi="宋体"/>
          <w:kern w:val="0"/>
          <w:sz w:val="24"/>
          <w:highlight w:val="none"/>
        </w:rPr>
        <w:fldChar w:fldCharType="separate"/>
      </w:r>
      <w:r>
        <w:rPr>
          <w:rFonts w:hint="eastAsia" w:ascii="宋体" w:hAnsi="宋体"/>
          <w:kern w:val="0"/>
          <w:sz w:val="24"/>
          <w:highlight w:val="none"/>
        </w:rPr>
        <w:t>http://www.creditchina.gov.cn/</w:t>
      </w:r>
      <w:r>
        <w:rPr>
          <w:rFonts w:hint="eastAsia" w:ascii="宋体" w:hAnsi="宋体"/>
          <w:kern w:val="0"/>
          <w:sz w:val="24"/>
          <w:highlight w:val="none"/>
        </w:rPr>
        <w:fldChar w:fldCharType="end"/>
      </w:r>
      <w:r>
        <w:rPr>
          <w:rFonts w:hint="eastAsia" w:ascii="宋体" w:hAnsi="宋体"/>
          <w:kern w:val="0"/>
          <w:sz w:val="24"/>
          <w:highlight w:val="none"/>
        </w:rPr>
        <w:t xml:space="preserve">）中被列入失信被执行人名单的投标人，不得参加投标。 </w:t>
      </w:r>
    </w:p>
    <w:p>
      <w:pPr>
        <w:adjustRightInd w:val="0"/>
        <w:snapToGrid w:val="0"/>
        <w:spacing w:line="360" w:lineRule="auto"/>
        <w:ind w:firstLine="480" w:firstLineChars="200"/>
        <w:rPr>
          <w:rFonts w:ascii="宋体" w:hAnsi="宋体"/>
          <w:kern w:val="0"/>
          <w:sz w:val="24"/>
          <w:highlight w:val="none"/>
        </w:rPr>
      </w:pPr>
      <w:r>
        <w:rPr>
          <w:rFonts w:hint="eastAsia" w:ascii="宋体" w:hAnsi="宋体"/>
          <w:kern w:val="0"/>
          <w:sz w:val="24"/>
          <w:highlight w:val="none"/>
        </w:rPr>
        <w:t>3.6 在国家企业信用信息公示系统</w:t>
      </w:r>
      <w:r>
        <w:rPr>
          <w:rFonts w:hint="eastAsia" w:ascii="宋体" w:hAnsi="宋体"/>
          <w:kern w:val="0"/>
          <w:sz w:val="24"/>
          <w:highlight w:val="none"/>
        </w:rPr>
        <w:fldChar w:fldCharType="begin"/>
      </w:r>
      <w:r>
        <w:rPr>
          <w:rFonts w:hint="eastAsia" w:ascii="宋体" w:hAnsi="宋体"/>
          <w:kern w:val="0"/>
          <w:sz w:val="24"/>
          <w:highlight w:val="none"/>
        </w:rPr>
        <w:instrText xml:space="preserve"> HYPERLINK "http://www.gsxt.gov.cn/" \h </w:instrText>
      </w:r>
      <w:r>
        <w:rPr>
          <w:rFonts w:hint="eastAsia" w:ascii="宋体" w:hAnsi="宋体"/>
          <w:kern w:val="0"/>
          <w:sz w:val="24"/>
          <w:highlight w:val="none"/>
        </w:rPr>
        <w:fldChar w:fldCharType="separate"/>
      </w:r>
      <w:r>
        <w:rPr>
          <w:rFonts w:hint="eastAsia" w:ascii="宋体" w:hAnsi="宋体"/>
          <w:kern w:val="0"/>
          <w:sz w:val="24"/>
          <w:highlight w:val="none"/>
        </w:rPr>
        <w:t>（http://www.gsxt.gov.cn/</w:t>
      </w:r>
      <w:r>
        <w:rPr>
          <w:rFonts w:hint="eastAsia" w:ascii="宋体" w:hAnsi="宋体"/>
          <w:kern w:val="0"/>
          <w:sz w:val="24"/>
          <w:highlight w:val="none"/>
        </w:rPr>
        <w:fldChar w:fldCharType="end"/>
      </w:r>
      <w:r>
        <w:rPr>
          <w:rFonts w:hint="eastAsia" w:ascii="宋体" w:hAnsi="宋体"/>
          <w:kern w:val="0"/>
          <w:sz w:val="24"/>
          <w:highlight w:val="none"/>
        </w:rPr>
        <w:t xml:space="preserve">）中被列入严重违法失信企业名单的投标人不得参加投标。 </w:t>
      </w:r>
    </w:p>
    <w:p>
      <w:pPr>
        <w:adjustRightInd w:val="0"/>
        <w:snapToGrid w:val="0"/>
        <w:spacing w:line="360" w:lineRule="auto"/>
        <w:ind w:firstLine="480" w:firstLineChars="200"/>
        <w:rPr>
          <w:rFonts w:ascii="宋体" w:hAnsi="宋体"/>
          <w:kern w:val="0"/>
          <w:sz w:val="24"/>
          <w:highlight w:val="none"/>
        </w:rPr>
      </w:pPr>
      <w:r>
        <w:rPr>
          <w:rFonts w:hint="eastAsia" w:ascii="宋体" w:hAnsi="宋体"/>
          <w:kern w:val="0"/>
          <w:sz w:val="24"/>
          <w:highlight w:val="none"/>
        </w:rPr>
        <w:t>3.7  为满足第3.4款的规定，可能出现该子类别的关联企业成员不能全部获得第二信封（报价文件）开标资格的情况。</w:t>
      </w:r>
    </w:p>
    <w:p>
      <w:pPr>
        <w:pStyle w:val="3"/>
        <w:keepLines w:val="0"/>
        <w:numPr>
          <w:ilvl w:val="0"/>
          <w:numId w:val="1"/>
        </w:numPr>
        <w:adjustRightInd w:val="0"/>
        <w:snapToGrid w:val="0"/>
        <w:spacing w:before="240" w:after="240" w:line="240" w:lineRule="auto"/>
        <w:ind w:left="0" w:firstLine="600" w:firstLineChars="200"/>
        <w:jc w:val="left"/>
        <w:rPr>
          <w:rFonts w:ascii="Times New Roman" w:hAnsi="Times New Roman" w:eastAsia="黑体"/>
          <w:b w:val="0"/>
          <w:bCs w:val="0"/>
          <w:kern w:val="44"/>
          <w:sz w:val="30"/>
          <w:szCs w:val="24"/>
          <w:highlight w:val="none"/>
        </w:rPr>
      </w:pPr>
      <w:bookmarkStart w:id="11" w:name="_Toc7147"/>
      <w:r>
        <w:rPr>
          <w:rFonts w:hint="eastAsia" w:ascii="Times New Roman" w:hAnsi="Times New Roman" w:eastAsia="黑体"/>
          <w:b w:val="0"/>
          <w:bCs w:val="0"/>
          <w:kern w:val="44"/>
          <w:sz w:val="30"/>
          <w:szCs w:val="24"/>
          <w:highlight w:val="none"/>
        </w:rPr>
        <w:t>招标文件的获取</w:t>
      </w:r>
      <w:bookmarkEnd w:id="9"/>
      <w:bookmarkEnd w:id="10"/>
      <w:bookmarkEnd w:id="11"/>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4.1  凡有意参加投标者，请于</w:t>
      </w:r>
      <w:r>
        <w:rPr>
          <w:rFonts w:hint="eastAsia" w:ascii="宋体" w:hAnsi="宋体"/>
          <w:sz w:val="24"/>
          <w:highlight w:val="none"/>
          <w:u w:val="single"/>
        </w:rPr>
        <w:t>2022</w:t>
      </w:r>
      <w:r>
        <w:rPr>
          <w:rFonts w:ascii="宋体" w:hAnsi="宋体"/>
          <w:sz w:val="24"/>
          <w:highlight w:val="none"/>
        </w:rPr>
        <w:t>年</w:t>
      </w:r>
      <w:r>
        <w:rPr>
          <w:rFonts w:hint="eastAsia" w:ascii="宋体" w:hAnsi="宋体"/>
          <w:sz w:val="24"/>
          <w:highlight w:val="none"/>
          <w:u w:val="single"/>
        </w:rPr>
        <w:t>06</w:t>
      </w:r>
      <w:r>
        <w:rPr>
          <w:rFonts w:ascii="宋体" w:hAnsi="宋体"/>
          <w:sz w:val="24"/>
          <w:highlight w:val="none"/>
        </w:rPr>
        <w:t>月</w:t>
      </w:r>
      <w:r>
        <w:rPr>
          <w:rFonts w:hint="eastAsia" w:ascii="宋体" w:hAnsi="宋体"/>
          <w:sz w:val="24"/>
          <w:highlight w:val="none"/>
          <w:u w:val="single"/>
          <w:lang w:val="en-US" w:eastAsia="zh-CN"/>
        </w:rPr>
        <w:t>24</w:t>
      </w:r>
      <w:r>
        <w:rPr>
          <w:rFonts w:ascii="宋体" w:hAnsi="宋体"/>
          <w:sz w:val="24"/>
          <w:highlight w:val="none"/>
        </w:rPr>
        <w:t>日</w:t>
      </w:r>
      <w:r>
        <w:rPr>
          <w:rFonts w:hint="eastAsia" w:ascii="宋体" w:hAnsi="宋体"/>
          <w:sz w:val="24"/>
          <w:highlight w:val="none"/>
          <w:u w:val="single"/>
        </w:rPr>
        <w:t>0</w:t>
      </w:r>
      <w:r>
        <w:rPr>
          <w:rFonts w:hint="eastAsia" w:ascii="宋体" w:hAnsi="宋体"/>
          <w:sz w:val="24"/>
          <w:highlight w:val="none"/>
        </w:rPr>
        <w:t>时</w:t>
      </w:r>
      <w:r>
        <w:rPr>
          <w:rFonts w:hint="eastAsia" w:ascii="宋体" w:hAnsi="宋体"/>
          <w:sz w:val="24"/>
          <w:highlight w:val="none"/>
          <w:u w:val="single"/>
        </w:rPr>
        <w:t>0</w:t>
      </w:r>
      <w:r>
        <w:rPr>
          <w:rFonts w:hint="eastAsia" w:ascii="宋体" w:hAnsi="宋体"/>
          <w:sz w:val="24"/>
          <w:highlight w:val="none"/>
        </w:rPr>
        <w:t>分</w:t>
      </w:r>
      <w:r>
        <w:rPr>
          <w:rFonts w:ascii="宋体" w:hAnsi="宋体"/>
          <w:sz w:val="24"/>
          <w:highlight w:val="none"/>
        </w:rPr>
        <w:t>至</w:t>
      </w:r>
      <w:r>
        <w:rPr>
          <w:rFonts w:hint="eastAsia" w:ascii="宋体" w:hAnsi="宋体"/>
          <w:sz w:val="24"/>
          <w:highlight w:val="none"/>
          <w:u w:val="single"/>
        </w:rPr>
        <w:t>2022</w:t>
      </w:r>
      <w:r>
        <w:rPr>
          <w:rFonts w:ascii="宋体" w:hAnsi="宋体"/>
          <w:sz w:val="24"/>
          <w:highlight w:val="none"/>
        </w:rPr>
        <w:t>年</w:t>
      </w:r>
      <w:r>
        <w:rPr>
          <w:rFonts w:hint="eastAsia" w:ascii="宋体" w:hAnsi="宋体"/>
          <w:sz w:val="24"/>
          <w:highlight w:val="none"/>
          <w:u w:val="single"/>
        </w:rPr>
        <w:t>0</w:t>
      </w:r>
      <w:r>
        <w:rPr>
          <w:rFonts w:hint="eastAsia" w:ascii="宋体" w:hAnsi="宋体"/>
          <w:sz w:val="24"/>
          <w:highlight w:val="none"/>
          <w:u w:val="single"/>
          <w:lang w:val="en-US" w:eastAsia="zh-CN"/>
        </w:rPr>
        <w:t>7</w:t>
      </w:r>
      <w:r>
        <w:rPr>
          <w:rFonts w:ascii="宋体" w:hAnsi="宋体"/>
          <w:sz w:val="24"/>
          <w:highlight w:val="none"/>
        </w:rPr>
        <w:t>月</w:t>
      </w:r>
      <w:r>
        <w:rPr>
          <w:rFonts w:hint="eastAsia" w:ascii="宋体" w:hAnsi="宋体"/>
          <w:sz w:val="24"/>
          <w:highlight w:val="none"/>
          <w:u w:val="single"/>
          <w:lang w:val="en-US" w:eastAsia="zh-CN"/>
        </w:rPr>
        <w:t>03</w:t>
      </w:r>
      <w:r>
        <w:rPr>
          <w:rFonts w:ascii="宋体" w:hAnsi="宋体"/>
          <w:sz w:val="24"/>
          <w:highlight w:val="none"/>
        </w:rPr>
        <w:t>日</w:t>
      </w:r>
      <w:r>
        <w:rPr>
          <w:rFonts w:hint="eastAsia" w:ascii="宋体" w:hAnsi="宋体"/>
          <w:sz w:val="24"/>
          <w:highlight w:val="none"/>
          <w:u w:val="single"/>
        </w:rPr>
        <w:t>23</w:t>
      </w:r>
      <w:r>
        <w:rPr>
          <w:rFonts w:hint="eastAsia" w:ascii="宋体" w:hAnsi="宋体"/>
          <w:sz w:val="24"/>
          <w:highlight w:val="none"/>
        </w:rPr>
        <w:t>时</w:t>
      </w:r>
      <w:r>
        <w:rPr>
          <w:rFonts w:hint="eastAsia" w:ascii="宋体" w:hAnsi="宋体"/>
          <w:sz w:val="24"/>
          <w:highlight w:val="none"/>
          <w:u w:val="single"/>
        </w:rPr>
        <w:t>30</w:t>
      </w:r>
      <w:r>
        <w:rPr>
          <w:rFonts w:hint="eastAsia" w:ascii="宋体" w:hAnsi="宋体"/>
          <w:sz w:val="24"/>
          <w:highlight w:val="none"/>
        </w:rPr>
        <w:t>分</w:t>
      </w:r>
      <w:r>
        <w:rPr>
          <w:rFonts w:ascii="宋体" w:hAnsi="宋体"/>
          <w:sz w:val="24"/>
          <w:highlight w:val="none"/>
        </w:rPr>
        <w:t>（北京时间，下同），</w:t>
      </w:r>
      <w:r>
        <w:rPr>
          <w:rFonts w:hint="eastAsia" w:ascii="宋体" w:hAnsi="宋体"/>
          <w:sz w:val="24"/>
          <w:highlight w:val="none"/>
        </w:rPr>
        <w:t xml:space="preserve">通过互联网使用 CA 数字证书登录江西省公共资源交易网（http://www.jxsggzy.cn/web/），在交易系统中获取招标文件及相关资料。 </w:t>
      </w:r>
    </w:p>
    <w:p>
      <w:pPr>
        <w:pStyle w:val="3"/>
        <w:keepLines w:val="0"/>
        <w:numPr>
          <w:ilvl w:val="0"/>
          <w:numId w:val="1"/>
        </w:numPr>
        <w:adjustRightInd w:val="0"/>
        <w:snapToGrid w:val="0"/>
        <w:spacing w:before="240" w:after="240" w:line="240" w:lineRule="auto"/>
        <w:ind w:left="0" w:firstLine="600" w:firstLineChars="200"/>
        <w:jc w:val="left"/>
        <w:rPr>
          <w:rFonts w:ascii="Times New Roman" w:hAnsi="Times New Roman" w:eastAsia="黑体"/>
          <w:b w:val="0"/>
          <w:bCs w:val="0"/>
          <w:kern w:val="44"/>
          <w:sz w:val="30"/>
          <w:szCs w:val="24"/>
          <w:highlight w:val="none"/>
        </w:rPr>
      </w:pPr>
      <w:bookmarkStart w:id="12" w:name="_Toc10900"/>
      <w:bookmarkStart w:id="13" w:name="_Toc234382574"/>
      <w:bookmarkStart w:id="14" w:name="_Toc29022"/>
      <w:r>
        <w:rPr>
          <w:rFonts w:hint="eastAsia" w:ascii="Times New Roman" w:hAnsi="Times New Roman" w:eastAsia="黑体"/>
          <w:b w:val="0"/>
          <w:bCs w:val="0"/>
          <w:kern w:val="44"/>
          <w:sz w:val="30"/>
          <w:szCs w:val="24"/>
          <w:highlight w:val="none"/>
        </w:rPr>
        <w:t>投标文件的递交</w:t>
      </w:r>
      <w:bookmarkEnd w:id="12"/>
      <w:bookmarkEnd w:id="13"/>
      <w:bookmarkEnd w:id="14"/>
    </w:p>
    <w:p>
      <w:pPr>
        <w:adjustRightInd w:val="0"/>
        <w:snapToGrid w:val="0"/>
        <w:spacing w:line="360" w:lineRule="auto"/>
        <w:ind w:firstLine="480" w:firstLineChars="200"/>
        <w:rPr>
          <w:rFonts w:ascii="宋体" w:hAnsi="宋体"/>
          <w:sz w:val="24"/>
          <w:highlight w:val="none"/>
          <w:vertAlign w:val="superscript"/>
        </w:rPr>
      </w:pPr>
      <w:r>
        <w:rPr>
          <w:rFonts w:ascii="宋体" w:hAnsi="宋体"/>
          <w:sz w:val="24"/>
          <w:highlight w:val="none"/>
        </w:rPr>
        <w:t xml:space="preserve">5.1  </w:t>
      </w:r>
      <w:r>
        <w:rPr>
          <w:rFonts w:hint="eastAsia" w:ascii="宋体" w:hAnsi="宋体"/>
          <w:sz w:val="24"/>
          <w:highlight w:val="none"/>
        </w:rPr>
        <w:t>招标人将</w:t>
      </w:r>
      <w:r>
        <w:rPr>
          <w:rFonts w:hint="eastAsia" w:ascii="宋体" w:hAnsi="宋体"/>
          <w:sz w:val="24"/>
          <w:highlight w:val="none"/>
          <w:u w:val="single"/>
        </w:rPr>
        <w:t>不组织</w:t>
      </w:r>
      <w:r>
        <w:rPr>
          <w:rFonts w:hint="eastAsia" w:ascii="宋体" w:hAnsi="宋体"/>
          <w:sz w:val="24"/>
          <w:highlight w:val="none"/>
        </w:rPr>
        <w:t>进行工程现场踏勘和召开投标预备会。</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 xml:space="preserve">5.2 </w:t>
      </w:r>
      <w:r>
        <w:rPr>
          <w:rFonts w:ascii="宋体" w:hAnsi="宋体"/>
          <w:sz w:val="24"/>
          <w:highlight w:val="none"/>
        </w:rPr>
        <w:t>投标文件应为加密的、交易系统可识别格式的投标文件。投标文件递交的截止时间（投标截止时间，下同）为</w:t>
      </w:r>
      <w:r>
        <w:rPr>
          <w:rFonts w:ascii="宋体" w:hAnsi="宋体"/>
          <w:sz w:val="24"/>
          <w:highlight w:val="none"/>
        </w:rPr>
        <w:t>202</w:t>
      </w:r>
      <w:r>
        <w:rPr>
          <w:rFonts w:hint="eastAsia" w:ascii="宋体" w:hAnsi="宋体"/>
          <w:sz w:val="24"/>
          <w:highlight w:val="none"/>
        </w:rPr>
        <w:t>2</w:t>
      </w:r>
      <w:r>
        <w:rPr>
          <w:rFonts w:ascii="宋体" w:hAnsi="宋体"/>
          <w:sz w:val="24"/>
          <w:highlight w:val="none"/>
        </w:rPr>
        <w:t>年</w:t>
      </w:r>
      <w:r>
        <w:rPr>
          <w:rFonts w:hint="eastAsia" w:ascii="宋体" w:hAnsi="宋体"/>
          <w:sz w:val="24"/>
          <w:highlight w:val="none"/>
        </w:rPr>
        <w:t>07</w:t>
      </w:r>
      <w:r>
        <w:rPr>
          <w:rFonts w:ascii="宋体" w:hAnsi="宋体"/>
          <w:sz w:val="24"/>
          <w:highlight w:val="none"/>
        </w:rPr>
        <w:t>月</w:t>
      </w:r>
      <w:r>
        <w:rPr>
          <w:rFonts w:hint="eastAsia" w:ascii="宋体" w:hAnsi="宋体"/>
          <w:sz w:val="24"/>
          <w:highlight w:val="none"/>
          <w:lang w:val="en-US" w:eastAsia="zh-CN"/>
        </w:rPr>
        <w:t>28</w:t>
      </w:r>
      <w:r>
        <w:rPr>
          <w:rFonts w:ascii="宋体" w:hAnsi="宋体"/>
          <w:sz w:val="24"/>
          <w:highlight w:val="none"/>
        </w:rPr>
        <w:t>日</w:t>
      </w:r>
      <w:r>
        <w:rPr>
          <w:rFonts w:hint="eastAsia" w:ascii="宋体" w:hAnsi="宋体"/>
          <w:sz w:val="24"/>
          <w:highlight w:val="none"/>
          <w:lang w:val="en-US" w:eastAsia="zh-CN"/>
        </w:rPr>
        <w:t>09</w:t>
      </w:r>
      <w:r>
        <w:rPr>
          <w:rFonts w:ascii="宋体" w:hAnsi="宋体"/>
          <w:sz w:val="24"/>
          <w:highlight w:val="none"/>
        </w:rPr>
        <w:t>时</w:t>
      </w:r>
      <w:r>
        <w:rPr>
          <w:rFonts w:hint="eastAsia" w:ascii="宋体" w:hAnsi="宋体"/>
          <w:sz w:val="24"/>
          <w:highlight w:val="none"/>
          <w:lang w:val="en-US" w:eastAsia="zh-CN"/>
        </w:rPr>
        <w:t>3</w:t>
      </w:r>
      <w:r>
        <w:rPr>
          <w:rFonts w:hint="eastAsia" w:ascii="宋体" w:hAnsi="宋体"/>
          <w:sz w:val="24"/>
          <w:highlight w:val="none"/>
        </w:rPr>
        <w:t>0</w:t>
      </w:r>
      <w:r>
        <w:rPr>
          <w:rFonts w:ascii="宋体" w:hAnsi="宋体"/>
          <w:sz w:val="24"/>
          <w:highlight w:val="none"/>
        </w:rPr>
        <w:t>分</w:t>
      </w:r>
      <w:r>
        <w:rPr>
          <w:rFonts w:ascii="宋体" w:hAnsi="宋体"/>
          <w:sz w:val="24"/>
          <w:highlight w:val="none"/>
        </w:rPr>
        <w:t>，</w:t>
      </w:r>
      <w:r>
        <w:rPr>
          <w:rFonts w:hint="eastAsia" w:ascii="宋体" w:hAnsi="宋体"/>
          <w:sz w:val="24"/>
          <w:highlight w:val="none"/>
        </w:rPr>
        <w:t xml:space="preserve">投标人应于投标截止时间前，通过互联网使用CA数字证书登录交易系统，将加密的投标文件上传，并保存上传成功后系统自动生成的电子签收凭证，投标文件到达交易系统的时间即为电子签收凭证时间。逾期未完成上传或未按时到达交易系统或未按规定加密或未采用交易系统可识别格式的投标文件，交易系统将予以拒收。 </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5.3本项目采用“不见面开标”系统开、评标，各投标企业的法定代表授权委托代理人无需到开标现场参与本项目开标活动。投标企业应在投标截止时间前进入江西省公共资源交易网-不见面开标大厅进行线上签到（具体详见投标人操作手册），否则无法进入后续的开标环节，因此引起的一切问题由投标企业自行承担。（投标人操作手册下载地址：http://spj.ganzhou.gov.cn/gzsxzsp/c114419/202110/aca46dd6764646dfad4aab3a8b4a3ad9.shtml）。</w:t>
      </w:r>
    </w:p>
    <w:p>
      <w:pPr>
        <w:pStyle w:val="3"/>
        <w:keepLines w:val="0"/>
        <w:numPr>
          <w:ilvl w:val="0"/>
          <w:numId w:val="1"/>
        </w:numPr>
        <w:adjustRightInd w:val="0"/>
        <w:snapToGrid w:val="0"/>
        <w:spacing w:before="240" w:after="240" w:line="240" w:lineRule="auto"/>
        <w:ind w:left="0" w:firstLine="600" w:firstLineChars="200"/>
        <w:jc w:val="left"/>
        <w:rPr>
          <w:rFonts w:ascii="Times New Roman" w:hAnsi="Times New Roman" w:eastAsia="黑体"/>
          <w:b w:val="0"/>
          <w:bCs w:val="0"/>
          <w:kern w:val="44"/>
          <w:sz w:val="30"/>
          <w:szCs w:val="24"/>
          <w:highlight w:val="none"/>
        </w:rPr>
      </w:pPr>
      <w:bookmarkStart w:id="15" w:name="_Toc9454"/>
      <w:bookmarkStart w:id="16" w:name="_Toc234382575"/>
      <w:bookmarkStart w:id="17" w:name="_Toc4751"/>
      <w:r>
        <w:rPr>
          <w:rFonts w:hint="eastAsia" w:ascii="Times New Roman" w:hAnsi="Times New Roman" w:eastAsia="黑体"/>
          <w:b w:val="0"/>
          <w:bCs w:val="0"/>
          <w:kern w:val="44"/>
          <w:sz w:val="30"/>
          <w:szCs w:val="24"/>
          <w:highlight w:val="none"/>
        </w:rPr>
        <w:t>发布公告的媒介</w:t>
      </w:r>
      <w:bookmarkEnd w:id="15"/>
      <w:bookmarkEnd w:id="16"/>
      <w:bookmarkEnd w:id="17"/>
    </w:p>
    <w:p>
      <w:pPr>
        <w:adjustRightInd w:val="0"/>
        <w:snapToGrid w:val="0"/>
        <w:ind w:firstLine="480" w:firstLineChars="200"/>
        <w:rPr>
          <w:rFonts w:ascii="宋体" w:hAnsi="宋体"/>
          <w:sz w:val="24"/>
          <w:highlight w:val="none"/>
        </w:rPr>
      </w:pPr>
      <w:r>
        <w:rPr>
          <w:rFonts w:hint="eastAsia" w:ascii="宋体" w:hAnsi="宋体"/>
          <w:sz w:val="24"/>
          <w:highlight w:val="none"/>
        </w:rPr>
        <w:t>本次招标公告同时在江西省公共资源交易网（http://www.jxsggzy.cn/web/）、江西省招标投标网(http://www.jxtb.org.cn)、赣州交通控股集团有限公司网站（http://www.gzjtkgjt.com）上发布，招标文件的关键内容在上述网站同步公开。</w:t>
      </w:r>
    </w:p>
    <w:p>
      <w:pPr>
        <w:pStyle w:val="3"/>
        <w:keepLines w:val="0"/>
        <w:adjustRightInd w:val="0"/>
        <w:snapToGrid w:val="0"/>
        <w:spacing w:before="240" w:after="240" w:line="240" w:lineRule="auto"/>
        <w:ind w:left="420" w:leftChars="200"/>
        <w:jc w:val="left"/>
        <w:rPr>
          <w:rFonts w:ascii="Times New Roman" w:hAnsi="Times New Roman" w:eastAsia="黑体"/>
          <w:kern w:val="44"/>
          <w:sz w:val="30"/>
          <w:szCs w:val="24"/>
          <w:highlight w:val="none"/>
        </w:rPr>
      </w:pPr>
      <w:bookmarkStart w:id="18" w:name="_Toc13106"/>
      <w:bookmarkStart w:id="19" w:name="_Toc11421"/>
      <w:r>
        <w:rPr>
          <w:rFonts w:hint="eastAsia" w:ascii="Times New Roman" w:hAnsi="Times New Roman" w:eastAsia="黑体"/>
          <w:kern w:val="44"/>
          <w:sz w:val="30"/>
          <w:szCs w:val="24"/>
          <w:highlight w:val="none"/>
        </w:rPr>
        <w:t>7.其他</w:t>
      </w:r>
      <w:bookmarkEnd w:id="18"/>
      <w:bookmarkEnd w:id="19"/>
    </w:p>
    <w:p>
      <w:pPr>
        <w:widowControl/>
        <w:adjustRightInd w:val="0"/>
        <w:snapToGrid w:val="0"/>
        <w:spacing w:line="360" w:lineRule="auto"/>
        <w:ind w:firstLine="480" w:firstLineChars="200"/>
        <w:rPr>
          <w:rFonts w:ascii="宋体" w:hAnsi="宋体" w:cs="宋体"/>
          <w:highlight w:val="none"/>
        </w:rPr>
      </w:pPr>
      <w:r>
        <w:rPr>
          <w:rFonts w:hint="eastAsia" w:ascii="宋体" w:hAnsi="宋体" w:cs="宋体"/>
          <w:sz w:val="24"/>
          <w:highlight w:val="none"/>
        </w:rPr>
        <w:t>投标人在本项目投标过程中遇到技术问题可直接与新点软件公司联系。新点软件公司咨询电话：400-998-0000。</w:t>
      </w:r>
    </w:p>
    <w:p>
      <w:pPr>
        <w:pStyle w:val="3"/>
        <w:keepLines w:val="0"/>
        <w:adjustRightInd w:val="0"/>
        <w:snapToGrid w:val="0"/>
        <w:spacing w:before="240" w:after="240" w:line="240" w:lineRule="auto"/>
        <w:ind w:left="420" w:leftChars="200"/>
        <w:jc w:val="left"/>
        <w:rPr>
          <w:rFonts w:ascii="Times New Roman" w:hAnsi="Times New Roman" w:eastAsia="黑体"/>
          <w:kern w:val="44"/>
          <w:sz w:val="30"/>
          <w:szCs w:val="24"/>
          <w:highlight w:val="none"/>
        </w:rPr>
      </w:pPr>
      <w:bookmarkStart w:id="20" w:name="_Toc13895"/>
      <w:r>
        <w:rPr>
          <w:rFonts w:hint="eastAsia" w:ascii="Times New Roman" w:hAnsi="Times New Roman" w:eastAsia="黑体"/>
          <w:kern w:val="44"/>
          <w:sz w:val="30"/>
          <w:szCs w:val="24"/>
          <w:highlight w:val="none"/>
        </w:rPr>
        <w:t>8.</w:t>
      </w:r>
      <w:bookmarkStart w:id="21" w:name="_Toc28587"/>
      <w:bookmarkStart w:id="22" w:name="_Toc5596"/>
      <w:r>
        <w:rPr>
          <w:rFonts w:hint="eastAsia" w:ascii="Times New Roman" w:hAnsi="Times New Roman" w:eastAsia="黑体"/>
          <w:kern w:val="44"/>
          <w:sz w:val="30"/>
          <w:szCs w:val="24"/>
          <w:highlight w:val="none"/>
        </w:rPr>
        <w:t>联系方式</w:t>
      </w:r>
      <w:bookmarkEnd w:id="20"/>
      <w:bookmarkEnd w:id="21"/>
      <w:bookmarkEnd w:id="22"/>
    </w:p>
    <w:p>
      <w:pPr>
        <w:tabs>
          <w:tab w:val="left" w:pos="4536"/>
        </w:tabs>
        <w:adjustRightInd w:val="0"/>
        <w:snapToGrid w:val="0"/>
        <w:spacing w:line="360" w:lineRule="auto"/>
        <w:ind w:firstLine="480" w:firstLineChars="200"/>
        <w:rPr>
          <w:rFonts w:ascii="宋体" w:hAnsi="宋体"/>
          <w:spacing w:val="-20"/>
          <w:sz w:val="24"/>
          <w:highlight w:val="none"/>
        </w:rPr>
      </w:pPr>
      <w:r>
        <w:rPr>
          <w:rFonts w:ascii="宋体" w:hAnsi="宋体"/>
          <w:sz w:val="24"/>
          <w:highlight w:val="none"/>
        </w:rPr>
        <w:t>招标人：</w:t>
      </w:r>
      <w:r>
        <w:rPr>
          <w:rFonts w:hint="eastAsia" w:ascii="宋体" w:hAnsi="宋体"/>
          <w:sz w:val="24"/>
          <w:highlight w:val="none"/>
        </w:rPr>
        <w:t>赣州交通控股集团有限公司</w:t>
      </w:r>
    </w:p>
    <w:p>
      <w:pPr>
        <w:tabs>
          <w:tab w:val="left" w:pos="4536"/>
        </w:tabs>
        <w:adjustRightInd w:val="0"/>
        <w:snapToGrid w:val="0"/>
        <w:spacing w:line="360" w:lineRule="auto"/>
        <w:ind w:firstLine="480" w:firstLineChars="200"/>
        <w:rPr>
          <w:rFonts w:ascii="宋体" w:hAnsi="宋体"/>
          <w:sz w:val="24"/>
          <w:highlight w:val="none"/>
        </w:rPr>
      </w:pPr>
      <w:r>
        <w:rPr>
          <w:rFonts w:ascii="宋体" w:hAnsi="宋体"/>
          <w:sz w:val="24"/>
          <w:highlight w:val="none"/>
        </w:rPr>
        <w:t>地  址：</w:t>
      </w:r>
      <w:r>
        <w:rPr>
          <w:rFonts w:hint="eastAsia" w:ascii="宋体" w:hAnsi="宋体"/>
          <w:sz w:val="24"/>
          <w:highlight w:val="none"/>
        </w:rPr>
        <w:t>江西省赣州市章贡区沙河镇赣州绕城高速赣州东出口</w:t>
      </w:r>
    </w:p>
    <w:p>
      <w:pPr>
        <w:tabs>
          <w:tab w:val="left" w:pos="4536"/>
        </w:tabs>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邮  编</w:t>
      </w:r>
      <w:r>
        <w:rPr>
          <w:rFonts w:ascii="宋体" w:hAnsi="宋体"/>
          <w:sz w:val="24"/>
          <w:highlight w:val="none"/>
        </w:rPr>
        <w:t>：</w:t>
      </w:r>
      <w:r>
        <w:rPr>
          <w:rFonts w:hint="eastAsia" w:ascii="宋体" w:hAnsi="宋体"/>
          <w:sz w:val="24"/>
          <w:highlight w:val="none"/>
        </w:rPr>
        <w:t>341000</w:t>
      </w:r>
    </w:p>
    <w:p>
      <w:pPr>
        <w:tabs>
          <w:tab w:val="left" w:pos="4536"/>
        </w:tabs>
        <w:adjustRightInd w:val="0"/>
        <w:snapToGrid w:val="0"/>
        <w:spacing w:line="360" w:lineRule="auto"/>
        <w:ind w:firstLine="480" w:firstLineChars="200"/>
        <w:rPr>
          <w:rFonts w:ascii="宋体" w:hAnsi="宋体"/>
          <w:sz w:val="24"/>
          <w:highlight w:val="none"/>
        </w:rPr>
      </w:pPr>
      <w:r>
        <w:rPr>
          <w:rFonts w:ascii="宋体" w:hAnsi="宋体"/>
          <w:sz w:val="24"/>
          <w:highlight w:val="none"/>
        </w:rPr>
        <w:t>联系人：</w:t>
      </w:r>
      <w:r>
        <w:rPr>
          <w:rFonts w:hint="eastAsia" w:ascii="宋体" w:hAnsi="宋体"/>
          <w:sz w:val="24"/>
          <w:highlight w:val="none"/>
        </w:rPr>
        <w:t xml:space="preserve">温女士 </w:t>
      </w:r>
    </w:p>
    <w:p>
      <w:pPr>
        <w:tabs>
          <w:tab w:val="left" w:pos="4536"/>
        </w:tabs>
        <w:adjustRightInd w:val="0"/>
        <w:snapToGrid w:val="0"/>
        <w:spacing w:line="360" w:lineRule="auto"/>
        <w:ind w:firstLine="480" w:firstLineChars="200"/>
        <w:rPr>
          <w:rFonts w:ascii="宋体" w:hAnsi="宋体"/>
          <w:sz w:val="24"/>
          <w:highlight w:val="none"/>
        </w:rPr>
      </w:pPr>
      <w:r>
        <w:rPr>
          <w:rFonts w:ascii="宋体" w:hAnsi="宋体"/>
          <w:sz w:val="24"/>
          <w:highlight w:val="none"/>
        </w:rPr>
        <w:t>电  话：</w:t>
      </w:r>
      <w:r>
        <w:rPr>
          <w:rFonts w:hint="eastAsia" w:ascii="宋体" w:hAnsi="宋体"/>
          <w:sz w:val="24"/>
          <w:highlight w:val="none"/>
        </w:rPr>
        <w:t>0797-8289692</w:t>
      </w:r>
    </w:p>
    <w:p>
      <w:pPr>
        <w:tabs>
          <w:tab w:val="left" w:pos="4536"/>
        </w:tabs>
        <w:adjustRightInd w:val="0"/>
        <w:snapToGrid w:val="0"/>
        <w:spacing w:line="360" w:lineRule="auto"/>
        <w:ind w:firstLine="480" w:firstLineChars="200"/>
        <w:rPr>
          <w:rFonts w:ascii="宋体" w:hAnsi="宋体"/>
          <w:sz w:val="24"/>
          <w:highlight w:val="none"/>
        </w:rPr>
      </w:pPr>
      <w:r>
        <w:rPr>
          <w:rFonts w:ascii="宋体" w:hAnsi="宋体"/>
          <w:sz w:val="24"/>
          <w:highlight w:val="none"/>
        </w:rPr>
        <w:t>传  真：</w:t>
      </w:r>
      <w:r>
        <w:rPr>
          <w:rFonts w:hint="eastAsia" w:ascii="宋体" w:hAnsi="宋体"/>
          <w:sz w:val="24"/>
          <w:highlight w:val="none"/>
        </w:rPr>
        <w:t>0797-8289692</w:t>
      </w:r>
      <w:bookmarkStart w:id="40" w:name="_GoBack"/>
      <w:bookmarkEnd w:id="40"/>
    </w:p>
    <w:p>
      <w:pPr>
        <w:tabs>
          <w:tab w:val="left" w:pos="4536"/>
        </w:tabs>
        <w:adjustRightInd w:val="0"/>
        <w:snapToGrid w:val="0"/>
        <w:spacing w:line="360" w:lineRule="auto"/>
        <w:ind w:firstLine="480" w:firstLineChars="200"/>
        <w:rPr>
          <w:rFonts w:ascii="宋体" w:hAnsi="宋体"/>
          <w:sz w:val="24"/>
          <w:highlight w:val="none"/>
        </w:rPr>
      </w:pPr>
    </w:p>
    <w:p>
      <w:pPr>
        <w:tabs>
          <w:tab w:val="left" w:pos="4536"/>
        </w:tabs>
        <w:adjustRightInd w:val="0"/>
        <w:snapToGrid w:val="0"/>
        <w:spacing w:line="360" w:lineRule="auto"/>
        <w:ind w:firstLine="480" w:firstLineChars="200"/>
        <w:rPr>
          <w:rFonts w:hint="eastAsia" w:ascii="宋体" w:hAnsi="宋体" w:eastAsia="宋体"/>
          <w:sz w:val="24"/>
          <w:highlight w:val="none"/>
          <w:lang w:eastAsia="zh-CN"/>
        </w:rPr>
      </w:pPr>
      <w:r>
        <w:rPr>
          <w:rFonts w:ascii="宋体" w:hAnsi="宋体"/>
          <w:sz w:val="24"/>
          <w:highlight w:val="none"/>
        </w:rPr>
        <w:t>招标代理机构：江西省赣南公路勘察设计院</w:t>
      </w:r>
      <w:r>
        <w:rPr>
          <w:rFonts w:hint="eastAsia" w:ascii="宋体" w:hAnsi="宋体"/>
          <w:sz w:val="24"/>
          <w:highlight w:val="none"/>
          <w:lang w:eastAsia="zh-CN"/>
        </w:rPr>
        <w:t>有限公司</w:t>
      </w:r>
    </w:p>
    <w:p>
      <w:pPr>
        <w:tabs>
          <w:tab w:val="left" w:pos="4536"/>
        </w:tabs>
        <w:adjustRightInd w:val="0"/>
        <w:snapToGrid w:val="0"/>
        <w:spacing w:line="360" w:lineRule="auto"/>
        <w:ind w:firstLine="480" w:firstLineChars="200"/>
        <w:rPr>
          <w:rFonts w:ascii="宋体" w:hAnsi="宋体"/>
          <w:sz w:val="24"/>
          <w:highlight w:val="none"/>
        </w:rPr>
      </w:pPr>
      <w:r>
        <w:rPr>
          <w:rFonts w:ascii="宋体" w:hAnsi="宋体"/>
          <w:sz w:val="24"/>
          <w:highlight w:val="none"/>
        </w:rPr>
        <w:t>地     址：赣州市章江新区赞贤路36号</w:t>
      </w:r>
    </w:p>
    <w:p>
      <w:pPr>
        <w:tabs>
          <w:tab w:val="left" w:pos="4536"/>
        </w:tabs>
        <w:adjustRightInd w:val="0"/>
        <w:snapToGrid w:val="0"/>
        <w:spacing w:line="360" w:lineRule="auto"/>
        <w:ind w:firstLine="480" w:firstLineChars="200"/>
        <w:rPr>
          <w:rFonts w:ascii="宋体" w:hAnsi="宋体"/>
          <w:sz w:val="24"/>
          <w:highlight w:val="none"/>
        </w:rPr>
      </w:pPr>
      <w:r>
        <w:rPr>
          <w:rFonts w:ascii="宋体" w:hAnsi="宋体"/>
          <w:sz w:val="24"/>
          <w:highlight w:val="none"/>
        </w:rPr>
        <w:t>联  系 人：</w:t>
      </w:r>
      <w:r>
        <w:rPr>
          <w:rFonts w:hint="eastAsia" w:ascii="宋体" w:hAnsi="宋体"/>
          <w:sz w:val="24"/>
          <w:highlight w:val="none"/>
        </w:rPr>
        <w:t>赖丙娣</w:t>
      </w:r>
    </w:p>
    <w:p>
      <w:pPr>
        <w:tabs>
          <w:tab w:val="left" w:pos="4536"/>
        </w:tabs>
        <w:adjustRightInd w:val="0"/>
        <w:snapToGrid w:val="0"/>
        <w:spacing w:line="360" w:lineRule="auto"/>
        <w:ind w:firstLine="480" w:firstLineChars="200"/>
        <w:rPr>
          <w:rFonts w:ascii="宋体" w:hAnsi="宋体"/>
          <w:sz w:val="24"/>
          <w:highlight w:val="none"/>
        </w:rPr>
      </w:pPr>
      <w:r>
        <w:rPr>
          <w:rFonts w:ascii="宋体" w:hAnsi="宋体"/>
          <w:sz w:val="24"/>
          <w:highlight w:val="none"/>
        </w:rPr>
        <w:t>电    话： 0797-8088235</w:t>
      </w:r>
    </w:p>
    <w:p>
      <w:pPr>
        <w:tabs>
          <w:tab w:val="left" w:pos="4678"/>
        </w:tabs>
        <w:adjustRightInd w:val="0"/>
        <w:snapToGrid w:val="0"/>
        <w:spacing w:line="360" w:lineRule="auto"/>
        <w:ind w:firstLine="480" w:firstLineChars="200"/>
        <w:rPr>
          <w:rFonts w:ascii="宋体" w:hAnsi="宋体"/>
          <w:sz w:val="24"/>
          <w:highlight w:val="none"/>
        </w:rPr>
      </w:pPr>
      <w:r>
        <w:rPr>
          <w:rFonts w:ascii="宋体" w:hAnsi="宋体"/>
          <w:sz w:val="24"/>
          <w:highlight w:val="none"/>
        </w:rPr>
        <w:t>电子邮件：gnglkcsjy@163.com</w:t>
      </w:r>
    </w:p>
    <w:p>
      <w:pPr>
        <w:tabs>
          <w:tab w:val="left" w:pos="4678"/>
        </w:tabs>
        <w:adjustRightInd w:val="0"/>
        <w:snapToGrid w:val="0"/>
        <w:spacing w:line="360" w:lineRule="auto"/>
        <w:ind w:firstLine="480" w:firstLineChars="200"/>
        <w:rPr>
          <w:rFonts w:ascii="宋体" w:hAnsi="宋体"/>
          <w:sz w:val="24"/>
          <w:highlight w:val="none"/>
        </w:rPr>
      </w:pP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监 督 单 位： 赣州市交通运输局 、赣州交通控股集团有限公司风控审计部、赣州交通控股集团有限公司纪检监察室 </w:t>
      </w:r>
    </w:p>
    <w:p>
      <w:pPr>
        <w:tabs>
          <w:tab w:val="left" w:pos="4678"/>
        </w:tabs>
        <w:adjustRightInd w:val="0"/>
        <w:snapToGrid w:val="0"/>
        <w:spacing w:line="360" w:lineRule="auto"/>
        <w:ind w:firstLine="480" w:firstLineChars="200"/>
        <w:rPr>
          <w:rFonts w:ascii="宋体" w:hAnsi="宋体"/>
          <w:sz w:val="24"/>
          <w:highlight w:val="none"/>
        </w:rPr>
      </w:pPr>
      <w:r>
        <w:rPr>
          <w:rFonts w:hint="eastAsia" w:ascii="宋体" w:hAnsi="宋体" w:cs="宋体"/>
          <w:sz w:val="24"/>
          <w:highlight w:val="none"/>
        </w:rPr>
        <w:t>监 督 电 话： 0797-8996559、0797-8289879、0797-8282685</w:t>
      </w:r>
    </w:p>
    <w:p>
      <w:pPr>
        <w:tabs>
          <w:tab w:val="left" w:pos="4678"/>
        </w:tabs>
        <w:adjustRightInd w:val="0"/>
        <w:snapToGrid w:val="0"/>
        <w:spacing w:line="360" w:lineRule="auto"/>
        <w:ind w:firstLine="480" w:firstLineChars="200"/>
        <w:rPr>
          <w:rFonts w:ascii="宋体" w:hAnsi="宋体"/>
          <w:sz w:val="24"/>
          <w:highlight w:val="none"/>
        </w:rPr>
      </w:pPr>
    </w:p>
    <w:p>
      <w:pPr>
        <w:tabs>
          <w:tab w:val="left" w:pos="4678"/>
        </w:tabs>
        <w:adjustRightInd w:val="0"/>
        <w:snapToGrid w:val="0"/>
        <w:spacing w:line="360" w:lineRule="auto"/>
        <w:ind w:firstLine="480" w:firstLineChars="200"/>
        <w:rPr>
          <w:rFonts w:ascii="宋体" w:hAnsi="宋体"/>
          <w:sz w:val="24"/>
          <w:highlight w:val="none"/>
          <w:u w:val="single"/>
        </w:rPr>
      </w:pPr>
    </w:p>
    <w:p>
      <w:pPr>
        <w:adjustRightInd w:val="0"/>
        <w:snapToGrid w:val="0"/>
        <w:spacing w:line="360" w:lineRule="auto"/>
        <w:rPr>
          <w:rFonts w:ascii="宋体" w:hAnsi="宋体"/>
          <w:sz w:val="24"/>
          <w:highlight w:val="none"/>
        </w:rPr>
      </w:pPr>
      <w:r>
        <w:rPr>
          <w:rFonts w:hint="eastAsia" w:ascii="宋体" w:hAnsi="宋体"/>
          <w:sz w:val="24"/>
          <w:highlight w:val="none"/>
        </w:rPr>
        <w:t xml:space="preserve">                                                     </w:t>
      </w:r>
      <w:r>
        <w:rPr>
          <w:rFonts w:hint="eastAsia" w:ascii="宋体" w:hAnsi="宋体"/>
          <w:sz w:val="24"/>
          <w:highlight w:val="none"/>
        </w:rPr>
        <w:t>2022</w:t>
      </w:r>
      <w:r>
        <w:rPr>
          <w:rFonts w:ascii="宋体" w:hAnsi="宋体"/>
          <w:sz w:val="24"/>
          <w:highlight w:val="none"/>
        </w:rPr>
        <w:t>年</w:t>
      </w:r>
      <w:r>
        <w:rPr>
          <w:rFonts w:hint="eastAsia" w:ascii="宋体" w:hAnsi="宋体"/>
          <w:sz w:val="24"/>
          <w:highlight w:val="none"/>
        </w:rPr>
        <w:t>06</w:t>
      </w:r>
      <w:r>
        <w:rPr>
          <w:rFonts w:ascii="宋体" w:hAnsi="宋体"/>
          <w:sz w:val="24"/>
          <w:highlight w:val="none"/>
        </w:rPr>
        <w:t>月</w:t>
      </w:r>
      <w:r>
        <w:rPr>
          <w:rFonts w:hint="eastAsia" w:ascii="宋体" w:hAnsi="宋体"/>
          <w:sz w:val="24"/>
          <w:highlight w:val="none"/>
          <w:lang w:val="en-US" w:eastAsia="zh-CN"/>
        </w:rPr>
        <w:t>24</w:t>
      </w:r>
      <w:r>
        <w:rPr>
          <w:rFonts w:ascii="宋体" w:hAnsi="宋体"/>
          <w:sz w:val="24"/>
          <w:highlight w:val="none"/>
        </w:rPr>
        <w:t>日</w:t>
      </w:r>
    </w:p>
    <w:p>
      <w:pPr>
        <w:rPr>
          <w:highlight w:val="none"/>
        </w:rPr>
      </w:pPr>
      <w:r>
        <w:rPr>
          <w:highlight w:val="none"/>
        </w:rPr>
        <w:br w:type="page"/>
      </w:r>
    </w:p>
    <w:p>
      <w:pPr>
        <w:pStyle w:val="2"/>
        <w:spacing w:before="140" w:after="140"/>
        <w:jc w:val="center"/>
        <w:rPr>
          <w:kern w:val="44"/>
          <w:sz w:val="24"/>
          <w:highlight w:val="none"/>
        </w:rPr>
      </w:pPr>
      <w:bookmarkStart w:id="23" w:name="_Toc509320083"/>
      <w:bookmarkStart w:id="24" w:name="_Toc326590608"/>
      <w:bookmarkStart w:id="25" w:name="_Toc360864647"/>
      <w:bookmarkStart w:id="26" w:name="_Toc19222"/>
      <w:r>
        <w:rPr>
          <w:kern w:val="44"/>
          <w:sz w:val="24"/>
          <w:highlight w:val="none"/>
        </w:rPr>
        <w:t>附表</w:t>
      </w:r>
      <w:r>
        <w:rPr>
          <w:rFonts w:hint="eastAsia"/>
          <w:kern w:val="44"/>
          <w:sz w:val="24"/>
          <w:highlight w:val="none"/>
        </w:rPr>
        <w:t>一   类别及标段</w:t>
      </w:r>
      <w:r>
        <w:rPr>
          <w:kern w:val="44"/>
          <w:sz w:val="24"/>
          <w:highlight w:val="none"/>
        </w:rPr>
        <w:t>划分一览表</w:t>
      </w:r>
      <w:bookmarkEnd w:id="23"/>
      <w:bookmarkEnd w:id="24"/>
      <w:bookmarkEnd w:id="25"/>
      <w:bookmarkEnd w:id="26"/>
    </w:p>
    <w:p>
      <w:pPr>
        <w:jc w:val="center"/>
        <w:rPr>
          <w:highlight w:val="none"/>
        </w:rPr>
      </w:pPr>
    </w:p>
    <w:tbl>
      <w:tblPr>
        <w:tblStyle w:val="6"/>
        <w:tblW w:w="92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5"/>
        <w:gridCol w:w="999"/>
        <w:gridCol w:w="2106"/>
        <w:gridCol w:w="55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4" w:hRule="atLeast"/>
          <w:tblHeader/>
          <w:jc w:val="center"/>
        </w:trPr>
        <w:tc>
          <w:tcPr>
            <w:tcW w:w="585" w:type="dxa"/>
            <w:tcMar>
              <w:top w:w="0" w:type="dxa"/>
              <w:left w:w="108" w:type="dxa"/>
              <w:bottom w:w="0" w:type="dxa"/>
              <w:right w:w="108" w:type="dxa"/>
            </w:tcMar>
            <w:vAlign w:val="center"/>
          </w:tcPr>
          <w:p>
            <w:pPr>
              <w:jc w:val="center"/>
              <w:rPr>
                <w:rFonts w:ascii="宋体" w:hAnsi="宋体" w:cs="宋体"/>
                <w:sz w:val="24"/>
                <w:highlight w:val="none"/>
              </w:rPr>
            </w:pPr>
            <w:r>
              <w:rPr>
                <w:rFonts w:hint="eastAsia"/>
                <w:highlight w:val="none"/>
              </w:rPr>
              <w:t>类别</w:t>
            </w:r>
          </w:p>
        </w:tc>
        <w:tc>
          <w:tcPr>
            <w:tcW w:w="999" w:type="dxa"/>
            <w:tcMar>
              <w:top w:w="0" w:type="dxa"/>
              <w:left w:w="108" w:type="dxa"/>
              <w:bottom w:w="0" w:type="dxa"/>
              <w:right w:w="108" w:type="dxa"/>
            </w:tcMar>
            <w:vAlign w:val="center"/>
          </w:tcPr>
          <w:p>
            <w:pPr>
              <w:jc w:val="center"/>
              <w:rPr>
                <w:rFonts w:ascii="宋体" w:hAnsi="宋体" w:cs="宋体"/>
                <w:sz w:val="24"/>
                <w:highlight w:val="none"/>
              </w:rPr>
            </w:pPr>
            <w:r>
              <w:rPr>
                <w:rFonts w:hint="eastAsia"/>
                <w:szCs w:val="21"/>
                <w:highlight w:val="none"/>
              </w:rPr>
              <w:t>标段编号</w:t>
            </w:r>
          </w:p>
        </w:tc>
        <w:tc>
          <w:tcPr>
            <w:tcW w:w="2106" w:type="dxa"/>
            <w:tcMar>
              <w:top w:w="0" w:type="dxa"/>
              <w:left w:w="108" w:type="dxa"/>
              <w:bottom w:w="0" w:type="dxa"/>
              <w:right w:w="108" w:type="dxa"/>
            </w:tcMar>
            <w:vAlign w:val="center"/>
          </w:tcPr>
          <w:p>
            <w:pPr>
              <w:jc w:val="center"/>
              <w:rPr>
                <w:szCs w:val="21"/>
                <w:highlight w:val="none"/>
              </w:rPr>
            </w:pPr>
            <w:r>
              <w:rPr>
                <w:rFonts w:hint="eastAsia"/>
                <w:szCs w:val="21"/>
                <w:highlight w:val="none"/>
              </w:rPr>
              <w:t>总建筑面积</w:t>
            </w:r>
            <w:r>
              <w:rPr>
                <w:rFonts w:hint="eastAsia" w:ascii="宋体" w:hAnsi="宋体"/>
                <w:szCs w:val="21"/>
                <w:highlight w:val="none"/>
              </w:rPr>
              <w:t>（㎡</w:t>
            </w:r>
            <w:r>
              <w:rPr>
                <w:rFonts w:hint="eastAsia"/>
                <w:szCs w:val="21"/>
                <w:highlight w:val="none"/>
              </w:rPr>
              <w:t>）</w:t>
            </w:r>
          </w:p>
        </w:tc>
        <w:tc>
          <w:tcPr>
            <w:tcW w:w="5550" w:type="dxa"/>
            <w:tcMar>
              <w:top w:w="0" w:type="dxa"/>
              <w:left w:w="108" w:type="dxa"/>
              <w:bottom w:w="0" w:type="dxa"/>
              <w:right w:w="108" w:type="dxa"/>
            </w:tcMar>
            <w:vAlign w:val="center"/>
          </w:tcPr>
          <w:p>
            <w:pPr>
              <w:jc w:val="center"/>
              <w:rPr>
                <w:rFonts w:ascii="宋体" w:hAnsi="宋体" w:cs="宋体"/>
                <w:szCs w:val="21"/>
                <w:highlight w:val="none"/>
              </w:rPr>
            </w:pPr>
            <w:r>
              <w:rPr>
                <w:rFonts w:hint="eastAsia"/>
                <w:szCs w:val="21"/>
                <w:highlight w:val="none"/>
              </w:rPr>
              <w:t>主要工作内容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454" w:hRule="atLeast"/>
          <w:jc w:val="center"/>
        </w:trPr>
        <w:tc>
          <w:tcPr>
            <w:tcW w:w="585" w:type="dxa"/>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rPr>
              <w:t>Ⅰ</w:t>
            </w:r>
          </w:p>
        </w:tc>
        <w:tc>
          <w:tcPr>
            <w:tcW w:w="999" w:type="dxa"/>
            <w:tcMar>
              <w:top w:w="0" w:type="dxa"/>
              <w:left w:w="108" w:type="dxa"/>
              <w:bottom w:w="0" w:type="dxa"/>
              <w:right w:w="108" w:type="dxa"/>
            </w:tcMar>
            <w:vAlign w:val="center"/>
          </w:tcPr>
          <w:p>
            <w:pPr>
              <w:widowControl/>
              <w:jc w:val="center"/>
              <w:rPr>
                <w:rFonts w:ascii="宋体" w:hAnsi="宋体" w:cs="宋体"/>
                <w:sz w:val="24"/>
                <w:highlight w:val="none"/>
              </w:rPr>
            </w:pPr>
            <w:r>
              <w:rPr>
                <w:rFonts w:hint="eastAsia" w:ascii="宋体" w:hAnsi="宋体" w:cs="宋体"/>
                <w:sz w:val="24"/>
                <w:highlight w:val="none"/>
              </w:rPr>
              <w:t>FJ</w:t>
            </w:r>
          </w:p>
        </w:tc>
        <w:tc>
          <w:tcPr>
            <w:tcW w:w="2106" w:type="dxa"/>
            <w:tcMar>
              <w:top w:w="0" w:type="dxa"/>
              <w:left w:w="108" w:type="dxa"/>
              <w:bottom w:w="0" w:type="dxa"/>
              <w:right w:w="108" w:type="dxa"/>
            </w:tcMar>
            <w:vAlign w:val="center"/>
          </w:tcPr>
          <w:p>
            <w:pPr>
              <w:widowControl/>
              <w:jc w:val="center"/>
              <w:rPr>
                <w:rFonts w:ascii="宋体" w:hAnsi="宋体" w:cs="宋体"/>
                <w:sz w:val="24"/>
                <w:highlight w:val="none"/>
              </w:rPr>
            </w:pPr>
            <w:r>
              <w:rPr>
                <w:rFonts w:hint="eastAsia" w:ascii="宋体" w:hAnsi="宋体"/>
                <w:kern w:val="0"/>
                <w:sz w:val="24"/>
                <w:highlight w:val="none"/>
              </w:rPr>
              <w:t>2169.69</w:t>
            </w:r>
          </w:p>
        </w:tc>
        <w:tc>
          <w:tcPr>
            <w:tcW w:w="5550" w:type="dxa"/>
            <w:tcMar>
              <w:top w:w="0" w:type="dxa"/>
              <w:left w:w="108" w:type="dxa"/>
              <w:bottom w:w="0" w:type="dxa"/>
              <w:right w:w="108" w:type="dxa"/>
            </w:tcMar>
            <w:vAlign w:val="center"/>
          </w:tcPr>
          <w:p>
            <w:pPr>
              <w:jc w:val="center"/>
              <w:rPr>
                <w:rFonts w:ascii="宋体" w:hAnsi="宋体" w:cs="宋体"/>
                <w:szCs w:val="21"/>
                <w:highlight w:val="none"/>
              </w:rPr>
            </w:pPr>
            <w:r>
              <w:rPr>
                <w:rFonts w:hint="eastAsia" w:ascii="宋体" w:hAnsi="宋体" w:cs="宋体"/>
                <w:szCs w:val="21"/>
                <w:highlight w:val="none"/>
              </w:rPr>
              <w:t>综合楼和门卫室建筑装饰、安装工程、车棚、室外道路、给排水、绿化等工程</w:t>
            </w:r>
          </w:p>
        </w:tc>
      </w:tr>
    </w:tbl>
    <w:p>
      <w:pPr>
        <w:pStyle w:val="2"/>
        <w:spacing w:before="140" w:after="140"/>
        <w:jc w:val="left"/>
        <w:rPr>
          <w:kern w:val="44"/>
          <w:sz w:val="24"/>
          <w:highlight w:val="none"/>
        </w:rPr>
      </w:pPr>
      <w:bookmarkStart w:id="27" w:name="_Toc509320084"/>
      <w:bookmarkStart w:id="28" w:name="_Toc360864648"/>
    </w:p>
    <w:p>
      <w:pPr>
        <w:pStyle w:val="2"/>
        <w:spacing w:before="140" w:after="140"/>
        <w:jc w:val="left"/>
        <w:rPr>
          <w:kern w:val="44"/>
          <w:sz w:val="24"/>
          <w:highlight w:val="none"/>
        </w:rPr>
      </w:pPr>
      <w:bookmarkStart w:id="29" w:name="_Toc5107"/>
      <w:r>
        <w:rPr>
          <w:rFonts w:hint="eastAsia"/>
          <w:kern w:val="44"/>
          <w:sz w:val="24"/>
          <w:highlight w:val="none"/>
        </w:rPr>
        <w:t>附表二   资质条件要求</w:t>
      </w:r>
      <w:bookmarkEnd w:id="27"/>
      <w:bookmarkEnd w:id="28"/>
      <w:bookmarkEnd w:id="29"/>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1" w:hRule="atLeast"/>
          <w:jc w:val="center"/>
        </w:trPr>
        <w:tc>
          <w:tcPr>
            <w:tcW w:w="8960" w:type="dxa"/>
            <w:vAlign w:val="center"/>
          </w:tcPr>
          <w:p>
            <w:pPr>
              <w:jc w:val="center"/>
              <w:rPr>
                <w:rFonts w:ascii="宋体" w:hAnsi="宋体"/>
                <w:sz w:val="24"/>
                <w:highlight w:val="none"/>
              </w:rPr>
            </w:pPr>
            <w:r>
              <w:rPr>
                <w:rFonts w:hint="eastAsia" w:ascii="宋体" w:hAnsi="宋体"/>
                <w:szCs w:val="21"/>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2" w:hRule="atLeast"/>
          <w:jc w:val="center"/>
        </w:trPr>
        <w:tc>
          <w:tcPr>
            <w:tcW w:w="8960" w:type="dxa"/>
            <w:vAlign w:val="center"/>
          </w:tcPr>
          <w:p>
            <w:pPr>
              <w:adjustRightInd w:val="0"/>
              <w:snapToGrid w:val="0"/>
              <w:spacing w:line="360" w:lineRule="auto"/>
              <w:rPr>
                <w:highlight w:val="none"/>
              </w:rPr>
            </w:pPr>
          </w:p>
          <w:p>
            <w:pPr>
              <w:adjustRightInd w:val="0"/>
              <w:snapToGrid w:val="0"/>
              <w:spacing w:line="360" w:lineRule="auto"/>
              <w:rPr>
                <w:highlight w:val="none"/>
              </w:rPr>
            </w:pPr>
            <w:r>
              <w:rPr>
                <w:rFonts w:hint="eastAsia"/>
                <w:highlight w:val="none"/>
              </w:rPr>
              <w:t>Ⅰ类投标人必须同时具备以下资质：</w:t>
            </w:r>
          </w:p>
          <w:p>
            <w:pPr>
              <w:adjustRightInd w:val="0"/>
              <w:snapToGrid w:val="0"/>
              <w:spacing w:line="360" w:lineRule="auto"/>
              <w:rPr>
                <w:highlight w:val="none"/>
              </w:rPr>
            </w:pPr>
            <w:r>
              <w:rPr>
                <w:rFonts w:hint="eastAsia"/>
                <w:highlight w:val="none"/>
              </w:rPr>
              <w:t>①具有独立法人资格、有效的营业执照、有效的安全生产许可证。</w:t>
            </w:r>
          </w:p>
          <w:p>
            <w:pPr>
              <w:adjustRightInd w:val="0"/>
              <w:snapToGrid w:val="0"/>
              <w:spacing w:line="360" w:lineRule="auto"/>
              <w:rPr>
                <w:highlight w:val="none"/>
              </w:rPr>
            </w:pPr>
            <w:r>
              <w:rPr>
                <w:rFonts w:hint="eastAsia"/>
                <w:highlight w:val="none"/>
                <w:lang w:val="zh-CN"/>
              </w:rPr>
              <w:t>②具有建筑工程施工总承包</w:t>
            </w:r>
            <w:r>
              <w:rPr>
                <w:rFonts w:hint="eastAsia"/>
                <w:highlight w:val="none"/>
              </w:rPr>
              <w:t>三</w:t>
            </w:r>
            <w:r>
              <w:rPr>
                <w:rFonts w:hint="eastAsia"/>
                <w:highlight w:val="none"/>
                <w:lang w:val="zh-CN"/>
              </w:rPr>
              <w:t>级</w:t>
            </w:r>
            <w:r>
              <w:rPr>
                <w:rFonts w:hint="eastAsia"/>
                <w:highlight w:val="none"/>
              </w:rPr>
              <w:t>及以上</w:t>
            </w:r>
            <w:r>
              <w:rPr>
                <w:rFonts w:hint="eastAsia"/>
                <w:highlight w:val="none"/>
                <w:lang w:val="zh-CN"/>
              </w:rPr>
              <w:t>资质。</w:t>
            </w:r>
          </w:p>
        </w:tc>
      </w:tr>
    </w:tbl>
    <w:p>
      <w:pPr>
        <w:rPr>
          <w:rFonts w:ascii="宋体" w:hAnsi="宋体"/>
          <w:sz w:val="24"/>
          <w:highlight w:val="none"/>
        </w:rPr>
      </w:pPr>
    </w:p>
    <w:p>
      <w:pPr>
        <w:pStyle w:val="2"/>
        <w:spacing w:before="140" w:after="140"/>
        <w:jc w:val="left"/>
        <w:rPr>
          <w:kern w:val="44"/>
          <w:sz w:val="24"/>
          <w:highlight w:val="none"/>
        </w:rPr>
      </w:pPr>
      <w:bookmarkStart w:id="30" w:name="_Toc509320085"/>
      <w:bookmarkStart w:id="31" w:name="_Toc19955"/>
      <w:bookmarkStart w:id="32" w:name="_Toc360864650"/>
      <w:r>
        <w:rPr>
          <w:rFonts w:hint="eastAsia"/>
          <w:kern w:val="44"/>
          <w:sz w:val="24"/>
          <w:highlight w:val="none"/>
        </w:rPr>
        <w:t>附表三   财务要求</w:t>
      </w:r>
      <w:bookmarkEnd w:id="30"/>
      <w:bookmarkEnd w:id="31"/>
      <w:bookmarkEnd w:id="32"/>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8980" w:type="dxa"/>
            <w:vAlign w:val="center"/>
          </w:tcPr>
          <w:p>
            <w:pPr>
              <w:jc w:val="center"/>
              <w:rPr>
                <w:rFonts w:ascii="宋体" w:hAnsi="宋体"/>
                <w:szCs w:val="21"/>
                <w:highlight w:val="none"/>
              </w:rPr>
            </w:pPr>
            <w:r>
              <w:rPr>
                <w:rFonts w:hint="eastAsia" w:ascii="宋体" w:hAnsi="宋体"/>
                <w:szCs w:val="21"/>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8980" w:type="dxa"/>
            <w:vAlign w:val="center"/>
          </w:tcPr>
          <w:p>
            <w:pPr>
              <w:jc w:val="center"/>
              <w:rPr>
                <w:rFonts w:ascii="宋体" w:hAnsi="宋体"/>
                <w:szCs w:val="21"/>
                <w:highlight w:val="none"/>
              </w:rPr>
            </w:pPr>
            <w:r>
              <w:rPr>
                <w:rFonts w:hint="eastAsia" w:ascii="宋体" w:hAnsi="宋体"/>
                <w:szCs w:val="21"/>
                <w:highlight w:val="none"/>
              </w:rPr>
              <w:t>无</w:t>
            </w:r>
          </w:p>
        </w:tc>
      </w:tr>
    </w:tbl>
    <w:p>
      <w:pPr>
        <w:pStyle w:val="2"/>
        <w:spacing w:before="140" w:after="140"/>
        <w:jc w:val="left"/>
        <w:rPr>
          <w:kern w:val="44"/>
          <w:sz w:val="24"/>
          <w:highlight w:val="none"/>
        </w:rPr>
      </w:pPr>
    </w:p>
    <w:p>
      <w:pPr>
        <w:pStyle w:val="2"/>
        <w:spacing w:before="140" w:after="140"/>
        <w:jc w:val="left"/>
        <w:rPr>
          <w:kern w:val="44"/>
          <w:sz w:val="24"/>
          <w:highlight w:val="none"/>
        </w:rPr>
      </w:pPr>
      <w:r>
        <w:rPr>
          <w:rFonts w:hint="eastAsia"/>
          <w:kern w:val="44"/>
          <w:sz w:val="24"/>
          <w:highlight w:val="none"/>
        </w:rPr>
        <w:t xml:space="preserve"> </w:t>
      </w:r>
      <w:bookmarkStart w:id="33" w:name="_Toc360864649"/>
      <w:bookmarkStart w:id="34" w:name="_Toc509320086"/>
      <w:bookmarkStart w:id="35" w:name="_Toc8922"/>
      <w:r>
        <w:rPr>
          <w:rFonts w:hint="eastAsia"/>
          <w:kern w:val="44"/>
          <w:sz w:val="24"/>
          <w:highlight w:val="none"/>
        </w:rPr>
        <w:t>附表四   业绩要求</w:t>
      </w:r>
      <w:bookmarkEnd w:id="33"/>
      <w:bookmarkEnd w:id="34"/>
      <w:bookmarkEnd w:id="35"/>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980" w:type="dxa"/>
            <w:vAlign w:val="center"/>
          </w:tcPr>
          <w:p>
            <w:pPr>
              <w:jc w:val="center"/>
              <w:rPr>
                <w:rFonts w:ascii="宋体" w:hAnsi="宋体"/>
                <w:szCs w:val="21"/>
                <w:highlight w:val="none"/>
              </w:rPr>
            </w:pPr>
            <w:r>
              <w:rPr>
                <w:rFonts w:hint="eastAsia" w:ascii="宋体" w:hAnsi="宋体"/>
                <w:szCs w:val="21"/>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8980" w:type="dxa"/>
            <w:vAlign w:val="center"/>
          </w:tcPr>
          <w:p>
            <w:pPr>
              <w:spacing w:line="400" w:lineRule="exact"/>
              <w:ind w:firstLine="420" w:firstLineChars="200"/>
              <w:jc w:val="center"/>
              <w:rPr>
                <w:szCs w:val="21"/>
                <w:highlight w:val="none"/>
              </w:rPr>
            </w:pPr>
            <w:r>
              <w:rPr>
                <w:rFonts w:hint="eastAsia" w:ascii="宋体" w:hAnsi="宋体"/>
                <w:szCs w:val="21"/>
                <w:highlight w:val="none"/>
              </w:rPr>
              <w:t>无</w:t>
            </w:r>
          </w:p>
        </w:tc>
      </w:tr>
    </w:tbl>
    <w:p>
      <w:pPr>
        <w:rPr>
          <w:rFonts w:ascii="宋体" w:hAnsi="宋体"/>
          <w:sz w:val="24"/>
          <w:highlight w:val="none"/>
        </w:rPr>
      </w:pPr>
    </w:p>
    <w:p>
      <w:pPr>
        <w:pStyle w:val="2"/>
        <w:spacing w:before="140" w:after="140"/>
        <w:jc w:val="left"/>
        <w:rPr>
          <w:kern w:val="44"/>
          <w:sz w:val="24"/>
          <w:highlight w:val="none"/>
        </w:rPr>
      </w:pPr>
      <w:bookmarkStart w:id="36" w:name="_Toc509320087"/>
      <w:bookmarkStart w:id="37" w:name="_Toc6495"/>
      <w:r>
        <w:rPr>
          <w:rFonts w:hint="eastAsia"/>
          <w:kern w:val="44"/>
          <w:sz w:val="24"/>
          <w:highlight w:val="none"/>
        </w:rPr>
        <w:t>附表五   资格审查条件(信誉要求)</w:t>
      </w:r>
      <w:bookmarkEnd w:id="36"/>
      <w:bookmarkEnd w:id="37"/>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8920" w:type="dxa"/>
            <w:vAlign w:val="center"/>
          </w:tcPr>
          <w:p>
            <w:pPr>
              <w:jc w:val="center"/>
              <w:rPr>
                <w:rFonts w:ascii="宋体" w:hAnsi="宋体"/>
                <w:szCs w:val="21"/>
                <w:highlight w:val="none"/>
              </w:rPr>
            </w:pPr>
            <w:r>
              <w:rPr>
                <w:rFonts w:hint="eastAsia" w:ascii="宋体" w:hAnsi="宋体"/>
                <w:szCs w:val="21"/>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7" w:hRule="atLeast"/>
          <w:jc w:val="center"/>
        </w:trPr>
        <w:tc>
          <w:tcPr>
            <w:tcW w:w="892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①近3年内（</w:t>
            </w:r>
            <w:r>
              <w:rPr>
                <w:rFonts w:hint="eastAsia" w:ascii="宋体" w:hAnsi="宋体" w:cs="宋体"/>
                <w:szCs w:val="21"/>
                <w:highlight w:val="none"/>
                <w:lang w:eastAsia="zh-CN"/>
              </w:rPr>
              <w:t>指</w:t>
            </w:r>
            <w:r>
              <w:rPr>
                <w:rFonts w:hint="eastAsia" w:ascii="宋体" w:hAnsi="宋体" w:cs="宋体"/>
                <w:szCs w:val="21"/>
                <w:highlight w:val="none"/>
              </w:rPr>
              <w:t>招标公告发布前一日</w:t>
            </w:r>
            <w:r>
              <w:rPr>
                <w:rFonts w:hint="eastAsia" w:ascii="宋体" w:hAnsi="宋体" w:cs="宋体"/>
                <w:szCs w:val="21"/>
                <w:highlight w:val="none"/>
                <w:lang w:eastAsia="zh-CN"/>
              </w:rPr>
              <w:t>回溯三年</w:t>
            </w:r>
            <w:r>
              <w:rPr>
                <w:rFonts w:hint="eastAsia" w:ascii="宋体" w:hAnsi="宋体" w:cs="宋体"/>
                <w:szCs w:val="21"/>
                <w:highlight w:val="none"/>
              </w:rPr>
              <w:t>，下同）工程施工中不存在重、特大工程质量事故或重、特大安全事故的情况。</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②在江西省交通运输厅最新发布的年度江西省交通建设市场信用评价结果中未被评为D级。</w:t>
            </w:r>
          </w:p>
          <w:p>
            <w:pPr>
              <w:pStyle w:val="8"/>
              <w:adjustRightInd w:val="0"/>
              <w:snapToGrid w:val="0"/>
              <w:spacing w:line="360" w:lineRule="auto"/>
              <w:ind w:firstLine="482" w:firstLineChars="200"/>
              <w:rPr>
                <w:rFonts w:ascii="宋体" w:hAnsi="宋体"/>
                <w:sz w:val="21"/>
                <w:szCs w:val="21"/>
                <w:highlight w:val="none"/>
                <w:lang w:eastAsia="zh-CN"/>
              </w:rPr>
            </w:pPr>
            <w:r>
              <w:rPr>
                <w:b/>
                <w:sz w:val="24"/>
                <w:highlight w:val="none"/>
                <w:lang w:eastAsia="zh-CN"/>
              </w:rPr>
              <w:t>注：投标人信誉应同时符合交通运输部《公路工程标准施工招标文件》（2018年版第一册）第二章“投标人须知”第 1.4.4 项的规定。</w:t>
            </w:r>
          </w:p>
        </w:tc>
      </w:tr>
    </w:tbl>
    <w:p>
      <w:pPr>
        <w:rPr>
          <w:rFonts w:ascii="宋体" w:hAnsi="宋体"/>
          <w:sz w:val="24"/>
          <w:highlight w:val="none"/>
        </w:rPr>
      </w:pPr>
    </w:p>
    <w:p>
      <w:pPr>
        <w:pStyle w:val="2"/>
        <w:spacing w:before="140" w:after="140"/>
        <w:jc w:val="left"/>
        <w:rPr>
          <w:kern w:val="44"/>
          <w:sz w:val="24"/>
          <w:highlight w:val="none"/>
        </w:rPr>
      </w:pPr>
      <w:bookmarkStart w:id="38" w:name="_Toc509320088"/>
      <w:bookmarkStart w:id="39" w:name="_Toc7245"/>
      <w:r>
        <w:rPr>
          <w:rFonts w:hint="eastAsia"/>
          <w:kern w:val="44"/>
          <w:sz w:val="24"/>
          <w:highlight w:val="none"/>
        </w:rPr>
        <w:t>附表六   项目经理和项目总工资格要求</w:t>
      </w:r>
      <w:bookmarkEnd w:id="38"/>
      <w:bookmarkEnd w:id="39"/>
    </w:p>
    <w:p>
      <w:pPr>
        <w:rPr>
          <w:rFonts w:ascii="宋体" w:hAnsi="宋体" w:cs="宋体"/>
          <w:szCs w:val="21"/>
          <w:highlight w:val="none"/>
        </w:rPr>
      </w:pPr>
    </w:p>
    <w:tbl>
      <w:tblPr>
        <w:tblStyle w:val="6"/>
        <w:tblW w:w="89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5"/>
        <w:gridCol w:w="1066"/>
        <w:gridCol w:w="4697"/>
        <w:gridCol w:w="19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2" w:hRule="atLeast"/>
          <w:jc w:val="center"/>
        </w:trPr>
        <w:tc>
          <w:tcPr>
            <w:tcW w:w="1265" w:type="dxa"/>
          </w:tcPr>
          <w:p>
            <w:pPr>
              <w:pStyle w:val="8"/>
              <w:spacing w:before="3"/>
              <w:rPr>
                <w:rFonts w:ascii="宋体" w:hAnsi="宋体" w:cs="宋体"/>
                <w:b/>
                <w:sz w:val="21"/>
                <w:szCs w:val="21"/>
                <w:highlight w:val="none"/>
                <w:lang w:eastAsia="zh-CN"/>
              </w:rPr>
            </w:pPr>
          </w:p>
          <w:p>
            <w:pPr>
              <w:pStyle w:val="8"/>
              <w:jc w:val="center"/>
              <w:rPr>
                <w:rFonts w:ascii="宋体" w:hAnsi="宋体" w:cs="宋体"/>
                <w:sz w:val="21"/>
                <w:szCs w:val="21"/>
                <w:highlight w:val="none"/>
              </w:rPr>
            </w:pPr>
            <w:r>
              <w:rPr>
                <w:rFonts w:hint="eastAsia" w:ascii="宋体" w:hAnsi="宋体" w:cs="宋体"/>
                <w:sz w:val="21"/>
                <w:szCs w:val="21"/>
                <w:highlight w:val="none"/>
              </w:rPr>
              <w:t>人 员</w:t>
            </w:r>
          </w:p>
        </w:tc>
        <w:tc>
          <w:tcPr>
            <w:tcW w:w="1066" w:type="dxa"/>
          </w:tcPr>
          <w:p>
            <w:pPr>
              <w:pStyle w:val="8"/>
              <w:spacing w:before="3"/>
              <w:rPr>
                <w:rFonts w:ascii="宋体" w:hAnsi="宋体" w:cs="宋体"/>
                <w:b/>
                <w:sz w:val="21"/>
                <w:szCs w:val="21"/>
                <w:highlight w:val="none"/>
              </w:rPr>
            </w:pPr>
          </w:p>
          <w:p>
            <w:pPr>
              <w:pStyle w:val="8"/>
              <w:ind w:right="16"/>
              <w:jc w:val="center"/>
              <w:rPr>
                <w:rFonts w:ascii="宋体" w:hAnsi="宋体" w:cs="宋体"/>
                <w:sz w:val="21"/>
                <w:szCs w:val="21"/>
                <w:highlight w:val="none"/>
              </w:rPr>
            </w:pPr>
            <w:r>
              <w:rPr>
                <w:rFonts w:hint="eastAsia" w:ascii="宋体" w:hAnsi="宋体" w:cs="宋体"/>
                <w:sz w:val="21"/>
                <w:szCs w:val="21"/>
                <w:highlight w:val="none"/>
              </w:rPr>
              <w:t>数</w:t>
            </w:r>
            <w:r>
              <w:rPr>
                <w:rFonts w:hint="eastAsia" w:ascii="宋体" w:hAnsi="宋体" w:cs="宋体"/>
                <w:sz w:val="21"/>
                <w:szCs w:val="21"/>
                <w:highlight w:val="none"/>
                <w:lang w:eastAsia="zh-CN"/>
              </w:rPr>
              <w:t xml:space="preserve"> </w:t>
            </w:r>
            <w:r>
              <w:rPr>
                <w:rFonts w:hint="eastAsia" w:ascii="宋体" w:hAnsi="宋体" w:cs="宋体"/>
                <w:sz w:val="21"/>
                <w:szCs w:val="21"/>
                <w:highlight w:val="none"/>
              </w:rPr>
              <w:t>量</w:t>
            </w:r>
          </w:p>
        </w:tc>
        <w:tc>
          <w:tcPr>
            <w:tcW w:w="4697" w:type="dxa"/>
          </w:tcPr>
          <w:p>
            <w:pPr>
              <w:pStyle w:val="8"/>
              <w:spacing w:before="3"/>
              <w:rPr>
                <w:rFonts w:ascii="宋体" w:hAnsi="宋体" w:cs="宋体"/>
                <w:b/>
                <w:sz w:val="21"/>
                <w:szCs w:val="21"/>
                <w:highlight w:val="none"/>
              </w:rPr>
            </w:pPr>
          </w:p>
          <w:p>
            <w:pPr>
              <w:pStyle w:val="8"/>
              <w:jc w:val="center"/>
              <w:rPr>
                <w:rFonts w:ascii="宋体" w:hAnsi="宋体" w:cs="宋体"/>
                <w:sz w:val="21"/>
                <w:szCs w:val="21"/>
                <w:highlight w:val="none"/>
              </w:rPr>
            </w:pPr>
            <w:r>
              <w:rPr>
                <w:rFonts w:hint="eastAsia" w:ascii="宋体" w:hAnsi="宋体" w:cs="宋体"/>
                <w:sz w:val="21"/>
                <w:szCs w:val="21"/>
                <w:highlight w:val="none"/>
              </w:rPr>
              <w:t>资 格 要 求</w:t>
            </w:r>
          </w:p>
        </w:tc>
        <w:tc>
          <w:tcPr>
            <w:tcW w:w="1947" w:type="dxa"/>
            <w:vAlign w:val="center"/>
          </w:tcPr>
          <w:p>
            <w:pPr>
              <w:pStyle w:val="8"/>
              <w:jc w:val="center"/>
              <w:rPr>
                <w:rFonts w:ascii="宋体" w:hAnsi="宋体" w:cs="宋体"/>
                <w:sz w:val="21"/>
                <w:szCs w:val="21"/>
                <w:highlight w:val="none"/>
                <w:lang w:eastAsia="zh-CN"/>
              </w:rPr>
            </w:pPr>
            <w:r>
              <w:rPr>
                <w:rFonts w:hint="eastAsia" w:ascii="宋体" w:hAnsi="宋体" w:cs="宋体"/>
                <w:sz w:val="21"/>
                <w:szCs w:val="21"/>
                <w:highlight w:val="none"/>
                <w:lang w:eastAsia="zh-CN"/>
              </w:rPr>
              <w:t>在岗要求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3" w:hRule="atLeast"/>
          <w:jc w:val="center"/>
        </w:trPr>
        <w:tc>
          <w:tcPr>
            <w:tcW w:w="1265" w:type="dxa"/>
            <w:vAlign w:val="center"/>
          </w:tcPr>
          <w:p>
            <w:pPr>
              <w:pStyle w:val="8"/>
              <w:spacing w:before="170" w:line="374" w:lineRule="auto"/>
              <w:ind w:right="86"/>
              <w:jc w:val="center"/>
              <w:rPr>
                <w:rFonts w:ascii="宋体" w:hAnsi="宋体" w:cs="宋体"/>
                <w:sz w:val="21"/>
                <w:szCs w:val="21"/>
                <w:highlight w:val="none"/>
              </w:rPr>
            </w:pPr>
            <w:r>
              <w:rPr>
                <w:rFonts w:hint="eastAsia" w:ascii="宋体" w:hAnsi="宋体" w:cs="宋体"/>
                <w:sz w:val="21"/>
                <w:szCs w:val="21"/>
                <w:highlight w:val="none"/>
              </w:rPr>
              <w:t>项目经理</w:t>
            </w:r>
          </w:p>
        </w:tc>
        <w:tc>
          <w:tcPr>
            <w:tcW w:w="1066" w:type="dxa"/>
            <w:vAlign w:val="center"/>
          </w:tcPr>
          <w:p>
            <w:pPr>
              <w:pStyle w:val="8"/>
              <w:spacing w:before="170" w:line="374" w:lineRule="auto"/>
              <w:ind w:right="86"/>
              <w:jc w:val="center"/>
              <w:rPr>
                <w:rFonts w:ascii="宋体" w:hAnsi="宋体" w:cs="宋体"/>
                <w:sz w:val="21"/>
                <w:szCs w:val="21"/>
                <w:highlight w:val="none"/>
              </w:rPr>
            </w:pPr>
            <w:r>
              <w:rPr>
                <w:rFonts w:hint="eastAsia" w:ascii="宋体" w:hAnsi="宋体" w:cs="宋体"/>
                <w:sz w:val="21"/>
                <w:szCs w:val="21"/>
                <w:highlight w:val="none"/>
              </w:rPr>
              <w:t>1</w:t>
            </w:r>
          </w:p>
        </w:tc>
        <w:tc>
          <w:tcPr>
            <w:tcW w:w="4697" w:type="dxa"/>
            <w:vAlign w:val="center"/>
          </w:tcPr>
          <w:p>
            <w:pPr>
              <w:pStyle w:val="8"/>
              <w:spacing w:before="170" w:line="360" w:lineRule="auto"/>
              <w:ind w:right="86"/>
              <w:rPr>
                <w:rFonts w:ascii="宋体" w:hAnsi="宋体" w:cs="宋体"/>
                <w:sz w:val="21"/>
                <w:szCs w:val="21"/>
                <w:highlight w:val="none"/>
                <w:lang w:eastAsia="zh-CN"/>
              </w:rPr>
            </w:pPr>
            <w:r>
              <w:rPr>
                <w:rFonts w:hint="eastAsia" w:ascii="宋体" w:hAnsi="宋体" w:cs="宋体"/>
                <w:sz w:val="21"/>
                <w:szCs w:val="21"/>
                <w:highlight w:val="none"/>
                <w:lang w:eastAsia="zh-CN"/>
              </w:rPr>
              <w:t>具备</w:t>
            </w:r>
            <w:r>
              <w:rPr>
                <w:rFonts w:hint="eastAsia" w:ascii="宋体" w:hAnsi="宋体" w:cs="宋体"/>
                <w:sz w:val="21"/>
                <w:szCs w:val="21"/>
                <w:highlight w:val="none"/>
                <w:lang w:val="zh-CN" w:eastAsia="zh-CN"/>
              </w:rPr>
              <w:t>建筑工程</w:t>
            </w:r>
            <w:r>
              <w:rPr>
                <w:rFonts w:hint="eastAsia" w:ascii="宋体" w:hAnsi="宋体" w:cs="宋体"/>
                <w:sz w:val="21"/>
                <w:szCs w:val="21"/>
                <w:highlight w:val="none"/>
                <w:lang w:eastAsia="zh-CN"/>
              </w:rPr>
              <w:t>相关专业中级及以上职称；</w:t>
            </w:r>
            <w:r>
              <w:rPr>
                <w:rFonts w:hint="eastAsia" w:ascii="宋体" w:hAnsi="宋体" w:cs="宋体"/>
                <w:sz w:val="21"/>
                <w:szCs w:val="21"/>
                <w:highlight w:val="none"/>
                <w:lang w:val="zh-CN" w:eastAsia="zh-CN"/>
              </w:rPr>
              <w:t>建筑工程</w:t>
            </w:r>
            <w:r>
              <w:rPr>
                <w:rFonts w:hint="eastAsia" w:ascii="宋体" w:hAnsi="宋体" w:cs="宋体"/>
                <w:sz w:val="21"/>
                <w:szCs w:val="21"/>
                <w:highlight w:val="none"/>
                <w:lang w:eastAsia="zh-CN"/>
              </w:rPr>
              <w:t>专业二级及以上注册建造师；持有住房和城乡建设主管部门颁发的安全生产考核合格“B”类证书；年龄55周岁以下。</w:t>
            </w:r>
          </w:p>
        </w:tc>
        <w:tc>
          <w:tcPr>
            <w:tcW w:w="1947" w:type="dxa"/>
            <w:vMerge w:val="restart"/>
            <w:vAlign w:val="center"/>
          </w:tcPr>
          <w:p>
            <w:pPr>
              <w:pStyle w:val="8"/>
              <w:spacing w:before="170" w:line="360" w:lineRule="auto"/>
              <w:ind w:right="86"/>
              <w:jc w:val="left"/>
              <w:rPr>
                <w:rFonts w:ascii="宋体" w:hAnsi="宋体" w:cs="宋体"/>
                <w:sz w:val="21"/>
                <w:szCs w:val="21"/>
                <w:highlight w:val="none"/>
                <w:lang w:eastAsia="zh-CN"/>
              </w:rPr>
            </w:pPr>
            <w:r>
              <w:rPr>
                <w:rFonts w:hint="eastAsia" w:ascii="宋体" w:hAnsi="宋体" w:cs="宋体"/>
                <w:sz w:val="21"/>
                <w:szCs w:val="21"/>
                <w:highlight w:val="none"/>
                <w:lang w:eastAsia="zh-CN"/>
              </w:rPr>
              <w:t>无在岗项目（指目前未在其他项目上任职，或虽在其他项目上任职但本项目中标后能够从该项目撤离）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27" w:hRule="atLeast"/>
          <w:jc w:val="center"/>
        </w:trPr>
        <w:tc>
          <w:tcPr>
            <w:tcW w:w="1265" w:type="dxa"/>
            <w:vAlign w:val="center"/>
          </w:tcPr>
          <w:p>
            <w:pPr>
              <w:pStyle w:val="8"/>
              <w:spacing w:before="170" w:line="374" w:lineRule="auto"/>
              <w:ind w:right="86"/>
              <w:jc w:val="center"/>
              <w:rPr>
                <w:rFonts w:ascii="宋体" w:hAnsi="宋体" w:cs="宋体"/>
                <w:sz w:val="21"/>
                <w:szCs w:val="21"/>
                <w:highlight w:val="none"/>
              </w:rPr>
            </w:pPr>
            <w:r>
              <w:rPr>
                <w:rFonts w:hint="eastAsia" w:ascii="宋体" w:hAnsi="宋体" w:cs="宋体"/>
                <w:sz w:val="21"/>
                <w:szCs w:val="21"/>
                <w:highlight w:val="none"/>
              </w:rPr>
              <w:t>项目总工</w:t>
            </w:r>
          </w:p>
        </w:tc>
        <w:tc>
          <w:tcPr>
            <w:tcW w:w="1066" w:type="dxa"/>
            <w:vAlign w:val="center"/>
          </w:tcPr>
          <w:p>
            <w:pPr>
              <w:pStyle w:val="8"/>
              <w:spacing w:before="170" w:line="374" w:lineRule="auto"/>
              <w:ind w:right="86"/>
              <w:jc w:val="center"/>
              <w:rPr>
                <w:rFonts w:ascii="宋体" w:hAnsi="宋体" w:cs="宋体"/>
                <w:sz w:val="21"/>
                <w:szCs w:val="21"/>
                <w:highlight w:val="none"/>
              </w:rPr>
            </w:pPr>
            <w:r>
              <w:rPr>
                <w:rFonts w:hint="eastAsia" w:ascii="宋体" w:hAnsi="宋体" w:cs="宋体"/>
                <w:sz w:val="21"/>
                <w:szCs w:val="21"/>
                <w:highlight w:val="none"/>
              </w:rPr>
              <w:t>1</w:t>
            </w:r>
          </w:p>
        </w:tc>
        <w:tc>
          <w:tcPr>
            <w:tcW w:w="4697" w:type="dxa"/>
            <w:vAlign w:val="center"/>
          </w:tcPr>
          <w:p>
            <w:pPr>
              <w:pStyle w:val="8"/>
              <w:spacing w:before="170" w:line="360" w:lineRule="auto"/>
              <w:ind w:right="86"/>
              <w:rPr>
                <w:rFonts w:ascii="宋体" w:hAnsi="宋体" w:cs="宋体"/>
                <w:sz w:val="21"/>
                <w:szCs w:val="21"/>
                <w:highlight w:val="none"/>
                <w:lang w:eastAsia="zh-CN"/>
              </w:rPr>
            </w:pPr>
            <w:r>
              <w:rPr>
                <w:rFonts w:hint="eastAsia" w:ascii="宋体" w:hAnsi="宋体" w:cs="宋体"/>
                <w:sz w:val="21"/>
                <w:szCs w:val="21"/>
                <w:highlight w:val="none"/>
                <w:lang w:eastAsia="zh-CN"/>
              </w:rPr>
              <w:t>具备</w:t>
            </w:r>
            <w:r>
              <w:rPr>
                <w:rFonts w:hint="eastAsia" w:ascii="宋体" w:hAnsi="宋体" w:cs="宋体"/>
                <w:sz w:val="21"/>
                <w:szCs w:val="21"/>
                <w:highlight w:val="none"/>
                <w:lang w:val="zh-CN" w:eastAsia="zh-CN"/>
              </w:rPr>
              <w:t>建筑工程</w:t>
            </w:r>
            <w:r>
              <w:rPr>
                <w:rFonts w:hint="eastAsia" w:ascii="宋体" w:hAnsi="宋体" w:cs="宋体"/>
                <w:sz w:val="21"/>
                <w:szCs w:val="21"/>
                <w:highlight w:val="none"/>
                <w:lang w:eastAsia="zh-CN"/>
              </w:rPr>
              <w:t xml:space="preserve">相关专业中级及以上职称；持有住房和城乡建设主管部门颁发的安全生产考核合格“B”类证书；年龄55周岁以下。 </w:t>
            </w:r>
          </w:p>
        </w:tc>
        <w:tc>
          <w:tcPr>
            <w:tcW w:w="1947" w:type="dxa"/>
            <w:vMerge w:val="continue"/>
            <w:vAlign w:val="center"/>
          </w:tcPr>
          <w:p>
            <w:pPr>
              <w:pStyle w:val="8"/>
              <w:spacing w:before="170"/>
              <w:ind w:right="86"/>
              <w:jc w:val="center"/>
              <w:rPr>
                <w:rFonts w:ascii="宋体" w:hAnsi="宋体" w:cs="宋体"/>
                <w:sz w:val="21"/>
                <w:szCs w:val="21"/>
                <w:highlight w:val="none"/>
                <w:lang w:eastAsia="zh-CN"/>
              </w:rPr>
            </w:pPr>
          </w:p>
        </w:tc>
      </w:tr>
    </w:tbl>
    <w:p>
      <w:pPr>
        <w:pStyle w:val="2"/>
        <w:rPr>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BAE7F5"/>
    <w:multiLevelType w:val="singleLevel"/>
    <w:tmpl w:val="41BAE7F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zYjMwMjI2NWE4YzgwOGNlZjJhNGU3Y2ZmZmNjYTcifQ=="/>
  </w:docVars>
  <w:rsids>
    <w:rsidRoot w:val="36B86883"/>
    <w:rsid w:val="001020F5"/>
    <w:rsid w:val="00346AFC"/>
    <w:rsid w:val="008B02C1"/>
    <w:rsid w:val="15640DD1"/>
    <w:rsid w:val="36B86883"/>
    <w:rsid w:val="51343763"/>
    <w:rsid w:val="5F600F79"/>
    <w:rsid w:val="66E51B20"/>
    <w:rsid w:val="6C2A1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2">
    <w:name w:val="heading 3"/>
    <w:basedOn w:val="1"/>
    <w:next w:val="1"/>
    <w:qFormat/>
    <w:uiPriority w:val="9"/>
    <w:pPr>
      <w:keepNext/>
      <w:keepLines/>
      <w:spacing w:before="260" w:after="260" w:line="416" w:lineRule="auto"/>
      <w:outlineLvl w:val="2"/>
    </w:pPr>
    <w:rPr>
      <w:b/>
      <w:bCs/>
      <w:kern w:val="0"/>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Table Paragraph"/>
    <w:basedOn w:val="1"/>
    <w:qFormat/>
    <w:uiPriority w:val="99"/>
    <w:rPr>
      <w:sz w:val="22"/>
      <w:szCs w:val="22"/>
      <w:lang w:eastAsia="en-US"/>
    </w:rPr>
  </w:style>
  <w:style w:type="character" w:customStyle="1" w:styleId="9">
    <w:name w:val="页眉 Char"/>
    <w:basedOn w:val="7"/>
    <w:link w:val="5"/>
    <w:qFormat/>
    <w:uiPriority w:val="0"/>
    <w:rPr>
      <w:rFonts w:ascii="Times New Roman" w:hAnsi="Times New Roman" w:eastAsia="宋体" w:cs="Times New Roman"/>
      <w:kern w:val="2"/>
      <w:sz w:val="18"/>
      <w:szCs w:val="18"/>
    </w:rPr>
  </w:style>
  <w:style w:type="character" w:customStyle="1" w:styleId="10">
    <w:name w:val="页脚 Char"/>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2850</Words>
  <Characters>3329</Characters>
  <Lines>26</Lines>
  <Paragraphs>7</Paragraphs>
  <TotalTime>51</TotalTime>
  <ScaleCrop>false</ScaleCrop>
  <LinksUpToDate>false</LinksUpToDate>
  <CharactersWithSpaces>3478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2022-06-15T03:18:00Z</dcterms:created>
  <dc:creator>宝贝丫</dc:creator>
  <cp:lastModifiedBy>宝贝丫</cp:lastModifiedBy>
  <dcterms:modified xsi:type="dcterms:W3CDTF">2022-06-24T07:32:30Z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C508F0377E9E487C80888DA9DB230BB8</vt:lpwstr>
  </property>
</Properties>
</file>