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Times New Roman"/>
          <w:sz w:val="36"/>
          <w:szCs w:val="36"/>
          <w:highlight w:val="none"/>
          <w:u w:val="none"/>
          <w:lang w:val="en-US" w:eastAsia="zh-CN"/>
        </w:rPr>
      </w:pPr>
      <w:bookmarkStart w:id="42" w:name="_GoBack"/>
      <w:r>
        <w:rPr>
          <w:rFonts w:hint="eastAsia" w:ascii="黑体" w:hAnsi="宋体" w:eastAsia="黑体" w:cs="Times New Roman"/>
          <w:sz w:val="36"/>
          <w:szCs w:val="36"/>
          <w:highlight w:val="none"/>
          <w:u w:val="none"/>
          <w:lang w:val="en-US" w:eastAsia="zh-CN"/>
        </w:rPr>
        <w:t>2022年赣州绕城高速公路沿线桥梁病害修复工程施工招标</w:t>
      </w:r>
    </w:p>
    <w:p>
      <w:pPr>
        <w:jc w:val="center"/>
        <w:rPr>
          <w:rFonts w:hint="eastAsia" w:ascii="黑体" w:hAnsi="宋体" w:eastAsia="黑体"/>
          <w:sz w:val="36"/>
          <w:szCs w:val="36"/>
          <w:highlight w:val="none"/>
          <w:u w:val="none"/>
          <w:lang w:val="en-US" w:eastAsia="zh-CN"/>
        </w:rPr>
      </w:pPr>
      <w:r>
        <w:rPr>
          <w:rFonts w:hint="eastAsia" w:ascii="黑体" w:hAnsi="宋体" w:eastAsia="黑体"/>
          <w:sz w:val="36"/>
          <w:szCs w:val="36"/>
          <w:highlight w:val="none"/>
          <w:u w:val="none"/>
          <w:lang w:val="en-US" w:eastAsia="zh-CN"/>
        </w:rPr>
        <w:t>关键内容公开</w:t>
      </w:r>
    </w:p>
    <w:bookmarkEnd w:id="42"/>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宋体" w:hAnsi="宋体" w:eastAsia="宋体" w:cs="宋体"/>
          <w:color w:val="333333"/>
          <w:sz w:val="24"/>
          <w:szCs w:val="24"/>
          <w:highlight w:val="none"/>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根据《公路工程建设项目招标投标管理办法》的规定，现对</w:t>
      </w:r>
      <w:r>
        <w:rPr>
          <w:rFonts w:hint="eastAsia" w:ascii="宋体" w:hAnsi="宋体" w:cs="宋体"/>
          <w:color w:val="333333"/>
          <w:sz w:val="24"/>
          <w:szCs w:val="24"/>
          <w:highlight w:val="none"/>
          <w:lang w:eastAsia="zh-CN"/>
        </w:rPr>
        <w:t>2022年赣州绕城高速公路沿线桥梁病害修复工程施工招标</w:t>
      </w:r>
      <w:r>
        <w:rPr>
          <w:rFonts w:hint="eastAsia" w:ascii="宋体" w:hAnsi="宋体" w:eastAsia="宋体" w:cs="宋体"/>
          <w:color w:val="333333"/>
          <w:sz w:val="24"/>
          <w:szCs w:val="24"/>
          <w:highlight w:val="none"/>
        </w:rPr>
        <w:t>文件中的关键内容进行公开：</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一、项目概况</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详见</w:t>
      </w:r>
      <w:r>
        <w:rPr>
          <w:rFonts w:hint="eastAsia" w:ascii="宋体" w:hAnsi="宋体" w:cs="宋体"/>
          <w:color w:val="333333"/>
          <w:sz w:val="24"/>
          <w:szCs w:val="24"/>
          <w:highlight w:val="none"/>
          <w:lang w:eastAsia="zh-CN"/>
        </w:rPr>
        <w:t>2022年赣州绕城高速公路沿线桥梁病害修复工程施工招标</w:t>
      </w:r>
      <w:r>
        <w:rPr>
          <w:rFonts w:hint="eastAsia" w:ascii="宋体" w:hAnsi="宋体" w:eastAsia="宋体" w:cs="宋体"/>
          <w:color w:val="333333"/>
          <w:sz w:val="24"/>
          <w:szCs w:val="24"/>
          <w:highlight w:val="none"/>
        </w:rPr>
        <w:t>公告。</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二、投标人资格要求</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lang w:val="en-US" w:eastAsia="zh-CN"/>
        </w:rPr>
        <w:t>详见</w:t>
      </w:r>
      <w:r>
        <w:rPr>
          <w:rFonts w:hint="eastAsia" w:ascii="宋体" w:hAnsi="宋体" w:cs="宋体"/>
          <w:color w:val="333333"/>
          <w:sz w:val="24"/>
          <w:szCs w:val="24"/>
          <w:highlight w:val="none"/>
          <w:lang w:eastAsia="zh-CN"/>
        </w:rPr>
        <w:t>2022年赣州绕城高速公路沿线桥梁病害修复工程施工招标</w:t>
      </w:r>
      <w:r>
        <w:rPr>
          <w:rFonts w:hint="eastAsia" w:ascii="宋体" w:hAnsi="宋体" w:eastAsia="宋体" w:cs="宋体"/>
          <w:color w:val="333333"/>
          <w:sz w:val="24"/>
          <w:szCs w:val="24"/>
          <w:highlight w:val="none"/>
        </w:rPr>
        <w:t>公告。</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三、评标办法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本次招标采用</w:t>
      </w:r>
      <w:r>
        <w:rPr>
          <w:rFonts w:hint="eastAsia" w:ascii="宋体" w:hAnsi="宋体" w:cs="宋体"/>
          <w:color w:val="333333"/>
          <w:sz w:val="24"/>
          <w:szCs w:val="24"/>
          <w:highlight w:val="none"/>
          <w:lang w:val="en-US" w:eastAsia="zh-CN"/>
        </w:rPr>
        <w:t>技术评分最低标价法</w:t>
      </w:r>
      <w:r>
        <w:rPr>
          <w:rFonts w:hint="eastAsia" w:ascii="宋体" w:hAnsi="宋体" w:eastAsia="宋体" w:cs="宋体"/>
          <w:color w:val="333333"/>
          <w:sz w:val="24"/>
          <w:szCs w:val="24"/>
          <w:highlight w:val="none"/>
        </w:rPr>
        <w:t>（详见附件）。</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highlight w:val="none"/>
        </w:rPr>
      </w:pPr>
      <w:r>
        <w:rPr>
          <w:rFonts w:hint="eastAsia" w:ascii="宋体" w:hAnsi="宋体" w:eastAsia="宋体" w:cs="宋体"/>
          <w:color w:val="333333"/>
          <w:sz w:val="24"/>
          <w:szCs w:val="24"/>
          <w:highlight w:val="none"/>
        </w:rPr>
        <w:t>四、联系方式</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招标人：</w:t>
      </w:r>
      <w:r>
        <w:rPr>
          <w:rFonts w:hint="eastAsia" w:ascii="宋体" w:hAnsi="宋体" w:cs="宋体"/>
          <w:color w:val="333333"/>
          <w:sz w:val="24"/>
          <w:szCs w:val="24"/>
          <w:highlight w:val="none"/>
          <w:lang w:val="en-US" w:eastAsia="zh-CN"/>
        </w:rPr>
        <w:t>赣州交通控股集团有限公司</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地  址：</w:t>
      </w:r>
      <w:r>
        <w:rPr>
          <w:rFonts w:hint="eastAsia" w:eastAsia="宋体" w:cs="宋体"/>
          <w:color w:val="auto"/>
          <w:sz w:val="24"/>
          <w:highlight w:val="none"/>
          <w:lang w:eastAsia="zh-CN"/>
        </w:rPr>
        <w:t>江西省赣州市章贡区沙河镇赣州绕城高速赣州东出口</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邮  编：341000</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联系人：</w:t>
      </w:r>
      <w:r>
        <w:rPr>
          <w:rFonts w:hint="eastAsia" w:eastAsia="宋体" w:cs="宋体"/>
          <w:color w:val="auto"/>
          <w:sz w:val="24"/>
          <w:szCs w:val="24"/>
          <w:highlight w:val="none"/>
          <w:lang w:eastAsia="zh-CN"/>
        </w:rPr>
        <w:t>温女士</w:t>
      </w:r>
      <w:r>
        <w:rPr>
          <w:rFonts w:hint="default" w:ascii="宋体" w:hAnsi="宋体" w:eastAsia="宋体" w:cs="宋体"/>
          <w:color w:val="333333"/>
          <w:sz w:val="24"/>
          <w:szCs w:val="24"/>
          <w:highlight w:val="non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电  话：</w:t>
      </w:r>
      <w:r>
        <w:rPr>
          <w:rFonts w:hint="eastAsia" w:ascii="宋体" w:hAnsi="宋体" w:eastAsia="宋体" w:cs="宋体"/>
          <w:color w:val="333333"/>
          <w:sz w:val="24"/>
          <w:szCs w:val="24"/>
          <w:highlight w:val="none"/>
          <w:lang w:val="en-US" w:eastAsia="zh-CN"/>
        </w:rPr>
        <w:t>0797-8289692</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传  真：</w:t>
      </w:r>
      <w:r>
        <w:rPr>
          <w:rFonts w:hint="eastAsia" w:ascii="宋体" w:hAnsi="宋体" w:eastAsia="宋体" w:cs="宋体"/>
          <w:color w:val="333333"/>
          <w:sz w:val="24"/>
          <w:szCs w:val="24"/>
          <w:highlight w:val="none"/>
          <w:lang w:val="en-US" w:eastAsia="zh-CN"/>
        </w:rPr>
        <w:t>0797-8289692</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招标代理机构：</w:t>
      </w:r>
      <w:r>
        <w:rPr>
          <w:rFonts w:hint="eastAsia" w:ascii="宋体" w:hAnsi="宋体" w:cs="宋体"/>
          <w:color w:val="333333"/>
          <w:sz w:val="24"/>
          <w:szCs w:val="24"/>
          <w:highlight w:val="none"/>
          <w:lang w:val="en-US" w:eastAsia="zh-CN"/>
        </w:rPr>
        <w:t>江西省赣南公路勘察设计院有限公司</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地     址：赣州市章江新区赞贤路36号</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联  系 人：</w:t>
      </w:r>
      <w:r>
        <w:rPr>
          <w:rFonts w:hint="eastAsia" w:ascii="宋体" w:hAnsi="宋体" w:cs="宋体"/>
          <w:color w:val="333333"/>
          <w:sz w:val="24"/>
          <w:szCs w:val="24"/>
          <w:highlight w:val="none"/>
          <w:lang w:val="en-US" w:eastAsia="zh-CN"/>
        </w:rPr>
        <w:t>赖丙娣</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电    话： 0797-8088235</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电子邮件：gnglkcsjy@163.com</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江西省公共资源交易系统（交通平台）技术支持电话：4008503300</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宋体" w:hAnsi="宋体" w:eastAsia="宋体" w:cs="宋体"/>
          <w:color w:val="333333"/>
          <w:sz w:val="24"/>
          <w:szCs w:val="24"/>
          <w:highlight w:val="none"/>
          <w:lang w:val="en-US" w:eastAsia="zh-CN"/>
        </w:rPr>
      </w:pPr>
    </w:p>
    <w:p>
      <w:pP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br w:type="page"/>
      </w:r>
      <w:r>
        <w:rPr>
          <w:rFonts w:hint="eastAsia" w:ascii="宋体" w:hAnsi="宋体" w:eastAsia="宋体" w:cs="宋体"/>
          <w:color w:val="333333"/>
          <w:sz w:val="24"/>
          <w:szCs w:val="24"/>
          <w:highlight w:val="none"/>
          <w:lang w:val="en-US" w:eastAsia="zh-CN"/>
        </w:rPr>
        <w:t>附件：</w:t>
      </w:r>
      <w:bookmarkStart w:id="0" w:name="_Toc9094"/>
      <w:r>
        <w:rPr>
          <w:rFonts w:hint="eastAsia" w:ascii="Times New Roman" w:hAnsi="Times New Roman" w:eastAsia="黑体"/>
          <w:b w:val="0"/>
          <w:bCs w:val="0"/>
          <w:kern w:val="44"/>
          <w:sz w:val="30"/>
          <w:szCs w:val="24"/>
          <w:highlight w:val="none"/>
          <w:lang w:val="en-US" w:eastAsia="zh-CN"/>
        </w:rPr>
        <w:t>评标办法</w:t>
      </w:r>
    </w:p>
    <w:bookmarkEnd w:id="0"/>
    <w:p>
      <w:pPr>
        <w:pStyle w:val="5"/>
        <w:spacing w:before="1"/>
        <w:ind w:left="424"/>
        <w:outlineLvl w:val="2"/>
        <w:rPr>
          <w:rFonts w:hint="eastAsia" w:ascii="宋体" w:hAnsi="宋体" w:eastAsia="宋体" w:cs="宋体"/>
          <w:b/>
          <w:color w:val="auto"/>
          <w:sz w:val="14"/>
          <w:highlight w:val="none"/>
        </w:rPr>
      </w:pPr>
      <w:bookmarkStart w:id="1" w:name="_Toc18027"/>
      <w:bookmarkStart w:id="2" w:name="_Toc1029"/>
      <w:r>
        <w:rPr>
          <w:rFonts w:hint="eastAsia" w:ascii="宋体" w:hAnsi="宋体" w:eastAsia="宋体" w:cs="宋体"/>
          <w:color w:val="auto"/>
          <w:highlight w:val="none"/>
        </w:rPr>
        <w:t>评标办法前附表</w:t>
      </w:r>
      <w:bookmarkEnd w:id="1"/>
      <w:bookmarkEnd w:id="2"/>
      <w:r>
        <w:rPr>
          <w:rFonts w:hint="eastAsia" w:ascii="宋体" w:hAnsi="宋体" w:eastAsia="宋体" w:cs="宋体"/>
          <w:color w:val="auto"/>
          <w:highlight w:val="non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843"/>
        <w:gridCol w:w="776"/>
        <w:gridCol w:w="2000"/>
        <w:gridCol w:w="5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404" w:type="dxa"/>
            <w:gridSpan w:val="3"/>
            <w:noWrap w:val="0"/>
            <w:vAlign w:val="top"/>
          </w:tcPr>
          <w:p>
            <w:pPr>
              <w:pStyle w:val="24"/>
              <w:spacing w:before="130" w:line="250" w:lineRule="exact"/>
              <w:ind w:left="673" w:right="666"/>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条款号</w:t>
            </w:r>
          </w:p>
        </w:tc>
        <w:tc>
          <w:tcPr>
            <w:tcW w:w="7075" w:type="dxa"/>
            <w:gridSpan w:val="2"/>
            <w:noWrap w:val="0"/>
            <w:vAlign w:val="top"/>
          </w:tcPr>
          <w:p>
            <w:pPr>
              <w:pStyle w:val="24"/>
              <w:spacing w:before="130" w:line="250" w:lineRule="exact"/>
              <w:ind w:left="2341" w:right="2329"/>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jc w:val="center"/>
        </w:trPr>
        <w:tc>
          <w:tcPr>
            <w:tcW w:w="785" w:type="dxa"/>
            <w:noWrap w:val="0"/>
            <w:vAlign w:val="top"/>
          </w:tcPr>
          <w:p>
            <w:pPr>
              <w:pStyle w:val="24"/>
              <w:rPr>
                <w:rFonts w:hint="eastAsia" w:ascii="宋体" w:hAnsi="宋体" w:eastAsia="宋体" w:cs="宋体"/>
                <w:b/>
                <w:color w:val="auto"/>
                <w:highlight w:val="none"/>
              </w:rPr>
            </w:pPr>
          </w:p>
          <w:p>
            <w:pPr>
              <w:pStyle w:val="24"/>
              <w:rPr>
                <w:rFonts w:hint="eastAsia" w:ascii="宋体" w:hAnsi="宋体" w:eastAsia="宋体" w:cs="宋体"/>
                <w:b/>
                <w:color w:val="auto"/>
                <w:highlight w:val="none"/>
              </w:rPr>
            </w:pPr>
          </w:p>
          <w:p>
            <w:pPr>
              <w:pStyle w:val="24"/>
              <w:spacing w:before="187"/>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1619" w:type="dxa"/>
            <w:gridSpan w:val="2"/>
            <w:noWrap w:val="0"/>
            <w:vAlign w:val="top"/>
          </w:tcPr>
          <w:p>
            <w:pPr>
              <w:pStyle w:val="24"/>
              <w:rPr>
                <w:rFonts w:hint="eastAsia" w:ascii="宋体" w:hAnsi="宋体" w:eastAsia="宋体" w:cs="宋体"/>
                <w:b/>
                <w:color w:val="auto"/>
                <w:sz w:val="20"/>
                <w:highlight w:val="none"/>
              </w:rPr>
            </w:pPr>
          </w:p>
          <w:p>
            <w:pPr>
              <w:pStyle w:val="24"/>
              <w:rPr>
                <w:rFonts w:hint="eastAsia" w:ascii="宋体" w:hAnsi="宋体" w:eastAsia="宋体" w:cs="宋体"/>
                <w:b/>
                <w:color w:val="auto"/>
                <w:sz w:val="20"/>
                <w:highlight w:val="none"/>
              </w:rPr>
            </w:pPr>
          </w:p>
          <w:p>
            <w:pPr>
              <w:pStyle w:val="24"/>
              <w:spacing w:before="10"/>
              <w:rPr>
                <w:rFonts w:hint="eastAsia" w:ascii="宋体" w:hAnsi="宋体" w:eastAsia="宋体" w:cs="宋体"/>
                <w:b/>
                <w:color w:val="auto"/>
                <w:sz w:val="18"/>
                <w:highlight w:val="none"/>
              </w:rPr>
            </w:pPr>
          </w:p>
          <w:p>
            <w:pPr>
              <w:pStyle w:val="2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评标方法</w:t>
            </w:r>
          </w:p>
        </w:tc>
        <w:tc>
          <w:tcPr>
            <w:tcW w:w="7075" w:type="dxa"/>
            <w:gridSpan w:val="2"/>
            <w:noWrap w:val="0"/>
            <w:vAlign w:val="top"/>
          </w:tcPr>
          <w:p>
            <w:pPr>
              <w:pStyle w:val="24"/>
              <w:spacing w:before="89" w:line="276" w:lineRule="auto"/>
              <w:ind w:left="107" w:right="96"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综合评分相等时，评标委员会依次按照以下优先顺序推荐中标候选人或确定中标人：</w:t>
            </w:r>
          </w:p>
          <w:p>
            <w:pPr>
              <w:pStyle w:val="24"/>
              <w:numPr>
                <w:ilvl w:val="0"/>
                <w:numId w:val="1"/>
              </w:numPr>
              <w:spacing w:line="276" w:lineRule="auto"/>
              <w:ind w:left="10" w:leftChars="0" w:firstLine="21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评标价低的投标人优先；</w:t>
            </w:r>
          </w:p>
          <w:p>
            <w:pPr>
              <w:pStyle w:val="24"/>
              <w:numPr>
                <w:ilvl w:val="0"/>
                <w:numId w:val="1"/>
              </w:numPr>
              <w:spacing w:line="276" w:lineRule="auto"/>
              <w:ind w:left="10" w:leftChars="0" w:firstLine="220" w:firstLineChars="0"/>
              <w:rPr>
                <w:rFonts w:hint="eastAsia" w:ascii="宋体" w:hAnsi="宋体" w:eastAsia="宋体" w:cs="宋体"/>
                <w:color w:val="auto"/>
                <w:sz w:val="21"/>
                <w:szCs w:val="21"/>
                <w:highlight w:val="none"/>
              </w:rPr>
            </w:pPr>
            <w:r>
              <w:rPr>
                <w:rFonts w:hint="eastAsia"/>
                <w:highlight w:val="none"/>
                <w:lang w:val="en-US"/>
              </w:rPr>
              <w:t>商务和技术得分较高的投标人优先</w:t>
            </w:r>
            <w:r>
              <w:rPr>
                <w:rFonts w:hint="eastAsia"/>
                <w:highlight w:val="none"/>
                <w:lang w:val="en-US" w:eastAsia="zh-CN"/>
              </w:rPr>
              <w:t>；</w:t>
            </w:r>
          </w:p>
          <w:p>
            <w:pPr>
              <w:pStyle w:val="24"/>
              <w:numPr>
                <w:ilvl w:val="0"/>
                <w:numId w:val="1"/>
              </w:numPr>
              <w:spacing w:line="276" w:lineRule="auto"/>
              <w:ind w:left="10" w:leftChars="0" w:firstLine="210" w:firstLineChars="0"/>
              <w:rPr>
                <w:rFonts w:hint="eastAsia" w:ascii="宋体" w:hAnsi="宋体" w:eastAsia="宋体" w:cs="宋体"/>
                <w:color w:val="auto"/>
                <w:sz w:val="21"/>
                <w:highlight w:val="none"/>
                <w:lang w:val="en-US" w:eastAsia="zh-CN"/>
              </w:rPr>
            </w:pPr>
            <w:r>
              <w:rPr>
                <w:rFonts w:hint="eastAsia" w:eastAsia="宋体" w:cs="宋体"/>
                <w:color w:val="auto"/>
                <w:sz w:val="21"/>
                <w:szCs w:val="21"/>
                <w:highlight w:val="none"/>
                <w:lang w:eastAsia="zh-CN"/>
              </w:rPr>
              <w:t>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404" w:type="dxa"/>
            <w:gridSpan w:val="3"/>
            <w:noWrap w:val="0"/>
            <w:vAlign w:val="center"/>
          </w:tcPr>
          <w:p>
            <w:pPr>
              <w:jc w:val="center"/>
              <w:rPr>
                <w:color w:val="auto"/>
                <w:sz w:val="21"/>
                <w:highlight w:val="none"/>
              </w:rPr>
            </w:pPr>
            <w:r>
              <w:rPr>
                <w:color w:val="auto"/>
                <w:sz w:val="21"/>
                <w:highlight w:val="none"/>
              </w:rPr>
              <w:t>条款号</w:t>
            </w:r>
          </w:p>
        </w:tc>
        <w:tc>
          <w:tcPr>
            <w:tcW w:w="2000" w:type="dxa"/>
            <w:noWrap w:val="0"/>
            <w:vAlign w:val="center"/>
          </w:tcPr>
          <w:p>
            <w:pPr>
              <w:jc w:val="center"/>
              <w:rPr>
                <w:color w:val="auto"/>
                <w:sz w:val="21"/>
                <w:highlight w:val="none"/>
              </w:rPr>
            </w:pPr>
            <w:r>
              <w:rPr>
                <w:color w:val="auto"/>
                <w:sz w:val="21"/>
                <w:highlight w:val="none"/>
              </w:rPr>
              <w:t>评审因素</w:t>
            </w:r>
          </w:p>
        </w:tc>
        <w:tc>
          <w:tcPr>
            <w:tcW w:w="50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ind w:left="63" w:leftChars="30" w:right="63" w:rightChars="30"/>
              <w:jc w:val="center"/>
              <w:textAlignment w:val="auto"/>
              <w:rPr>
                <w:color w:val="auto"/>
                <w:sz w:val="21"/>
                <w:highlight w:val="none"/>
              </w:rPr>
            </w:pPr>
            <w:r>
              <w:rPr>
                <w:color w:val="auto"/>
                <w:sz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785" w:type="dxa"/>
            <w:vMerge w:val="restart"/>
            <w:noWrap w:val="0"/>
            <w:vAlign w:val="center"/>
          </w:tcPr>
          <w:p>
            <w:pPr>
              <w:jc w:val="center"/>
              <w:rPr>
                <w:rFonts w:hint="eastAsia"/>
                <w:color w:val="auto"/>
                <w:sz w:val="21"/>
                <w:highlight w:val="none"/>
              </w:rPr>
            </w:pPr>
            <w:r>
              <w:rPr>
                <w:color w:val="auto"/>
                <w:sz w:val="21"/>
                <w:highlight w:val="none"/>
              </w:rPr>
              <w:t>2.1.1</w:t>
            </w:r>
          </w:p>
          <w:p>
            <w:pPr>
              <w:jc w:val="center"/>
              <w:rPr>
                <w:rFonts w:hint="eastAsia"/>
                <w:color w:val="auto"/>
                <w:sz w:val="21"/>
                <w:highlight w:val="none"/>
              </w:rPr>
            </w:pPr>
            <w:r>
              <w:rPr>
                <w:rFonts w:hint="eastAsia"/>
                <w:color w:val="auto"/>
                <w:sz w:val="21"/>
                <w:highlight w:val="none"/>
              </w:rPr>
              <w:t>2.1.3</w:t>
            </w:r>
          </w:p>
        </w:tc>
        <w:tc>
          <w:tcPr>
            <w:tcW w:w="843" w:type="dxa"/>
            <w:vMerge w:val="restart"/>
            <w:noWrap w:val="0"/>
            <w:vAlign w:val="center"/>
          </w:tcPr>
          <w:p>
            <w:pPr>
              <w:jc w:val="center"/>
              <w:rPr>
                <w:rFonts w:hint="eastAsia"/>
                <w:color w:val="auto"/>
                <w:sz w:val="21"/>
                <w:highlight w:val="none"/>
              </w:rPr>
            </w:pPr>
            <w:r>
              <w:rPr>
                <w:rFonts w:hint="eastAsia"/>
                <w:color w:val="auto"/>
                <w:sz w:val="21"/>
                <w:highlight w:val="none"/>
              </w:rPr>
              <w:t>第</w:t>
            </w:r>
          </w:p>
          <w:p>
            <w:pPr>
              <w:jc w:val="center"/>
              <w:rPr>
                <w:rFonts w:hint="eastAsia"/>
                <w:color w:val="auto"/>
                <w:sz w:val="21"/>
                <w:highlight w:val="none"/>
              </w:rPr>
            </w:pPr>
            <w:r>
              <w:rPr>
                <w:rFonts w:hint="eastAsia"/>
                <w:color w:val="auto"/>
                <w:sz w:val="21"/>
                <w:highlight w:val="none"/>
              </w:rPr>
              <w:t>一</w:t>
            </w:r>
          </w:p>
          <w:p>
            <w:pPr>
              <w:jc w:val="center"/>
              <w:rPr>
                <w:rFonts w:hint="eastAsia"/>
                <w:color w:val="auto"/>
                <w:sz w:val="21"/>
                <w:highlight w:val="none"/>
              </w:rPr>
            </w:pPr>
            <w:r>
              <w:rPr>
                <w:rFonts w:hint="eastAsia"/>
                <w:color w:val="auto"/>
                <w:sz w:val="21"/>
                <w:highlight w:val="none"/>
              </w:rPr>
              <w:t>个</w:t>
            </w:r>
          </w:p>
          <w:p>
            <w:pPr>
              <w:jc w:val="center"/>
              <w:rPr>
                <w:rFonts w:hint="eastAsia"/>
                <w:color w:val="auto"/>
                <w:sz w:val="21"/>
                <w:highlight w:val="none"/>
              </w:rPr>
            </w:pPr>
            <w:r>
              <w:rPr>
                <w:rFonts w:hint="eastAsia"/>
                <w:color w:val="auto"/>
                <w:sz w:val="21"/>
                <w:highlight w:val="none"/>
              </w:rPr>
              <w:t>信</w:t>
            </w:r>
          </w:p>
          <w:p>
            <w:pPr>
              <w:jc w:val="center"/>
              <w:rPr>
                <w:rFonts w:hint="eastAsia"/>
                <w:color w:val="auto"/>
                <w:sz w:val="21"/>
                <w:highlight w:val="none"/>
              </w:rPr>
            </w:pPr>
            <w:r>
              <w:rPr>
                <w:rFonts w:hint="eastAsia"/>
                <w:color w:val="auto"/>
                <w:sz w:val="21"/>
                <w:highlight w:val="none"/>
              </w:rPr>
              <w:t>封</w:t>
            </w:r>
          </w:p>
          <w:p>
            <w:pPr>
              <w:jc w:val="center"/>
              <w:rPr>
                <w:rFonts w:hint="eastAsia"/>
                <w:color w:val="auto"/>
                <w:sz w:val="21"/>
                <w:highlight w:val="none"/>
              </w:rPr>
            </w:pPr>
            <w:r>
              <w:rPr>
                <w:rFonts w:hint="eastAsia"/>
                <w:color w:val="auto"/>
                <w:sz w:val="21"/>
                <w:highlight w:val="none"/>
              </w:rPr>
              <w:t>︵</w:t>
            </w:r>
          </w:p>
          <w:p>
            <w:pPr>
              <w:jc w:val="center"/>
              <w:rPr>
                <w:color w:val="auto"/>
                <w:sz w:val="21"/>
                <w:highlight w:val="none"/>
              </w:rPr>
            </w:pPr>
            <w:r>
              <w:rPr>
                <w:rFonts w:hint="eastAsia"/>
                <w:color w:val="auto"/>
                <w:sz w:val="21"/>
                <w:highlight w:val="none"/>
              </w:rPr>
              <w:t>商</w:t>
            </w:r>
          </w:p>
          <w:p>
            <w:pPr>
              <w:jc w:val="center"/>
              <w:rPr>
                <w:rFonts w:hint="eastAsia"/>
                <w:color w:val="auto"/>
                <w:sz w:val="21"/>
                <w:highlight w:val="none"/>
              </w:rPr>
            </w:pPr>
            <w:r>
              <w:rPr>
                <w:rFonts w:hint="eastAsia"/>
                <w:color w:val="auto"/>
                <w:sz w:val="21"/>
                <w:highlight w:val="none"/>
              </w:rPr>
              <w:t>务</w:t>
            </w:r>
          </w:p>
          <w:p>
            <w:pPr>
              <w:jc w:val="center"/>
              <w:rPr>
                <w:rFonts w:hint="eastAsia"/>
                <w:color w:val="auto"/>
                <w:sz w:val="21"/>
                <w:highlight w:val="none"/>
              </w:rPr>
            </w:pPr>
            <w:r>
              <w:rPr>
                <w:rFonts w:hint="eastAsia"/>
                <w:color w:val="auto"/>
                <w:sz w:val="21"/>
                <w:highlight w:val="none"/>
              </w:rPr>
              <w:t>及</w:t>
            </w:r>
          </w:p>
          <w:p>
            <w:pPr>
              <w:jc w:val="center"/>
              <w:rPr>
                <w:rFonts w:hint="eastAsia"/>
                <w:color w:val="auto"/>
                <w:sz w:val="21"/>
                <w:highlight w:val="none"/>
              </w:rPr>
            </w:pPr>
            <w:r>
              <w:rPr>
                <w:rFonts w:hint="eastAsia"/>
                <w:color w:val="auto"/>
                <w:sz w:val="21"/>
                <w:highlight w:val="none"/>
              </w:rPr>
              <w:t>技</w:t>
            </w:r>
          </w:p>
          <w:p>
            <w:pPr>
              <w:jc w:val="center"/>
              <w:rPr>
                <w:color w:val="auto"/>
                <w:sz w:val="21"/>
                <w:highlight w:val="none"/>
              </w:rPr>
            </w:pPr>
            <w:r>
              <w:rPr>
                <w:rFonts w:hint="eastAsia"/>
                <w:color w:val="auto"/>
                <w:sz w:val="21"/>
                <w:highlight w:val="none"/>
              </w:rPr>
              <w:t>术</w:t>
            </w:r>
          </w:p>
          <w:p>
            <w:pPr>
              <w:jc w:val="center"/>
              <w:rPr>
                <w:color w:val="auto"/>
                <w:sz w:val="21"/>
                <w:highlight w:val="none"/>
              </w:rPr>
            </w:pPr>
            <w:r>
              <w:rPr>
                <w:rFonts w:hint="eastAsia"/>
                <w:color w:val="auto"/>
                <w:sz w:val="21"/>
                <w:highlight w:val="none"/>
              </w:rPr>
              <w:t>文</w:t>
            </w:r>
          </w:p>
          <w:p>
            <w:pPr>
              <w:jc w:val="center"/>
              <w:rPr>
                <w:rFonts w:hint="eastAsia"/>
                <w:color w:val="auto"/>
                <w:sz w:val="21"/>
                <w:highlight w:val="none"/>
              </w:rPr>
            </w:pPr>
            <w:r>
              <w:rPr>
                <w:rFonts w:hint="eastAsia"/>
                <w:color w:val="auto"/>
                <w:sz w:val="21"/>
                <w:highlight w:val="none"/>
              </w:rPr>
              <w:t>件</w:t>
            </w:r>
          </w:p>
          <w:p>
            <w:pPr>
              <w:jc w:val="center"/>
              <w:rPr>
                <w:rFonts w:hint="eastAsia"/>
                <w:color w:val="auto"/>
                <w:sz w:val="21"/>
                <w:highlight w:val="none"/>
              </w:rPr>
            </w:pPr>
            <w:r>
              <w:rPr>
                <w:rFonts w:hint="eastAsia"/>
                <w:color w:val="auto"/>
                <w:sz w:val="21"/>
                <w:highlight w:val="none"/>
              </w:rPr>
              <w:t>︶</w:t>
            </w:r>
          </w:p>
        </w:tc>
        <w:tc>
          <w:tcPr>
            <w:tcW w:w="776" w:type="dxa"/>
            <w:vMerge w:val="restart"/>
            <w:noWrap w:val="0"/>
            <w:textDirection w:val="tbRlV"/>
            <w:vAlign w:val="center"/>
          </w:tcPr>
          <w:p>
            <w:pPr>
              <w:ind w:left="420"/>
              <w:jc w:val="center"/>
              <w:rPr>
                <w:rFonts w:hint="eastAsia"/>
                <w:color w:val="auto"/>
                <w:sz w:val="21"/>
                <w:highlight w:val="none"/>
              </w:rPr>
            </w:pPr>
            <w:r>
              <w:rPr>
                <w:rFonts w:hint="eastAsia"/>
                <w:color w:val="auto"/>
                <w:sz w:val="21"/>
                <w:highlight w:val="none"/>
              </w:rPr>
              <w:t>形式评审与响应性评审标准</w:t>
            </w:r>
          </w:p>
        </w:tc>
        <w:tc>
          <w:tcPr>
            <w:tcW w:w="2000" w:type="dxa"/>
            <w:noWrap w:val="0"/>
            <w:vAlign w:val="center"/>
          </w:tcPr>
          <w:p>
            <w:pPr>
              <w:jc w:val="center"/>
              <w:rPr>
                <w:color w:val="auto"/>
                <w:sz w:val="21"/>
                <w:highlight w:val="none"/>
              </w:rPr>
            </w:pPr>
            <w:r>
              <w:rPr>
                <w:color w:val="auto"/>
                <w:sz w:val="21"/>
                <w:highlight w:val="none"/>
              </w:rPr>
              <w:t>投标</w:t>
            </w:r>
            <w:r>
              <w:rPr>
                <w:rFonts w:hint="eastAsia"/>
                <w:color w:val="auto"/>
                <w:sz w:val="21"/>
                <w:highlight w:val="none"/>
              </w:rPr>
              <w:t>函填写</w:t>
            </w:r>
          </w:p>
        </w:tc>
        <w:tc>
          <w:tcPr>
            <w:tcW w:w="5075" w:type="dxa"/>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left"/>
              <w:textAlignment w:val="auto"/>
              <w:rPr>
                <w:rFonts w:hint="eastAsia"/>
                <w:color w:val="auto"/>
                <w:sz w:val="21"/>
                <w:highlight w:val="none"/>
              </w:rPr>
            </w:pPr>
            <w:r>
              <w:rPr>
                <w:rFonts w:hint="eastAsia" w:ascii="宋体" w:hAnsi="宋体" w:eastAsia="宋体" w:cs="宋体"/>
                <w:color w:val="auto"/>
                <w:sz w:val="21"/>
                <w:szCs w:val="22"/>
                <w:highlight w:val="none"/>
                <w:lang w:val="zh-CN" w:eastAsia="zh-CN" w:bidi="zh-CN"/>
              </w:rPr>
              <w:t>投标函按招标文件规定填报了项目名称、补遗书编号（如有）、工期、工程质量要求及安全目标，投标函附录的所有数据均符合招标文件规定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color w:val="auto"/>
                <w:sz w:val="21"/>
                <w:highlight w:val="none"/>
              </w:rPr>
            </w:pPr>
            <w:r>
              <w:rPr>
                <w:color w:val="auto"/>
                <w:sz w:val="21"/>
                <w:highlight w:val="none"/>
              </w:rPr>
              <w:t>文件</w:t>
            </w:r>
            <w:r>
              <w:rPr>
                <w:rFonts w:hint="eastAsia"/>
                <w:color w:val="auto"/>
                <w:sz w:val="21"/>
                <w:highlight w:val="none"/>
              </w:rPr>
              <w:t>填写及组成</w:t>
            </w:r>
          </w:p>
        </w:tc>
        <w:tc>
          <w:tcPr>
            <w:tcW w:w="50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ind w:left="63" w:leftChars="30" w:right="63" w:rightChars="30"/>
              <w:textAlignment w:val="auto"/>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zh-CN" w:eastAsia="zh-CN" w:bidi="zh-CN"/>
              </w:rPr>
              <w:t>投标文件组成齐全完整，内容均按规定填写。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color w:val="auto"/>
                <w:sz w:val="21"/>
                <w:highlight w:val="none"/>
              </w:rPr>
            </w:pPr>
            <w:r>
              <w:rPr>
                <w:rFonts w:hint="eastAsia"/>
                <w:color w:val="auto"/>
                <w:sz w:val="21"/>
                <w:highlight w:val="none"/>
              </w:rPr>
              <w:t>文件</w:t>
            </w:r>
            <w:r>
              <w:rPr>
                <w:color w:val="auto"/>
                <w:sz w:val="21"/>
                <w:highlight w:val="none"/>
              </w:rPr>
              <w:t>签字盖章</w:t>
            </w:r>
          </w:p>
        </w:tc>
        <w:tc>
          <w:tcPr>
            <w:tcW w:w="50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ind w:left="63" w:leftChars="30" w:right="63" w:rightChars="30"/>
              <w:textAlignment w:val="auto"/>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1"/>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color w:val="auto"/>
                <w:sz w:val="21"/>
                <w:highlight w:val="none"/>
              </w:rPr>
            </w:pPr>
            <w:r>
              <w:rPr>
                <w:rFonts w:hint="eastAsia"/>
                <w:color w:val="auto"/>
                <w:sz w:val="21"/>
                <w:highlight w:val="none"/>
              </w:rPr>
              <w:t>投标保证金</w:t>
            </w:r>
          </w:p>
        </w:tc>
        <w:tc>
          <w:tcPr>
            <w:tcW w:w="50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ind w:left="63" w:leftChars="30" w:right="63" w:rightChars="30"/>
              <w:textAlignment w:val="auto"/>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rFonts w:hint="eastAsia"/>
                <w:color w:val="auto"/>
                <w:sz w:val="21"/>
                <w:highlight w:val="none"/>
              </w:rPr>
            </w:pPr>
            <w:r>
              <w:rPr>
                <w:rFonts w:hint="eastAsia"/>
                <w:color w:val="auto"/>
                <w:sz w:val="21"/>
                <w:highlight w:val="none"/>
              </w:rPr>
              <w:t>投标文件备选方案</w:t>
            </w:r>
          </w:p>
        </w:tc>
        <w:tc>
          <w:tcPr>
            <w:tcW w:w="50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ind w:left="63" w:leftChars="30" w:right="63" w:rightChars="30"/>
              <w:textAlignment w:val="auto"/>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1"/>
                <w:highlight w:val="none"/>
              </w:rPr>
              <w:t>同一投标人同一标段未提交两个以上不同的投标文件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color w:val="auto"/>
                <w:sz w:val="21"/>
                <w:highlight w:val="none"/>
              </w:rPr>
            </w:pPr>
            <w:r>
              <w:rPr>
                <w:rFonts w:hint="eastAsia"/>
                <w:color w:val="auto"/>
                <w:sz w:val="21"/>
                <w:highlight w:val="none"/>
              </w:rPr>
              <w:t>投标报价</w:t>
            </w:r>
          </w:p>
        </w:tc>
        <w:tc>
          <w:tcPr>
            <w:tcW w:w="50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ind w:left="63" w:leftChars="30" w:right="63" w:rightChars="30"/>
              <w:textAlignment w:val="auto"/>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1"/>
                <w:highlight w:val="none"/>
              </w:rPr>
              <w:t>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rFonts w:hint="eastAsia" w:eastAsia="宋体"/>
                <w:color w:val="auto"/>
                <w:sz w:val="21"/>
                <w:highlight w:val="none"/>
                <w:lang w:eastAsia="zh-CN"/>
              </w:rPr>
            </w:pPr>
            <w:r>
              <w:rPr>
                <w:rFonts w:hint="eastAsia"/>
                <w:color w:val="auto"/>
                <w:sz w:val="21"/>
                <w:highlight w:val="none"/>
                <w:lang w:val="en-US" w:eastAsia="zh-CN"/>
              </w:rPr>
              <w:t>计划工期</w:t>
            </w:r>
          </w:p>
        </w:tc>
        <w:tc>
          <w:tcPr>
            <w:tcW w:w="50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firstLine="0" w:firstLineChars="0"/>
              <w:textAlignment w:val="auto"/>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1"/>
                <w:highlight w:val="none"/>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rFonts w:hint="eastAsia" w:eastAsia="宋体"/>
                <w:color w:val="auto"/>
                <w:sz w:val="21"/>
                <w:highlight w:val="none"/>
                <w:lang w:val="en-US" w:eastAsia="zh-CN"/>
              </w:rPr>
            </w:pPr>
            <w:r>
              <w:rPr>
                <w:color w:val="auto"/>
                <w:sz w:val="21"/>
                <w:highlight w:val="none"/>
              </w:rPr>
              <w:t>质量</w:t>
            </w:r>
            <w:r>
              <w:rPr>
                <w:rFonts w:hint="eastAsia"/>
                <w:color w:val="auto"/>
                <w:sz w:val="21"/>
                <w:highlight w:val="none"/>
                <w:lang w:val="en-US" w:eastAsia="zh-CN"/>
              </w:rPr>
              <w:t>要求</w:t>
            </w:r>
          </w:p>
        </w:tc>
        <w:tc>
          <w:tcPr>
            <w:tcW w:w="50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firstLine="0" w:firstLineChars="0"/>
              <w:textAlignment w:val="auto"/>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1"/>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color w:val="auto"/>
                <w:sz w:val="21"/>
                <w:highlight w:val="none"/>
              </w:rPr>
            </w:pPr>
            <w:r>
              <w:rPr>
                <w:rFonts w:hint="eastAsia"/>
                <w:color w:val="auto"/>
                <w:sz w:val="21"/>
                <w:highlight w:val="none"/>
              </w:rPr>
              <w:t>安全目标</w:t>
            </w:r>
          </w:p>
        </w:tc>
        <w:tc>
          <w:tcPr>
            <w:tcW w:w="50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firstLine="0" w:firstLineChars="0"/>
              <w:textAlignment w:val="auto"/>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1"/>
                <w:highlight w:val="none"/>
              </w:rPr>
              <w:t>符合第二章“投标人须知”第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color w:val="auto"/>
                <w:sz w:val="21"/>
                <w:highlight w:val="none"/>
                <w:lang w:val="en-US"/>
              </w:rPr>
            </w:pPr>
            <w:r>
              <w:rPr>
                <w:rFonts w:hint="eastAsia"/>
                <w:color w:val="auto"/>
                <w:sz w:val="21"/>
                <w:highlight w:val="none"/>
              </w:rPr>
              <w:t>实质性响应</w:t>
            </w:r>
          </w:p>
        </w:tc>
        <w:tc>
          <w:tcPr>
            <w:tcW w:w="50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ind w:left="63" w:leftChars="30" w:right="63" w:rightChars="30"/>
              <w:textAlignment w:val="auto"/>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1"/>
                <w:highlight w:val="none"/>
              </w:rPr>
              <w:t>对招标文件的实质性要求和条件作出响应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785" w:type="dxa"/>
            <w:vMerge w:val="continue"/>
            <w:noWrap w:val="0"/>
            <w:vAlign w:val="center"/>
          </w:tcPr>
          <w:p>
            <w:pPr>
              <w:ind w:left="420"/>
              <w:rPr>
                <w:color w:val="auto"/>
                <w:sz w:val="21"/>
                <w:highlight w:val="none"/>
              </w:rPr>
            </w:pPr>
          </w:p>
        </w:tc>
        <w:tc>
          <w:tcPr>
            <w:tcW w:w="843" w:type="dxa"/>
            <w:vMerge w:val="continue"/>
            <w:noWrap w:val="0"/>
            <w:vAlign w:val="center"/>
          </w:tcPr>
          <w:p>
            <w:pPr>
              <w:ind w:left="420"/>
              <w:rPr>
                <w:color w:val="auto"/>
                <w:sz w:val="21"/>
                <w:highlight w:val="none"/>
              </w:rPr>
            </w:pPr>
          </w:p>
        </w:tc>
        <w:tc>
          <w:tcPr>
            <w:tcW w:w="776" w:type="dxa"/>
            <w:vMerge w:val="continue"/>
            <w:noWrap w:val="0"/>
            <w:vAlign w:val="center"/>
          </w:tcPr>
          <w:p>
            <w:pPr>
              <w:ind w:left="420"/>
              <w:rPr>
                <w:color w:val="auto"/>
                <w:sz w:val="21"/>
                <w:highlight w:val="none"/>
              </w:rPr>
            </w:pPr>
          </w:p>
        </w:tc>
        <w:tc>
          <w:tcPr>
            <w:tcW w:w="2000" w:type="dxa"/>
            <w:noWrap w:val="0"/>
            <w:vAlign w:val="center"/>
          </w:tcPr>
          <w:p>
            <w:pPr>
              <w:jc w:val="center"/>
              <w:rPr>
                <w:rFonts w:hint="eastAsia"/>
                <w:color w:val="auto"/>
                <w:sz w:val="21"/>
                <w:highlight w:val="none"/>
              </w:rPr>
            </w:pPr>
            <w:r>
              <w:rPr>
                <w:rFonts w:hint="eastAsia"/>
                <w:color w:val="auto"/>
                <w:sz w:val="21"/>
                <w:szCs w:val="21"/>
                <w:highlight w:val="none"/>
              </w:rPr>
              <w:t>权利义务符合招标文件规定</w:t>
            </w:r>
          </w:p>
        </w:tc>
        <w:tc>
          <w:tcPr>
            <w:tcW w:w="50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w:t>
            </w:r>
            <w:r>
              <w:rPr>
                <w:rFonts w:hint="eastAsia" w:ascii="宋体" w:hAnsi="宋体" w:eastAsia="宋体" w:cs="宋体"/>
                <w:color w:val="auto"/>
                <w:sz w:val="21"/>
                <w:szCs w:val="21"/>
                <w:highlight w:val="none"/>
                <w:lang w:val="en-US" w:eastAsia="zh-CN"/>
              </w:rPr>
              <w:t>委托</w:t>
            </w:r>
            <w:r>
              <w:rPr>
                <w:rFonts w:hint="eastAsia" w:ascii="宋体" w:hAnsi="宋体" w:eastAsia="宋体" w:cs="宋体"/>
                <w:color w:val="auto"/>
                <w:sz w:val="21"/>
                <w:szCs w:val="21"/>
                <w:highlight w:val="none"/>
              </w:rPr>
              <w:t>人的责任范围，或减少投标人义务；</w:t>
            </w:r>
          </w:p>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ind w:left="63" w:leftChars="30" w:right="63" w:rightChars="30" w:firstLine="210" w:firstLineChars="100"/>
              <w:textAlignment w:val="auto"/>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1"/>
                <w:highlight w:val="none"/>
              </w:rPr>
              <w:t>f.投标人未对合同条款有重要保留。</w:t>
            </w:r>
          </w:p>
        </w:tc>
      </w:tr>
    </w:tbl>
    <w:p>
      <w:pPr>
        <w:jc w:val="center"/>
        <w:rPr>
          <w:color w:val="auto"/>
          <w:sz w:val="21"/>
          <w:highlight w:val="none"/>
        </w:rPr>
      </w:pPr>
      <w:r>
        <w:rPr>
          <w:color w:val="auto"/>
          <w:sz w:val="21"/>
          <w:highlight w:val="none"/>
        </w:rPr>
        <w:br w:type="pag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4"/>
        <w:gridCol w:w="630"/>
        <w:gridCol w:w="646"/>
        <w:gridCol w:w="1992"/>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294" w:type="dxa"/>
            <w:noWrap w:val="0"/>
            <w:vAlign w:val="center"/>
          </w:tcPr>
          <w:p>
            <w:pPr>
              <w:jc w:val="center"/>
              <w:rPr>
                <w:rFonts w:hint="eastAsia"/>
                <w:color w:val="auto"/>
                <w:sz w:val="21"/>
                <w:highlight w:val="none"/>
              </w:rPr>
            </w:pPr>
            <w:r>
              <w:rPr>
                <w:color w:val="auto"/>
                <w:sz w:val="21"/>
                <w:highlight w:val="none"/>
              </w:rPr>
              <w:t>2.1.</w:t>
            </w:r>
            <w:r>
              <w:rPr>
                <w:rFonts w:hint="eastAsia"/>
                <w:color w:val="auto"/>
                <w:sz w:val="21"/>
                <w:highlight w:val="none"/>
              </w:rPr>
              <w:t>1</w:t>
            </w:r>
          </w:p>
          <w:p>
            <w:pPr>
              <w:jc w:val="center"/>
              <w:rPr>
                <w:rFonts w:hint="eastAsia"/>
                <w:color w:val="auto"/>
                <w:sz w:val="21"/>
                <w:highlight w:val="none"/>
              </w:rPr>
            </w:pPr>
            <w:r>
              <w:rPr>
                <w:rFonts w:hint="eastAsia"/>
                <w:color w:val="auto"/>
                <w:sz w:val="21"/>
                <w:highlight w:val="none"/>
              </w:rPr>
              <w:t>2.1.3</w:t>
            </w:r>
          </w:p>
        </w:tc>
        <w:tc>
          <w:tcPr>
            <w:tcW w:w="630" w:type="dxa"/>
            <w:vMerge w:val="restart"/>
            <w:noWrap w:val="0"/>
            <w:vAlign w:val="center"/>
          </w:tcPr>
          <w:p>
            <w:pPr>
              <w:jc w:val="center"/>
              <w:rPr>
                <w:rFonts w:hint="eastAsia"/>
                <w:color w:val="auto"/>
                <w:sz w:val="21"/>
                <w:highlight w:val="none"/>
              </w:rPr>
            </w:pPr>
            <w:r>
              <w:rPr>
                <w:rFonts w:hint="eastAsia"/>
                <w:color w:val="auto"/>
                <w:sz w:val="21"/>
                <w:highlight w:val="none"/>
              </w:rPr>
              <w:t>第</w:t>
            </w:r>
          </w:p>
          <w:p>
            <w:pPr>
              <w:jc w:val="center"/>
              <w:rPr>
                <w:rFonts w:hint="eastAsia"/>
                <w:color w:val="auto"/>
                <w:sz w:val="21"/>
                <w:highlight w:val="none"/>
              </w:rPr>
            </w:pPr>
            <w:r>
              <w:rPr>
                <w:rFonts w:hint="eastAsia"/>
                <w:color w:val="auto"/>
                <w:sz w:val="21"/>
                <w:highlight w:val="none"/>
              </w:rPr>
              <w:t>二</w:t>
            </w:r>
          </w:p>
          <w:p>
            <w:pPr>
              <w:jc w:val="center"/>
              <w:rPr>
                <w:rFonts w:hint="eastAsia"/>
                <w:color w:val="auto"/>
                <w:sz w:val="21"/>
                <w:highlight w:val="none"/>
              </w:rPr>
            </w:pPr>
            <w:r>
              <w:rPr>
                <w:rFonts w:hint="eastAsia"/>
                <w:color w:val="auto"/>
                <w:sz w:val="21"/>
                <w:highlight w:val="none"/>
              </w:rPr>
              <w:t>个</w:t>
            </w:r>
          </w:p>
          <w:p>
            <w:pPr>
              <w:jc w:val="center"/>
              <w:rPr>
                <w:rFonts w:hint="eastAsia"/>
                <w:color w:val="auto"/>
                <w:sz w:val="21"/>
                <w:highlight w:val="none"/>
              </w:rPr>
            </w:pPr>
            <w:r>
              <w:rPr>
                <w:rFonts w:hint="eastAsia"/>
                <w:color w:val="auto"/>
                <w:sz w:val="21"/>
                <w:highlight w:val="none"/>
              </w:rPr>
              <w:t>信</w:t>
            </w:r>
          </w:p>
          <w:p>
            <w:pPr>
              <w:jc w:val="center"/>
              <w:rPr>
                <w:rFonts w:hint="eastAsia"/>
                <w:color w:val="auto"/>
                <w:sz w:val="21"/>
                <w:highlight w:val="none"/>
              </w:rPr>
            </w:pPr>
            <w:r>
              <w:rPr>
                <w:rFonts w:hint="eastAsia"/>
                <w:color w:val="auto"/>
                <w:sz w:val="21"/>
                <w:highlight w:val="none"/>
              </w:rPr>
              <w:t>封</w:t>
            </w:r>
          </w:p>
          <w:p>
            <w:pPr>
              <w:jc w:val="center"/>
              <w:rPr>
                <w:rFonts w:hint="eastAsia"/>
                <w:color w:val="auto"/>
                <w:sz w:val="21"/>
                <w:highlight w:val="none"/>
              </w:rPr>
            </w:pPr>
            <w:r>
              <w:rPr>
                <w:rFonts w:hint="eastAsia"/>
                <w:color w:val="auto"/>
                <w:sz w:val="21"/>
                <w:highlight w:val="none"/>
              </w:rPr>
              <w:t>︵</w:t>
            </w:r>
          </w:p>
          <w:p>
            <w:pPr>
              <w:jc w:val="center"/>
              <w:rPr>
                <w:color w:val="auto"/>
                <w:sz w:val="21"/>
                <w:highlight w:val="none"/>
              </w:rPr>
            </w:pPr>
            <w:r>
              <w:rPr>
                <w:rFonts w:hint="eastAsia"/>
                <w:color w:val="auto"/>
                <w:sz w:val="21"/>
                <w:highlight w:val="none"/>
              </w:rPr>
              <w:t>报</w:t>
            </w:r>
          </w:p>
          <w:p>
            <w:pPr>
              <w:jc w:val="center"/>
              <w:rPr>
                <w:color w:val="auto"/>
                <w:sz w:val="21"/>
                <w:highlight w:val="none"/>
              </w:rPr>
            </w:pPr>
            <w:r>
              <w:rPr>
                <w:rFonts w:hint="eastAsia"/>
                <w:color w:val="auto"/>
                <w:sz w:val="21"/>
                <w:highlight w:val="none"/>
              </w:rPr>
              <w:t>价</w:t>
            </w:r>
          </w:p>
          <w:p>
            <w:pPr>
              <w:jc w:val="center"/>
              <w:rPr>
                <w:color w:val="auto"/>
                <w:sz w:val="21"/>
                <w:highlight w:val="none"/>
              </w:rPr>
            </w:pPr>
            <w:r>
              <w:rPr>
                <w:rFonts w:hint="eastAsia"/>
                <w:color w:val="auto"/>
                <w:sz w:val="21"/>
                <w:highlight w:val="none"/>
              </w:rPr>
              <w:t>文</w:t>
            </w:r>
          </w:p>
          <w:p>
            <w:pPr>
              <w:jc w:val="center"/>
              <w:rPr>
                <w:rFonts w:hint="eastAsia"/>
                <w:color w:val="auto"/>
                <w:sz w:val="21"/>
                <w:highlight w:val="none"/>
              </w:rPr>
            </w:pPr>
            <w:r>
              <w:rPr>
                <w:rFonts w:hint="eastAsia"/>
                <w:color w:val="auto"/>
                <w:sz w:val="21"/>
                <w:highlight w:val="none"/>
              </w:rPr>
              <w:t>件</w:t>
            </w:r>
          </w:p>
          <w:p>
            <w:pPr>
              <w:jc w:val="center"/>
              <w:rPr>
                <w:color w:val="auto"/>
                <w:sz w:val="21"/>
                <w:highlight w:val="none"/>
              </w:rPr>
            </w:pPr>
            <w:r>
              <w:rPr>
                <w:rFonts w:hint="eastAsia"/>
                <w:color w:val="auto"/>
                <w:sz w:val="21"/>
                <w:highlight w:val="none"/>
              </w:rPr>
              <w:t>︶</w:t>
            </w:r>
          </w:p>
        </w:tc>
        <w:tc>
          <w:tcPr>
            <w:tcW w:w="646" w:type="dxa"/>
            <w:vMerge w:val="restart"/>
            <w:noWrap w:val="0"/>
            <w:textDirection w:val="tbRlV"/>
            <w:vAlign w:val="center"/>
          </w:tcPr>
          <w:p>
            <w:pPr>
              <w:ind w:left="420"/>
              <w:jc w:val="center"/>
              <w:rPr>
                <w:color w:val="auto"/>
                <w:sz w:val="21"/>
                <w:highlight w:val="none"/>
              </w:rPr>
            </w:pPr>
            <w:r>
              <w:rPr>
                <w:rFonts w:hint="eastAsia"/>
                <w:color w:val="auto"/>
                <w:sz w:val="21"/>
                <w:szCs w:val="21"/>
                <w:highlight w:val="none"/>
              </w:rPr>
              <w:t>形式评审与响应性评审标准</w:t>
            </w:r>
          </w:p>
        </w:tc>
        <w:tc>
          <w:tcPr>
            <w:tcW w:w="1992" w:type="dxa"/>
            <w:noWrap w:val="0"/>
            <w:vAlign w:val="center"/>
          </w:tcPr>
          <w:p>
            <w:pPr>
              <w:jc w:val="center"/>
              <w:rPr>
                <w:color w:val="auto"/>
                <w:sz w:val="21"/>
                <w:highlight w:val="none"/>
              </w:rPr>
            </w:pPr>
            <w:r>
              <w:rPr>
                <w:rFonts w:hint="eastAsia"/>
                <w:color w:val="auto"/>
                <w:sz w:val="21"/>
                <w:szCs w:val="21"/>
                <w:highlight w:val="none"/>
              </w:rPr>
              <w:t>投标</w:t>
            </w:r>
            <w:r>
              <w:rPr>
                <w:rFonts w:hint="eastAsia"/>
                <w:color w:val="auto"/>
                <w:sz w:val="21"/>
                <w:highlight w:val="none"/>
              </w:rPr>
              <w:t>函填写</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line="240" w:lineRule="auto"/>
              <w:ind w:left="63" w:leftChars="30" w:right="63" w:rightChars="3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按招标文件规定填报了项目名称、标段号、补遗书编号（如有）、投标报价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294" w:type="dxa"/>
            <w:vMerge w:val="restart"/>
            <w:noWrap w:val="0"/>
            <w:vAlign w:val="center"/>
          </w:tcPr>
          <w:p>
            <w:pPr>
              <w:ind w:left="420"/>
              <w:rPr>
                <w:color w:val="auto"/>
                <w:sz w:val="21"/>
                <w:highlight w:val="none"/>
              </w:rPr>
            </w:pPr>
          </w:p>
        </w:tc>
        <w:tc>
          <w:tcPr>
            <w:tcW w:w="630" w:type="dxa"/>
            <w:vMerge w:val="continue"/>
            <w:noWrap w:val="0"/>
            <w:vAlign w:val="center"/>
          </w:tcPr>
          <w:p>
            <w:pPr>
              <w:ind w:left="420"/>
              <w:rPr>
                <w:rFonts w:hint="eastAsia"/>
                <w:color w:val="auto"/>
                <w:sz w:val="21"/>
                <w:highlight w:val="none"/>
              </w:rPr>
            </w:pPr>
          </w:p>
        </w:tc>
        <w:tc>
          <w:tcPr>
            <w:tcW w:w="646" w:type="dxa"/>
            <w:vMerge w:val="continue"/>
            <w:noWrap w:val="0"/>
            <w:textDirection w:val="tbRlV"/>
            <w:vAlign w:val="center"/>
          </w:tcPr>
          <w:p>
            <w:pPr>
              <w:ind w:left="420"/>
              <w:rPr>
                <w:rFonts w:hint="eastAsia"/>
                <w:color w:val="auto"/>
                <w:sz w:val="21"/>
                <w:highlight w:val="none"/>
              </w:rPr>
            </w:pPr>
          </w:p>
        </w:tc>
        <w:tc>
          <w:tcPr>
            <w:tcW w:w="1992" w:type="dxa"/>
            <w:noWrap w:val="0"/>
            <w:vAlign w:val="center"/>
          </w:tcPr>
          <w:p>
            <w:pPr>
              <w:jc w:val="center"/>
              <w:rPr>
                <w:color w:val="auto"/>
                <w:sz w:val="21"/>
                <w:highlight w:val="none"/>
              </w:rPr>
            </w:pPr>
            <w:r>
              <w:rPr>
                <w:rFonts w:hint="eastAsia"/>
                <w:color w:val="auto"/>
                <w:sz w:val="21"/>
                <w:highlight w:val="none"/>
              </w:rPr>
              <w:t>已标价</w:t>
            </w:r>
            <w:r>
              <w:rPr>
                <w:rFonts w:hint="eastAsia"/>
                <w:color w:val="auto"/>
                <w:sz w:val="21"/>
                <w:szCs w:val="21"/>
                <w:highlight w:val="none"/>
              </w:rPr>
              <w:t>报价清单</w:t>
            </w:r>
            <w:r>
              <w:rPr>
                <w:rFonts w:hint="eastAsia"/>
                <w:color w:val="auto"/>
                <w:sz w:val="21"/>
                <w:highlight w:val="none"/>
              </w:rPr>
              <w:t>文字说明</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line="240" w:lineRule="auto"/>
              <w:ind w:left="63" w:leftChars="30" w:right="63" w:rightChars="3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已标价报价清单文字说明与招标文件规定一致，未进行修改或删除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ind w:left="420"/>
              <w:rPr>
                <w:color w:val="auto"/>
                <w:sz w:val="21"/>
                <w:highlight w:val="none"/>
              </w:rPr>
            </w:pPr>
          </w:p>
        </w:tc>
        <w:tc>
          <w:tcPr>
            <w:tcW w:w="630" w:type="dxa"/>
            <w:vMerge w:val="continue"/>
            <w:noWrap w:val="0"/>
            <w:vAlign w:val="center"/>
          </w:tcPr>
          <w:p>
            <w:pPr>
              <w:ind w:left="420"/>
              <w:rPr>
                <w:color w:val="auto"/>
                <w:sz w:val="21"/>
                <w:highlight w:val="none"/>
              </w:rPr>
            </w:pPr>
          </w:p>
        </w:tc>
        <w:tc>
          <w:tcPr>
            <w:tcW w:w="646" w:type="dxa"/>
            <w:vMerge w:val="continue"/>
            <w:noWrap w:val="0"/>
            <w:vAlign w:val="center"/>
          </w:tcPr>
          <w:p>
            <w:pPr>
              <w:ind w:left="420"/>
              <w:rPr>
                <w:color w:val="auto"/>
                <w:sz w:val="21"/>
                <w:highlight w:val="none"/>
              </w:rPr>
            </w:pPr>
          </w:p>
        </w:tc>
        <w:tc>
          <w:tcPr>
            <w:tcW w:w="1992" w:type="dxa"/>
            <w:noWrap w:val="0"/>
            <w:vAlign w:val="center"/>
          </w:tcPr>
          <w:p>
            <w:pPr>
              <w:jc w:val="center"/>
              <w:rPr>
                <w:color w:val="auto"/>
                <w:sz w:val="21"/>
                <w:highlight w:val="none"/>
              </w:rPr>
            </w:pPr>
            <w:r>
              <w:rPr>
                <w:color w:val="auto"/>
                <w:sz w:val="21"/>
                <w:highlight w:val="none"/>
              </w:rPr>
              <w:t>文件</w:t>
            </w:r>
            <w:r>
              <w:rPr>
                <w:rFonts w:hint="eastAsia"/>
                <w:color w:val="auto"/>
                <w:sz w:val="21"/>
                <w:highlight w:val="none"/>
              </w:rPr>
              <w:t>填写及组成</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line="240" w:lineRule="auto"/>
              <w:ind w:left="63" w:leftChars="30" w:right="63" w:rightChars="3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组成齐全，没有缺项或缺页，内容均按招标文件规定填写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ind w:left="420"/>
              <w:rPr>
                <w:color w:val="auto"/>
                <w:sz w:val="21"/>
                <w:highlight w:val="none"/>
              </w:rPr>
            </w:pPr>
          </w:p>
        </w:tc>
        <w:tc>
          <w:tcPr>
            <w:tcW w:w="630" w:type="dxa"/>
            <w:vMerge w:val="continue"/>
            <w:noWrap w:val="0"/>
            <w:vAlign w:val="center"/>
          </w:tcPr>
          <w:p>
            <w:pPr>
              <w:ind w:left="420"/>
              <w:rPr>
                <w:color w:val="auto"/>
                <w:sz w:val="21"/>
                <w:highlight w:val="none"/>
              </w:rPr>
            </w:pPr>
          </w:p>
        </w:tc>
        <w:tc>
          <w:tcPr>
            <w:tcW w:w="646" w:type="dxa"/>
            <w:vMerge w:val="continue"/>
            <w:noWrap w:val="0"/>
            <w:vAlign w:val="center"/>
          </w:tcPr>
          <w:p>
            <w:pPr>
              <w:ind w:left="420"/>
              <w:rPr>
                <w:color w:val="auto"/>
                <w:sz w:val="21"/>
                <w:highlight w:val="none"/>
              </w:rPr>
            </w:pPr>
          </w:p>
        </w:tc>
        <w:tc>
          <w:tcPr>
            <w:tcW w:w="1992" w:type="dxa"/>
            <w:noWrap w:val="0"/>
            <w:vAlign w:val="center"/>
          </w:tcPr>
          <w:p>
            <w:pPr>
              <w:jc w:val="center"/>
              <w:rPr>
                <w:color w:val="auto"/>
                <w:sz w:val="21"/>
                <w:highlight w:val="none"/>
              </w:rPr>
            </w:pPr>
            <w:r>
              <w:rPr>
                <w:rFonts w:hint="eastAsia"/>
                <w:color w:val="auto"/>
                <w:sz w:val="21"/>
                <w:highlight w:val="none"/>
              </w:rPr>
              <w:t>文件签字盖章</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line="240" w:lineRule="auto"/>
              <w:ind w:left="63" w:leftChars="30" w:right="63" w:rightChars="3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294" w:type="dxa"/>
            <w:vMerge w:val="continue"/>
            <w:noWrap w:val="0"/>
            <w:vAlign w:val="center"/>
          </w:tcPr>
          <w:p>
            <w:pPr>
              <w:ind w:left="420"/>
              <w:rPr>
                <w:color w:val="auto"/>
                <w:sz w:val="21"/>
                <w:highlight w:val="none"/>
              </w:rPr>
            </w:pPr>
          </w:p>
        </w:tc>
        <w:tc>
          <w:tcPr>
            <w:tcW w:w="630" w:type="dxa"/>
            <w:vMerge w:val="continue"/>
            <w:noWrap w:val="0"/>
            <w:vAlign w:val="center"/>
          </w:tcPr>
          <w:p>
            <w:pPr>
              <w:ind w:left="420"/>
              <w:rPr>
                <w:color w:val="auto"/>
                <w:sz w:val="21"/>
                <w:highlight w:val="none"/>
              </w:rPr>
            </w:pPr>
          </w:p>
        </w:tc>
        <w:tc>
          <w:tcPr>
            <w:tcW w:w="646" w:type="dxa"/>
            <w:vMerge w:val="continue"/>
            <w:noWrap w:val="0"/>
            <w:vAlign w:val="center"/>
          </w:tcPr>
          <w:p>
            <w:pPr>
              <w:ind w:left="420"/>
              <w:rPr>
                <w:color w:val="auto"/>
                <w:sz w:val="21"/>
                <w:highlight w:val="none"/>
              </w:rPr>
            </w:pPr>
          </w:p>
        </w:tc>
        <w:tc>
          <w:tcPr>
            <w:tcW w:w="1992" w:type="dxa"/>
            <w:noWrap w:val="0"/>
            <w:vAlign w:val="center"/>
          </w:tcPr>
          <w:p>
            <w:pPr>
              <w:jc w:val="center"/>
              <w:rPr>
                <w:color w:val="auto"/>
                <w:sz w:val="21"/>
                <w:highlight w:val="none"/>
              </w:rPr>
            </w:pPr>
            <w:r>
              <w:rPr>
                <w:rFonts w:hint="eastAsia"/>
                <w:color w:val="auto"/>
                <w:sz w:val="21"/>
                <w:highlight w:val="none"/>
              </w:rPr>
              <w:t>投标报价</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line="240" w:lineRule="auto"/>
              <w:ind w:left="63" w:leftChars="30" w:right="63" w:rightChars="3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未超过招标人公布的最高投标限价，大写金额能够确定具体数值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ind w:left="420"/>
              <w:rPr>
                <w:color w:val="auto"/>
                <w:sz w:val="21"/>
                <w:highlight w:val="none"/>
              </w:rPr>
            </w:pPr>
          </w:p>
        </w:tc>
        <w:tc>
          <w:tcPr>
            <w:tcW w:w="630" w:type="dxa"/>
            <w:vMerge w:val="continue"/>
            <w:noWrap w:val="0"/>
            <w:vAlign w:val="center"/>
          </w:tcPr>
          <w:p>
            <w:pPr>
              <w:ind w:left="420"/>
              <w:rPr>
                <w:color w:val="auto"/>
                <w:sz w:val="21"/>
                <w:highlight w:val="none"/>
              </w:rPr>
            </w:pPr>
          </w:p>
        </w:tc>
        <w:tc>
          <w:tcPr>
            <w:tcW w:w="646" w:type="dxa"/>
            <w:vMerge w:val="continue"/>
            <w:noWrap w:val="0"/>
            <w:vAlign w:val="center"/>
          </w:tcPr>
          <w:p>
            <w:pPr>
              <w:ind w:left="420"/>
              <w:rPr>
                <w:color w:val="auto"/>
                <w:sz w:val="21"/>
                <w:highlight w:val="none"/>
              </w:rPr>
            </w:pPr>
          </w:p>
        </w:tc>
        <w:tc>
          <w:tcPr>
            <w:tcW w:w="1992" w:type="dxa"/>
            <w:noWrap w:val="0"/>
            <w:vAlign w:val="center"/>
          </w:tcPr>
          <w:p>
            <w:pPr>
              <w:jc w:val="center"/>
              <w:rPr>
                <w:rFonts w:hint="eastAsia"/>
                <w:color w:val="auto"/>
                <w:sz w:val="21"/>
                <w:highlight w:val="none"/>
              </w:rPr>
            </w:pPr>
            <w:r>
              <w:rPr>
                <w:rFonts w:hint="eastAsia"/>
                <w:color w:val="auto"/>
                <w:sz w:val="21"/>
                <w:highlight w:val="none"/>
              </w:rPr>
              <w:t>投标报价唯一性</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line="240" w:lineRule="auto"/>
              <w:ind w:left="63" w:leftChars="30" w:right="63" w:rightChars="3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同一投标人同一标段未提交两个以上不同的投标报价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1294" w:type="dxa"/>
            <w:vMerge w:val="restart"/>
            <w:noWrap w:val="0"/>
            <w:vAlign w:val="center"/>
          </w:tcPr>
          <w:p>
            <w:pPr>
              <w:jc w:val="center"/>
              <w:rPr>
                <w:color w:val="auto"/>
                <w:sz w:val="21"/>
                <w:highlight w:val="none"/>
              </w:rPr>
            </w:pPr>
            <w:r>
              <w:rPr>
                <w:rFonts w:hint="eastAsia"/>
                <w:color w:val="auto"/>
                <w:sz w:val="21"/>
                <w:highlight w:val="none"/>
              </w:rPr>
              <w:t>2.1.2</w:t>
            </w:r>
          </w:p>
        </w:tc>
        <w:tc>
          <w:tcPr>
            <w:tcW w:w="630" w:type="dxa"/>
            <w:vMerge w:val="restart"/>
            <w:noWrap w:val="0"/>
            <w:vAlign w:val="center"/>
          </w:tcPr>
          <w:p>
            <w:pPr>
              <w:jc w:val="center"/>
              <w:rPr>
                <w:rFonts w:hint="eastAsia"/>
                <w:color w:val="auto"/>
                <w:sz w:val="21"/>
                <w:highlight w:val="none"/>
              </w:rPr>
            </w:pPr>
            <w:r>
              <w:rPr>
                <w:rFonts w:hint="eastAsia"/>
                <w:color w:val="auto"/>
                <w:sz w:val="21"/>
                <w:highlight w:val="none"/>
              </w:rPr>
              <w:t>第</w:t>
            </w:r>
          </w:p>
          <w:p>
            <w:pPr>
              <w:jc w:val="center"/>
              <w:rPr>
                <w:rFonts w:hint="eastAsia"/>
                <w:color w:val="auto"/>
                <w:sz w:val="21"/>
                <w:highlight w:val="none"/>
              </w:rPr>
            </w:pPr>
            <w:r>
              <w:rPr>
                <w:rFonts w:hint="eastAsia"/>
                <w:color w:val="auto"/>
                <w:sz w:val="21"/>
                <w:highlight w:val="none"/>
              </w:rPr>
              <w:t>一</w:t>
            </w:r>
          </w:p>
          <w:p>
            <w:pPr>
              <w:jc w:val="center"/>
              <w:rPr>
                <w:rFonts w:hint="eastAsia"/>
                <w:color w:val="auto"/>
                <w:sz w:val="21"/>
                <w:highlight w:val="none"/>
              </w:rPr>
            </w:pPr>
            <w:r>
              <w:rPr>
                <w:rFonts w:hint="eastAsia"/>
                <w:color w:val="auto"/>
                <w:sz w:val="21"/>
                <w:highlight w:val="none"/>
              </w:rPr>
              <w:t>个</w:t>
            </w:r>
          </w:p>
          <w:p>
            <w:pPr>
              <w:jc w:val="center"/>
              <w:rPr>
                <w:rFonts w:hint="eastAsia"/>
                <w:color w:val="auto"/>
                <w:sz w:val="21"/>
                <w:highlight w:val="none"/>
              </w:rPr>
            </w:pPr>
            <w:r>
              <w:rPr>
                <w:rFonts w:hint="eastAsia"/>
                <w:color w:val="auto"/>
                <w:sz w:val="21"/>
                <w:highlight w:val="none"/>
              </w:rPr>
              <w:t>信</w:t>
            </w:r>
          </w:p>
          <w:p>
            <w:pPr>
              <w:jc w:val="center"/>
              <w:rPr>
                <w:rFonts w:hint="eastAsia"/>
                <w:color w:val="auto"/>
                <w:sz w:val="21"/>
                <w:highlight w:val="none"/>
              </w:rPr>
            </w:pPr>
            <w:r>
              <w:rPr>
                <w:rFonts w:hint="eastAsia"/>
                <w:color w:val="auto"/>
                <w:sz w:val="21"/>
                <w:highlight w:val="none"/>
              </w:rPr>
              <w:t>封</w:t>
            </w:r>
          </w:p>
          <w:p>
            <w:pPr>
              <w:jc w:val="center"/>
              <w:rPr>
                <w:rFonts w:hint="eastAsia"/>
                <w:color w:val="auto"/>
                <w:sz w:val="21"/>
                <w:highlight w:val="none"/>
              </w:rPr>
            </w:pPr>
            <w:r>
              <w:rPr>
                <w:rFonts w:hint="eastAsia"/>
                <w:color w:val="auto"/>
                <w:sz w:val="21"/>
                <w:highlight w:val="none"/>
              </w:rPr>
              <w:t>︵</w:t>
            </w:r>
          </w:p>
          <w:p>
            <w:pPr>
              <w:jc w:val="center"/>
              <w:rPr>
                <w:color w:val="auto"/>
                <w:sz w:val="21"/>
                <w:highlight w:val="none"/>
              </w:rPr>
            </w:pPr>
            <w:r>
              <w:rPr>
                <w:rFonts w:hint="eastAsia"/>
                <w:color w:val="auto"/>
                <w:sz w:val="21"/>
                <w:highlight w:val="none"/>
              </w:rPr>
              <w:t>商</w:t>
            </w:r>
          </w:p>
          <w:p>
            <w:pPr>
              <w:jc w:val="center"/>
              <w:rPr>
                <w:rFonts w:hint="eastAsia"/>
                <w:color w:val="auto"/>
                <w:sz w:val="21"/>
                <w:highlight w:val="none"/>
              </w:rPr>
            </w:pPr>
            <w:r>
              <w:rPr>
                <w:rFonts w:hint="eastAsia"/>
                <w:color w:val="auto"/>
                <w:sz w:val="21"/>
                <w:highlight w:val="none"/>
              </w:rPr>
              <w:t>务</w:t>
            </w:r>
          </w:p>
          <w:p>
            <w:pPr>
              <w:jc w:val="center"/>
              <w:rPr>
                <w:rFonts w:hint="eastAsia"/>
                <w:color w:val="auto"/>
                <w:sz w:val="21"/>
                <w:highlight w:val="none"/>
              </w:rPr>
            </w:pPr>
            <w:r>
              <w:rPr>
                <w:rFonts w:hint="eastAsia"/>
                <w:color w:val="auto"/>
                <w:sz w:val="21"/>
                <w:highlight w:val="none"/>
              </w:rPr>
              <w:t>及</w:t>
            </w:r>
          </w:p>
          <w:p>
            <w:pPr>
              <w:jc w:val="center"/>
              <w:rPr>
                <w:rFonts w:hint="eastAsia"/>
                <w:color w:val="auto"/>
                <w:sz w:val="21"/>
                <w:highlight w:val="none"/>
              </w:rPr>
            </w:pPr>
            <w:r>
              <w:rPr>
                <w:rFonts w:hint="eastAsia"/>
                <w:color w:val="auto"/>
                <w:sz w:val="21"/>
                <w:highlight w:val="none"/>
              </w:rPr>
              <w:t>技</w:t>
            </w:r>
          </w:p>
          <w:p>
            <w:pPr>
              <w:jc w:val="center"/>
              <w:rPr>
                <w:color w:val="auto"/>
                <w:sz w:val="21"/>
                <w:highlight w:val="none"/>
              </w:rPr>
            </w:pPr>
            <w:r>
              <w:rPr>
                <w:rFonts w:hint="eastAsia"/>
                <w:color w:val="auto"/>
                <w:sz w:val="21"/>
                <w:highlight w:val="none"/>
              </w:rPr>
              <w:t>术</w:t>
            </w:r>
          </w:p>
          <w:p>
            <w:pPr>
              <w:jc w:val="center"/>
              <w:rPr>
                <w:color w:val="auto"/>
                <w:sz w:val="21"/>
                <w:highlight w:val="none"/>
              </w:rPr>
            </w:pPr>
            <w:r>
              <w:rPr>
                <w:rFonts w:hint="eastAsia"/>
                <w:color w:val="auto"/>
                <w:sz w:val="21"/>
                <w:highlight w:val="none"/>
              </w:rPr>
              <w:t>文</w:t>
            </w:r>
          </w:p>
          <w:p>
            <w:pPr>
              <w:jc w:val="center"/>
              <w:rPr>
                <w:rFonts w:hint="eastAsia"/>
                <w:color w:val="auto"/>
                <w:sz w:val="21"/>
                <w:highlight w:val="none"/>
              </w:rPr>
            </w:pPr>
            <w:r>
              <w:rPr>
                <w:rFonts w:hint="eastAsia"/>
                <w:color w:val="auto"/>
                <w:sz w:val="21"/>
                <w:highlight w:val="none"/>
              </w:rPr>
              <w:t>件</w:t>
            </w:r>
          </w:p>
          <w:p>
            <w:pPr>
              <w:rPr>
                <w:color w:val="auto"/>
                <w:sz w:val="21"/>
                <w:highlight w:val="none"/>
              </w:rPr>
            </w:pPr>
            <w:r>
              <w:rPr>
                <w:rFonts w:hint="eastAsia"/>
                <w:color w:val="auto"/>
                <w:sz w:val="21"/>
                <w:highlight w:val="none"/>
              </w:rPr>
              <w:t>︶</w:t>
            </w:r>
          </w:p>
        </w:tc>
        <w:tc>
          <w:tcPr>
            <w:tcW w:w="646" w:type="dxa"/>
            <w:vMerge w:val="restart"/>
            <w:noWrap w:val="0"/>
            <w:vAlign w:val="center"/>
          </w:tcPr>
          <w:p>
            <w:pPr>
              <w:jc w:val="center"/>
              <w:rPr>
                <w:rFonts w:hint="eastAsia"/>
                <w:color w:val="auto"/>
                <w:sz w:val="21"/>
                <w:highlight w:val="none"/>
              </w:rPr>
            </w:pPr>
            <w:r>
              <w:rPr>
                <w:color w:val="auto"/>
                <w:sz w:val="21"/>
                <w:highlight w:val="none"/>
              </w:rPr>
              <w:t>资</w:t>
            </w:r>
          </w:p>
          <w:p>
            <w:pPr>
              <w:jc w:val="center"/>
              <w:rPr>
                <w:rFonts w:hint="eastAsia"/>
                <w:color w:val="auto"/>
                <w:sz w:val="21"/>
                <w:highlight w:val="none"/>
              </w:rPr>
            </w:pPr>
            <w:r>
              <w:rPr>
                <w:color w:val="auto"/>
                <w:sz w:val="21"/>
                <w:highlight w:val="none"/>
              </w:rPr>
              <w:t>格</w:t>
            </w:r>
          </w:p>
          <w:p>
            <w:pPr>
              <w:jc w:val="center"/>
              <w:rPr>
                <w:rFonts w:hint="eastAsia"/>
                <w:color w:val="auto"/>
                <w:sz w:val="21"/>
                <w:highlight w:val="none"/>
              </w:rPr>
            </w:pPr>
            <w:r>
              <w:rPr>
                <w:color w:val="auto"/>
                <w:sz w:val="21"/>
                <w:highlight w:val="none"/>
              </w:rPr>
              <w:t>评</w:t>
            </w:r>
          </w:p>
          <w:p>
            <w:pPr>
              <w:jc w:val="center"/>
              <w:rPr>
                <w:rFonts w:hint="eastAsia"/>
                <w:color w:val="auto"/>
                <w:sz w:val="21"/>
                <w:highlight w:val="none"/>
              </w:rPr>
            </w:pPr>
            <w:r>
              <w:rPr>
                <w:color w:val="auto"/>
                <w:sz w:val="21"/>
                <w:highlight w:val="none"/>
              </w:rPr>
              <w:t>审</w:t>
            </w:r>
          </w:p>
          <w:p>
            <w:pPr>
              <w:jc w:val="center"/>
              <w:rPr>
                <w:rFonts w:hint="eastAsia"/>
                <w:color w:val="auto"/>
                <w:sz w:val="21"/>
                <w:highlight w:val="none"/>
              </w:rPr>
            </w:pPr>
            <w:r>
              <w:rPr>
                <w:color w:val="auto"/>
                <w:sz w:val="21"/>
                <w:highlight w:val="none"/>
              </w:rPr>
              <w:t>标</w:t>
            </w:r>
          </w:p>
          <w:p>
            <w:pPr>
              <w:jc w:val="center"/>
              <w:rPr>
                <w:color w:val="auto"/>
                <w:sz w:val="21"/>
                <w:highlight w:val="none"/>
              </w:rPr>
            </w:pPr>
            <w:r>
              <w:rPr>
                <w:color w:val="auto"/>
                <w:sz w:val="21"/>
                <w:highlight w:val="none"/>
              </w:rPr>
              <w:t>准</w:t>
            </w:r>
          </w:p>
        </w:tc>
        <w:tc>
          <w:tcPr>
            <w:tcW w:w="1992" w:type="dxa"/>
            <w:noWrap w:val="0"/>
            <w:vAlign w:val="center"/>
          </w:tcPr>
          <w:p>
            <w:pPr>
              <w:jc w:val="center"/>
              <w:rPr>
                <w:color w:val="auto"/>
                <w:sz w:val="21"/>
                <w:highlight w:val="none"/>
              </w:rPr>
            </w:pPr>
            <w:r>
              <w:rPr>
                <w:rFonts w:hint="eastAsia"/>
                <w:color w:val="auto"/>
                <w:sz w:val="21"/>
                <w:highlight w:val="none"/>
              </w:rPr>
              <w:t>营业执照、资质证书和基本账户开户许可证</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line="240" w:lineRule="auto"/>
              <w:ind w:left="63" w:leftChars="30" w:right="63" w:rightChars="3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具备有效的营业执照</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事业单位法人证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、资质证书和基本账户开户许可证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color w:val="auto"/>
                <w:sz w:val="21"/>
                <w:highlight w:val="none"/>
              </w:rPr>
            </w:pPr>
            <w:r>
              <w:rPr>
                <w:color w:val="auto"/>
                <w:sz w:val="21"/>
                <w:highlight w:val="none"/>
              </w:rPr>
              <w:t>资质等级</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line="240" w:lineRule="auto"/>
              <w:ind w:left="63" w:leftChars="30" w:right="63" w:rightChars="3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符合第二章“投标人须知”第 1.4.1 项“资质要求”的规定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rFonts w:hint="default" w:eastAsia="宋体"/>
                <w:color w:val="auto"/>
                <w:sz w:val="21"/>
                <w:highlight w:val="none"/>
                <w:lang w:val="en-US" w:eastAsia="zh-CN"/>
              </w:rPr>
            </w:pPr>
            <w:r>
              <w:rPr>
                <w:rFonts w:hint="eastAsia"/>
                <w:color w:val="auto"/>
                <w:sz w:val="21"/>
                <w:highlight w:val="none"/>
                <w:lang w:val="en-US" w:eastAsia="zh-CN"/>
              </w:rPr>
              <w:t>财务状况</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line="240" w:lineRule="auto"/>
              <w:ind w:left="63" w:leftChars="30" w:right="63" w:rightChars="3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w:t>
            </w:r>
            <w:r>
              <w:rPr>
                <w:rFonts w:hint="eastAsia" w:ascii="宋体" w:hAnsi="宋体" w:eastAsia="宋体" w:cs="宋体"/>
                <w:color w:val="auto"/>
                <w:sz w:val="21"/>
                <w:szCs w:val="21"/>
                <w:highlight w:val="none"/>
                <w:lang w:val="en-US" w:eastAsia="zh-CN"/>
              </w:rPr>
              <w:t>财务</w:t>
            </w:r>
            <w:r>
              <w:rPr>
                <w:rFonts w:hint="eastAsia" w:ascii="宋体" w:hAnsi="宋体" w:eastAsia="宋体" w:cs="宋体"/>
                <w:color w:val="auto"/>
                <w:sz w:val="21"/>
                <w:szCs w:val="21"/>
                <w:highlight w:val="none"/>
              </w:rPr>
              <w:t>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color w:val="auto"/>
                <w:sz w:val="21"/>
                <w:highlight w:val="none"/>
              </w:rPr>
            </w:pPr>
            <w:r>
              <w:rPr>
                <w:color w:val="auto"/>
                <w:sz w:val="21"/>
                <w:highlight w:val="none"/>
              </w:rPr>
              <w:t>类似项目业绩</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line="240" w:lineRule="auto"/>
              <w:ind w:left="63" w:leftChars="30" w:right="63" w:rightChars="3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符合第二章“投标人须知”第 1.4.1 项“业绩要求”的规定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color w:val="auto"/>
                <w:sz w:val="21"/>
                <w:highlight w:val="none"/>
              </w:rPr>
            </w:pPr>
            <w:r>
              <w:rPr>
                <w:color w:val="auto"/>
                <w:sz w:val="21"/>
                <w:highlight w:val="none"/>
              </w:rPr>
              <w:t>信誉</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line="240" w:lineRule="auto"/>
              <w:ind w:left="63" w:leftChars="30" w:right="63" w:rightChars="3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符合第二章“投标人须知”第 1.4.1 项“信誉要求”的规定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294"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color w:val="auto"/>
                <w:sz w:val="21"/>
                <w:highlight w:val="none"/>
              </w:rPr>
            </w:pPr>
            <w:r>
              <w:rPr>
                <w:rFonts w:hint="eastAsia"/>
                <w:color w:val="auto"/>
                <w:sz w:val="21"/>
                <w:szCs w:val="21"/>
                <w:highlight w:val="none"/>
                <w:lang w:val="en-US" w:eastAsia="zh-CN"/>
              </w:rPr>
              <w:t>项目经理和项目总工</w:t>
            </w:r>
            <w:r>
              <w:rPr>
                <w:rFonts w:hint="eastAsia"/>
                <w:color w:val="auto"/>
                <w:sz w:val="21"/>
                <w:szCs w:val="21"/>
                <w:highlight w:val="none"/>
              </w:rPr>
              <w:t>资格</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ind w:left="63" w:leftChars="30" w:right="63" w:rightChars="30"/>
              <w:textAlignment w:val="auto"/>
              <w:rPr>
                <w:color w:val="auto"/>
                <w:sz w:val="21"/>
                <w:highlight w:val="none"/>
              </w:rPr>
            </w:pPr>
            <w:r>
              <w:rPr>
                <w:rFonts w:hint="eastAsia" w:ascii="宋体" w:hAnsi="宋体" w:eastAsia="宋体" w:cs="宋体"/>
                <w:color w:val="auto"/>
                <w:sz w:val="21"/>
                <w:szCs w:val="21"/>
                <w:highlight w:val="none"/>
              </w:rPr>
              <w:t>符合第二章“投标人须知”第 1.4.1 项“</w:t>
            </w:r>
            <w:r>
              <w:rPr>
                <w:rFonts w:hint="eastAsia"/>
                <w:color w:val="auto"/>
                <w:sz w:val="21"/>
                <w:szCs w:val="21"/>
                <w:highlight w:val="none"/>
                <w:lang w:val="en-US" w:eastAsia="zh-CN"/>
              </w:rPr>
              <w:t>项目经理和项目</w:t>
            </w:r>
            <w:r>
              <w:rPr>
                <w:rFonts w:hint="eastAsia" w:ascii="宋体" w:hAnsi="宋体" w:eastAsia="宋体" w:cs="宋体"/>
                <w:color w:val="auto"/>
                <w:sz w:val="21"/>
                <w:szCs w:val="21"/>
                <w:highlight w:val="none"/>
                <w:lang w:val="en-US" w:eastAsia="zh-CN"/>
              </w:rPr>
              <w:t>资格</w:t>
            </w:r>
            <w:r>
              <w:rPr>
                <w:rFonts w:hint="eastAsia" w:ascii="宋体" w:hAnsi="宋体" w:eastAsia="宋体" w:cs="宋体"/>
                <w:color w:val="auto"/>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color w:val="auto"/>
                <w:sz w:val="21"/>
                <w:highlight w:val="none"/>
              </w:rPr>
            </w:pPr>
            <w:r>
              <w:rPr>
                <w:color w:val="auto"/>
                <w:sz w:val="21"/>
                <w:highlight w:val="none"/>
              </w:rPr>
              <w:t>其他要求</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ind w:left="63" w:leftChars="30" w:right="63" w:rightChars="30"/>
              <w:textAlignment w:val="auto"/>
              <w:rPr>
                <w:color w:val="auto"/>
                <w:sz w:val="21"/>
                <w:highlight w:val="none"/>
              </w:rPr>
            </w:pPr>
            <w:r>
              <w:rPr>
                <w:rFonts w:hint="eastAsia" w:ascii="宋体" w:hAnsi="宋体" w:eastAsia="宋体" w:cs="宋体"/>
                <w:color w:val="auto"/>
                <w:sz w:val="21"/>
                <w:szCs w:val="21"/>
                <w:highlight w:val="none"/>
              </w:rPr>
              <w:t>符合第二章“投标人须知”第 1.4.1 项“其他要求”的规定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rPr>
                <w:rFonts w:hint="eastAsia"/>
                <w:color w:val="auto"/>
                <w:sz w:val="21"/>
                <w:highlight w:val="none"/>
              </w:rPr>
            </w:pPr>
          </w:p>
        </w:tc>
        <w:tc>
          <w:tcPr>
            <w:tcW w:w="630" w:type="dxa"/>
            <w:vMerge w:val="continue"/>
            <w:noWrap w:val="0"/>
            <w:vAlign w:val="center"/>
          </w:tcPr>
          <w:p>
            <w:pPr>
              <w:jc w:val="center"/>
              <w:rPr>
                <w:rFonts w:hint="eastAsia"/>
                <w:color w:val="auto"/>
                <w:sz w:val="21"/>
                <w:highlight w:val="none"/>
              </w:rPr>
            </w:pPr>
          </w:p>
        </w:tc>
        <w:tc>
          <w:tcPr>
            <w:tcW w:w="646" w:type="dxa"/>
            <w:vMerge w:val="continue"/>
            <w:noWrap w:val="0"/>
            <w:vAlign w:val="center"/>
          </w:tcPr>
          <w:p>
            <w:pPr>
              <w:jc w:val="center"/>
              <w:rPr>
                <w:color w:val="auto"/>
                <w:sz w:val="21"/>
                <w:highlight w:val="none"/>
              </w:rPr>
            </w:pPr>
          </w:p>
        </w:tc>
        <w:tc>
          <w:tcPr>
            <w:tcW w:w="1992" w:type="dxa"/>
            <w:noWrap w:val="0"/>
            <w:vAlign w:val="center"/>
          </w:tcPr>
          <w:p>
            <w:pPr>
              <w:jc w:val="center"/>
              <w:rPr>
                <w:rFonts w:ascii="宋体" w:hAnsi="宋体" w:cs="宋体"/>
                <w:color w:val="auto"/>
                <w:sz w:val="21"/>
                <w:szCs w:val="22"/>
                <w:highlight w:val="none"/>
                <w:lang w:val="zh-CN" w:eastAsia="zh-CN" w:bidi="zh-CN"/>
              </w:rPr>
            </w:pPr>
            <w:r>
              <w:rPr>
                <w:rFonts w:hint="eastAsia"/>
                <w:color w:val="auto"/>
                <w:sz w:val="21"/>
                <w:highlight w:val="none"/>
              </w:rPr>
              <w:t>投标人不得存在的情形</w:t>
            </w:r>
          </w:p>
        </w:tc>
        <w:tc>
          <w:tcPr>
            <w:tcW w:w="49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 w:after="91" w:afterLines="30"/>
              <w:ind w:left="63" w:leftChars="30" w:right="63" w:rightChars="3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投标人不得存在第二章“投标人须知”第1.4.3项或第1.4.4项规定的任何一种情形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294" w:type="dxa"/>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240" w:lineRule="auto"/>
              <w:ind w:right="0"/>
              <w:jc w:val="center"/>
              <w:textAlignment w:val="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条款号</w:t>
            </w:r>
          </w:p>
        </w:tc>
        <w:tc>
          <w:tcPr>
            <w:tcW w:w="3268" w:type="dxa"/>
            <w:gridSpan w:val="3"/>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240" w:lineRule="auto"/>
              <w:ind w:right="0"/>
              <w:jc w:val="center"/>
              <w:textAlignment w:val="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条款内容</w:t>
            </w:r>
          </w:p>
        </w:tc>
        <w:tc>
          <w:tcPr>
            <w:tcW w:w="4917" w:type="dxa"/>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before="6" w:after="91" w:afterLines="30" w:line="240" w:lineRule="auto"/>
              <w:ind w:left="63" w:leftChars="30" w:right="63" w:rightChars="30"/>
              <w:jc w:val="center"/>
              <w:textAlignment w:val="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1294" w:type="dxa"/>
            <w:noWrap w:val="0"/>
            <w:vAlign w:val="center"/>
          </w:tcPr>
          <w:p>
            <w:pPr>
              <w:pStyle w:val="24"/>
              <w:keepNext w:val="0"/>
              <w:keepLines w:val="0"/>
              <w:pageBreakBefore w:val="0"/>
              <w:widowControl w:val="0"/>
              <w:tabs>
                <w:tab w:val="center" w:pos="995"/>
              </w:tabs>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2.2.1</w:t>
            </w:r>
          </w:p>
        </w:tc>
        <w:tc>
          <w:tcPr>
            <w:tcW w:w="3268" w:type="dxa"/>
            <w:gridSpan w:val="3"/>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宋体" w:hAnsi="宋体" w:eastAsia="宋体" w:cs="宋体"/>
                <w:color w:val="auto"/>
                <w:sz w:val="21"/>
                <w:highlight w:val="none"/>
              </w:rPr>
            </w:pPr>
            <w:r>
              <w:rPr>
                <w:rFonts w:hint="eastAsia" w:eastAsia="宋体" w:cs="宋体"/>
                <w:color w:val="auto"/>
                <w:sz w:val="21"/>
                <w:highlight w:val="none"/>
                <w:lang w:val="en-US" w:eastAsia="zh-CN"/>
              </w:rPr>
              <w:t>第一信封评分</w:t>
            </w:r>
            <w:r>
              <w:rPr>
                <w:rFonts w:hint="eastAsia" w:ascii="宋体" w:hAnsi="宋体" w:eastAsia="宋体" w:cs="宋体"/>
                <w:color w:val="auto"/>
                <w:sz w:val="21"/>
                <w:highlight w:val="none"/>
              </w:rPr>
              <w:t>分值构成（总分1</w:t>
            </w:r>
            <w:r>
              <w:rPr>
                <w:rFonts w:hint="eastAsia" w:eastAsia="宋体" w:cs="宋体"/>
                <w:color w:val="auto"/>
                <w:sz w:val="21"/>
                <w:highlight w:val="none"/>
                <w:lang w:val="en-US" w:eastAsia="zh-CN"/>
              </w:rPr>
              <w:t>0</w:t>
            </w:r>
            <w:r>
              <w:rPr>
                <w:rFonts w:hint="eastAsia" w:ascii="宋体" w:hAnsi="宋体" w:eastAsia="宋体" w:cs="宋体"/>
                <w:color w:val="auto"/>
                <w:sz w:val="21"/>
                <w:highlight w:val="none"/>
              </w:rPr>
              <w:t>0分）</w:t>
            </w:r>
          </w:p>
        </w:tc>
        <w:tc>
          <w:tcPr>
            <w:tcW w:w="4917" w:type="dxa"/>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before="6" w:after="91" w:afterLines="30"/>
              <w:ind w:left="63" w:leftChars="30" w:right="170"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施工组织设计：</w:t>
            </w:r>
            <w:r>
              <w:rPr>
                <w:rFonts w:hint="eastAsia" w:ascii="宋体" w:hAnsi="宋体" w:eastAsia="宋体" w:cs="宋体"/>
                <w:color w:val="auto"/>
                <w:sz w:val="21"/>
                <w:szCs w:val="21"/>
                <w:highlight w:val="none"/>
                <w:lang w:val="en-US" w:eastAsia="zh-CN" w:bidi="zh-CN"/>
              </w:rPr>
              <w:t>35</w:t>
            </w:r>
            <w:r>
              <w:rPr>
                <w:rFonts w:hint="eastAsia" w:ascii="宋体" w:hAnsi="宋体" w:eastAsia="宋体" w:cs="宋体"/>
                <w:color w:val="auto"/>
                <w:sz w:val="21"/>
                <w:szCs w:val="21"/>
                <w:highlight w:val="none"/>
                <w:lang w:val="zh-CN" w:eastAsia="zh-CN" w:bidi="zh-CN"/>
              </w:rPr>
              <w:t>分</w:t>
            </w:r>
          </w:p>
          <w:p>
            <w:pPr>
              <w:pStyle w:val="24"/>
              <w:keepNext w:val="0"/>
              <w:keepLines w:val="0"/>
              <w:pageBreakBefore w:val="0"/>
              <w:widowControl w:val="0"/>
              <w:kinsoku/>
              <w:wordWrap/>
              <w:overflowPunct/>
              <w:topLinePunct w:val="0"/>
              <w:autoSpaceDE w:val="0"/>
              <w:autoSpaceDN w:val="0"/>
              <w:bidi w:val="0"/>
              <w:adjustRightInd w:val="0"/>
              <w:snapToGrid w:val="0"/>
              <w:spacing w:before="6" w:after="91" w:afterLines="30"/>
              <w:ind w:left="63" w:leftChars="30" w:right="170"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主要人员：</w:t>
            </w:r>
            <w:r>
              <w:rPr>
                <w:rFonts w:hint="eastAsia" w:ascii="宋体" w:hAnsi="宋体" w:eastAsia="宋体" w:cs="宋体"/>
                <w:color w:val="auto"/>
                <w:sz w:val="21"/>
                <w:szCs w:val="21"/>
                <w:highlight w:val="none"/>
                <w:lang w:val="en-US" w:eastAsia="zh-CN" w:bidi="zh-CN"/>
              </w:rPr>
              <w:t>25</w:t>
            </w:r>
            <w:r>
              <w:rPr>
                <w:rFonts w:hint="eastAsia" w:ascii="宋体" w:hAnsi="宋体" w:eastAsia="宋体" w:cs="宋体"/>
                <w:color w:val="auto"/>
                <w:sz w:val="21"/>
                <w:szCs w:val="21"/>
                <w:highlight w:val="none"/>
                <w:lang w:val="zh-CN" w:eastAsia="zh-CN" w:bidi="zh-CN"/>
              </w:rPr>
              <w:t>分</w:t>
            </w:r>
          </w:p>
          <w:p>
            <w:pPr>
              <w:pStyle w:val="24"/>
              <w:keepNext w:val="0"/>
              <w:keepLines w:val="0"/>
              <w:pageBreakBefore w:val="0"/>
              <w:widowControl w:val="0"/>
              <w:kinsoku/>
              <w:wordWrap/>
              <w:overflowPunct/>
              <w:topLinePunct w:val="0"/>
              <w:autoSpaceDE w:val="0"/>
              <w:autoSpaceDN w:val="0"/>
              <w:bidi w:val="0"/>
              <w:adjustRightInd w:val="0"/>
              <w:snapToGrid w:val="0"/>
              <w:spacing w:before="6" w:after="91" w:afterLines="30"/>
              <w:ind w:left="63" w:leftChars="30" w:right="170"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技术能力：</w:t>
            </w:r>
            <w:r>
              <w:rPr>
                <w:rFonts w:hint="eastAsia" w:ascii="宋体" w:hAnsi="宋体" w:eastAsia="宋体" w:cs="宋体"/>
                <w:color w:val="auto"/>
                <w:sz w:val="21"/>
                <w:szCs w:val="21"/>
                <w:highlight w:val="none"/>
                <w:lang w:val="en-US" w:eastAsia="zh-CN" w:bidi="zh-CN"/>
              </w:rPr>
              <w:t>10</w:t>
            </w:r>
            <w:r>
              <w:rPr>
                <w:rFonts w:hint="eastAsia" w:ascii="宋体" w:hAnsi="宋体" w:eastAsia="宋体" w:cs="宋体"/>
                <w:color w:val="auto"/>
                <w:sz w:val="21"/>
                <w:szCs w:val="21"/>
                <w:highlight w:val="none"/>
                <w:lang w:val="zh-CN" w:eastAsia="zh-CN" w:bidi="zh-CN"/>
              </w:rPr>
              <w:t>分</w:t>
            </w:r>
          </w:p>
          <w:p>
            <w:pPr>
              <w:pStyle w:val="24"/>
              <w:keepNext w:val="0"/>
              <w:keepLines w:val="0"/>
              <w:pageBreakBefore w:val="0"/>
              <w:widowControl w:val="0"/>
              <w:kinsoku/>
              <w:wordWrap/>
              <w:overflowPunct/>
              <w:topLinePunct w:val="0"/>
              <w:autoSpaceDE w:val="0"/>
              <w:autoSpaceDN w:val="0"/>
              <w:bidi w:val="0"/>
              <w:adjustRightInd w:val="0"/>
              <w:snapToGrid w:val="0"/>
              <w:spacing w:before="6" w:after="91" w:afterLines="30"/>
              <w:ind w:left="63" w:leftChars="30" w:right="170"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履约信誉：</w:t>
            </w:r>
            <w:r>
              <w:rPr>
                <w:rFonts w:hint="eastAsia" w:ascii="宋体" w:hAnsi="宋体" w:eastAsia="宋体" w:cs="宋体"/>
                <w:color w:val="auto"/>
                <w:sz w:val="21"/>
                <w:szCs w:val="21"/>
                <w:highlight w:val="none"/>
                <w:lang w:val="en-US" w:eastAsia="zh-CN" w:bidi="zh-CN"/>
              </w:rPr>
              <w:t>15</w:t>
            </w:r>
            <w:r>
              <w:rPr>
                <w:rFonts w:hint="eastAsia" w:ascii="宋体" w:hAnsi="宋体" w:eastAsia="宋体" w:cs="宋体"/>
                <w:color w:val="auto"/>
                <w:sz w:val="21"/>
                <w:szCs w:val="21"/>
                <w:highlight w:val="none"/>
                <w:lang w:val="zh-CN" w:eastAsia="zh-CN" w:bidi="zh-CN"/>
              </w:rPr>
              <w:t>分</w:t>
            </w:r>
          </w:p>
          <w:p>
            <w:pPr>
              <w:pStyle w:val="24"/>
              <w:keepNext w:val="0"/>
              <w:keepLines w:val="0"/>
              <w:pageBreakBefore w:val="0"/>
              <w:widowControl w:val="0"/>
              <w:kinsoku/>
              <w:wordWrap/>
              <w:overflowPunct/>
              <w:topLinePunct w:val="0"/>
              <w:autoSpaceDE w:val="0"/>
              <w:autoSpaceDN w:val="0"/>
              <w:bidi w:val="0"/>
              <w:adjustRightInd w:val="0"/>
              <w:snapToGrid w:val="0"/>
              <w:spacing w:before="6" w:after="91" w:afterLines="30"/>
              <w:ind w:left="63" w:leftChars="30" w:right="170" w:rightChars="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lang w:val="en-US" w:eastAsia="zh-CN" w:bidi="zh-CN"/>
              </w:rPr>
              <w:t>项目业绩</w:t>
            </w: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15</w:t>
            </w:r>
            <w:r>
              <w:rPr>
                <w:rFonts w:hint="eastAsia" w:ascii="宋体" w:hAnsi="宋体" w:eastAsia="宋体" w:cs="宋体"/>
                <w:color w:val="auto"/>
                <w:sz w:val="21"/>
                <w:szCs w:val="21"/>
                <w:highlight w:val="none"/>
                <w:lang w:val="zh-CN" w:eastAsia="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294" w:type="dxa"/>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ind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2.2.3</w:t>
            </w:r>
          </w:p>
        </w:tc>
        <w:tc>
          <w:tcPr>
            <w:tcW w:w="3268" w:type="dxa"/>
            <w:gridSpan w:val="3"/>
            <w:noWrap w:val="0"/>
            <w:vAlign w:val="center"/>
          </w:tcPr>
          <w:p>
            <w:pPr>
              <w:pStyle w:val="24"/>
              <w:keepNext w:val="0"/>
              <w:keepLines w:val="0"/>
              <w:pageBreakBefore w:val="0"/>
              <w:widowControl w:val="0"/>
              <w:kinsoku/>
              <w:wordWrap/>
              <w:overflowPunct/>
              <w:topLinePunct w:val="0"/>
              <w:autoSpaceDE w:val="0"/>
              <w:autoSpaceDN w:val="0"/>
              <w:bidi w:val="0"/>
              <w:adjustRightInd w:val="0"/>
              <w:snapToGrid/>
              <w:spacing w:line="240" w:lineRule="auto"/>
              <w:ind w:right="0"/>
              <w:jc w:val="center"/>
              <w:textAlignment w:val="auto"/>
              <w:rPr>
                <w:rFonts w:hint="default" w:ascii="宋体" w:hAnsi="宋体" w:eastAsia="宋体" w:cs="宋体"/>
                <w:color w:val="auto"/>
                <w:sz w:val="21"/>
                <w:highlight w:val="none"/>
                <w:lang w:val="en-US" w:eastAsia="zh-CN"/>
              </w:rPr>
            </w:pPr>
            <w:r>
              <w:rPr>
                <w:rFonts w:hint="eastAsia" w:eastAsia="宋体" w:cs="宋体"/>
                <w:color w:val="auto"/>
                <w:sz w:val="21"/>
                <w:highlight w:val="none"/>
                <w:lang w:val="en-US" w:eastAsia="zh-CN"/>
              </w:rPr>
              <w:t>第二信封详细评审标准</w:t>
            </w:r>
          </w:p>
        </w:tc>
        <w:tc>
          <w:tcPr>
            <w:tcW w:w="4917" w:type="dxa"/>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before="6" w:after="91" w:afterLines="30"/>
              <w:ind w:left="63" w:leftChars="30" w:right="170" w:rightChars="0"/>
              <w:jc w:val="both"/>
              <w:textAlignment w:val="auto"/>
              <w:rPr>
                <w:rFonts w:hint="default" w:ascii="宋体" w:hAnsi="宋体" w:eastAsia="宋体" w:cs="宋体"/>
                <w:color w:val="auto"/>
                <w:sz w:val="21"/>
                <w:szCs w:val="21"/>
                <w:highlight w:val="none"/>
                <w:lang w:val="zh-CN" w:eastAsia="zh-CN" w:bidi="zh-CN"/>
              </w:rPr>
            </w:pPr>
            <w:r>
              <w:rPr>
                <w:rFonts w:hint="default" w:ascii="宋体" w:hAnsi="宋体" w:eastAsia="宋体" w:cs="宋体"/>
                <w:color w:val="auto"/>
                <w:sz w:val="21"/>
                <w:szCs w:val="21"/>
                <w:highlight w:val="none"/>
                <w:lang w:val="zh-CN" w:eastAsia="zh-CN" w:bidi="zh-CN"/>
              </w:rPr>
              <w:t>评标价计算公式</w:t>
            </w:r>
            <w:r>
              <w:rPr>
                <w:rFonts w:hint="eastAsia" w:ascii="宋体" w:hAnsi="宋体" w:eastAsia="宋体" w:cs="宋体"/>
                <w:color w:val="auto"/>
                <w:sz w:val="21"/>
                <w:szCs w:val="21"/>
                <w:highlight w:val="none"/>
                <w:lang w:val="zh-CN" w:eastAsia="zh-CN" w:bidi="zh-CN"/>
              </w:rPr>
              <w:t>：</w:t>
            </w:r>
          </w:p>
          <w:p>
            <w:pPr>
              <w:pStyle w:val="24"/>
              <w:keepNext w:val="0"/>
              <w:keepLines w:val="0"/>
              <w:pageBreakBefore w:val="0"/>
              <w:widowControl w:val="0"/>
              <w:kinsoku/>
              <w:wordWrap/>
              <w:overflowPunct/>
              <w:topLinePunct w:val="0"/>
              <w:autoSpaceDE w:val="0"/>
              <w:autoSpaceDN w:val="0"/>
              <w:bidi w:val="0"/>
              <w:adjustRightInd w:val="0"/>
              <w:snapToGrid w:val="0"/>
              <w:spacing w:before="6" w:after="91" w:afterLines="30"/>
              <w:ind w:left="63" w:leftChars="30" w:right="170"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评标价＝修正后的投标报价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1294" w:type="dxa"/>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ind w:right="0"/>
              <w:jc w:val="center"/>
              <w:textAlignment w:val="auto"/>
              <w:rPr>
                <w:rFonts w:hint="eastAsia" w:ascii="宋体" w:hAnsi="宋体" w:eastAsia="宋体" w:cs="宋体"/>
                <w:color w:val="auto"/>
                <w:sz w:val="21"/>
                <w:highlight w:val="none"/>
              </w:rPr>
            </w:pPr>
            <w:r>
              <w:rPr>
                <w:rFonts w:hint="eastAsia" w:eastAsia="宋体" w:cs="宋体"/>
                <w:color w:val="auto"/>
                <w:sz w:val="21"/>
                <w:highlight w:val="none"/>
                <w:lang w:val="en-US" w:eastAsia="zh-CN"/>
              </w:rPr>
              <w:t>3</w:t>
            </w:r>
            <w:r>
              <w:rPr>
                <w:rFonts w:hint="eastAsia" w:ascii="宋体" w:hAnsi="宋体" w:eastAsia="宋体" w:cs="宋体"/>
                <w:color w:val="auto"/>
                <w:sz w:val="21"/>
                <w:highlight w:val="none"/>
              </w:rPr>
              <w:t>.2.4</w:t>
            </w:r>
          </w:p>
        </w:tc>
        <w:tc>
          <w:tcPr>
            <w:tcW w:w="3268" w:type="dxa"/>
            <w:gridSpan w:val="3"/>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ind w:right="0"/>
              <w:jc w:val="center"/>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通过第一个信封详细评审的投标人数量</w:t>
            </w:r>
          </w:p>
        </w:tc>
        <w:tc>
          <w:tcPr>
            <w:tcW w:w="4917" w:type="dxa"/>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before="6" w:after="91" w:afterLines="30"/>
              <w:ind w:left="63" w:leftChars="30" w:right="170" w:rightChars="0"/>
              <w:jc w:val="both"/>
              <w:textAlignment w:val="auto"/>
              <w:rPr>
                <w:rFonts w:hint="eastAsia" w:ascii="宋体" w:hAnsi="宋体" w:eastAsia="宋体" w:cs="宋体"/>
                <w:color w:val="auto"/>
                <w:sz w:val="21"/>
                <w:szCs w:val="21"/>
                <w:highlight w:val="none"/>
                <w:lang w:val="zh-CN" w:eastAsia="zh-CN" w:bidi="zh-CN"/>
              </w:rPr>
            </w:pPr>
            <w:r>
              <w:rPr>
                <w:rFonts w:hint="default" w:ascii="宋体" w:hAnsi="宋体" w:eastAsia="宋体" w:cs="宋体"/>
                <w:color w:val="auto"/>
                <w:sz w:val="21"/>
                <w:szCs w:val="21"/>
                <w:highlight w:val="none"/>
                <w:lang w:val="zh-CN" w:eastAsia="zh-CN" w:bidi="zh-CN"/>
              </w:rPr>
              <w:t>按照投标人的商务和技术得分由高到低排序，</w:t>
            </w:r>
            <w:r>
              <w:rPr>
                <w:rFonts w:hint="eastAsia" w:ascii="宋体" w:hAnsi="宋体" w:eastAsia="宋体" w:cs="宋体"/>
                <w:color w:val="auto"/>
                <w:sz w:val="21"/>
                <w:szCs w:val="21"/>
                <w:highlight w:val="none"/>
                <w:lang w:val="zh-CN" w:eastAsia="zh-CN" w:bidi="zh-CN"/>
              </w:rPr>
              <w:t>当N≤</w:t>
            </w:r>
            <w:r>
              <w:rPr>
                <w:rFonts w:hint="eastAsia" w:ascii="宋体" w:hAnsi="宋体" w:eastAsia="宋体" w:cs="宋体"/>
                <w:color w:val="auto"/>
                <w:sz w:val="21"/>
                <w:szCs w:val="21"/>
                <w:highlight w:val="none"/>
                <w:lang w:val="en-US" w:eastAsia="zh-CN" w:bidi="zh-CN"/>
              </w:rPr>
              <w:t>15</w:t>
            </w:r>
            <w:r>
              <w:rPr>
                <w:rFonts w:hint="eastAsia" w:ascii="宋体" w:hAnsi="宋体" w:eastAsia="宋体" w:cs="宋体"/>
                <w:color w:val="auto"/>
                <w:sz w:val="21"/>
                <w:szCs w:val="21"/>
                <w:highlight w:val="none"/>
                <w:lang w:val="zh-CN" w:eastAsia="zh-CN" w:bidi="zh-CN"/>
              </w:rPr>
              <w:t>时，</w:t>
            </w:r>
            <w:r>
              <w:rPr>
                <w:rFonts w:hint="default" w:ascii="宋体" w:hAnsi="宋体" w:eastAsia="宋体" w:cs="宋体"/>
                <w:color w:val="auto"/>
                <w:sz w:val="21"/>
                <w:szCs w:val="21"/>
                <w:highlight w:val="none"/>
                <w:lang w:val="zh-CN" w:eastAsia="zh-CN" w:bidi="zh-CN"/>
              </w:rPr>
              <w:t xml:space="preserve">选择前 </w:t>
            </w:r>
            <w:r>
              <w:rPr>
                <w:rFonts w:hint="eastAsia" w:ascii="宋体" w:hAnsi="宋体" w:eastAsia="宋体" w:cs="宋体"/>
                <w:color w:val="auto"/>
                <w:sz w:val="21"/>
                <w:szCs w:val="21"/>
                <w:highlight w:val="none"/>
                <w:lang w:val="zh-CN" w:eastAsia="zh-CN" w:bidi="zh-CN"/>
              </w:rPr>
              <w:t xml:space="preserve">3 </w:t>
            </w:r>
            <w:r>
              <w:rPr>
                <w:rFonts w:hint="default" w:ascii="宋体" w:hAnsi="宋体" w:eastAsia="宋体" w:cs="宋体"/>
                <w:color w:val="auto"/>
                <w:sz w:val="21"/>
                <w:szCs w:val="21"/>
                <w:highlight w:val="none"/>
                <w:lang w:val="zh-CN" w:eastAsia="zh-CN" w:bidi="zh-CN"/>
              </w:rPr>
              <w:t>名通过详细评审</w:t>
            </w:r>
            <w:r>
              <w:rPr>
                <w:rFonts w:hint="eastAsia" w:ascii="宋体" w:hAnsi="宋体" w:eastAsia="宋体" w:cs="宋体"/>
                <w:color w:val="auto"/>
                <w:sz w:val="21"/>
                <w:szCs w:val="21"/>
                <w:highlight w:val="none"/>
                <w:lang w:val="zh-CN" w:eastAsia="zh-CN" w:bidi="zh-CN"/>
              </w:rPr>
              <w:t>进入评标价排名；当N＞</w:t>
            </w:r>
            <w:r>
              <w:rPr>
                <w:rFonts w:hint="eastAsia" w:ascii="宋体" w:hAnsi="宋体" w:eastAsia="宋体" w:cs="宋体"/>
                <w:color w:val="auto"/>
                <w:sz w:val="21"/>
                <w:szCs w:val="21"/>
                <w:highlight w:val="none"/>
                <w:lang w:val="en-US" w:eastAsia="zh-CN" w:bidi="zh-CN"/>
              </w:rPr>
              <w:t>15</w:t>
            </w:r>
            <w:r>
              <w:rPr>
                <w:rFonts w:hint="eastAsia" w:ascii="宋体" w:hAnsi="宋体" w:eastAsia="宋体" w:cs="宋体"/>
                <w:color w:val="auto"/>
                <w:sz w:val="21"/>
                <w:szCs w:val="21"/>
                <w:highlight w:val="none"/>
                <w:lang w:val="zh-CN" w:eastAsia="zh-CN" w:bidi="zh-CN"/>
              </w:rPr>
              <w:t>时，</w:t>
            </w:r>
            <w:r>
              <w:rPr>
                <w:rFonts w:hint="default" w:ascii="宋体" w:hAnsi="宋体" w:eastAsia="宋体" w:cs="宋体"/>
                <w:color w:val="auto"/>
                <w:sz w:val="21"/>
                <w:szCs w:val="21"/>
                <w:highlight w:val="none"/>
                <w:lang w:val="zh-CN" w:eastAsia="zh-CN" w:bidi="zh-CN"/>
              </w:rPr>
              <w:t xml:space="preserve">选择前 </w:t>
            </w:r>
            <w:r>
              <w:rPr>
                <w:rFonts w:hint="eastAsia" w:ascii="宋体" w:hAnsi="宋体" w:eastAsia="宋体" w:cs="宋体"/>
                <w:color w:val="auto"/>
                <w:sz w:val="21"/>
                <w:szCs w:val="21"/>
                <w:highlight w:val="none"/>
                <w:lang w:val="en-US" w:eastAsia="zh-CN" w:bidi="zh-CN"/>
              </w:rPr>
              <w:t xml:space="preserve">4 </w:t>
            </w:r>
            <w:r>
              <w:rPr>
                <w:rFonts w:hint="default" w:ascii="宋体" w:hAnsi="宋体" w:eastAsia="宋体" w:cs="宋体"/>
                <w:color w:val="auto"/>
                <w:sz w:val="21"/>
                <w:szCs w:val="21"/>
                <w:highlight w:val="none"/>
                <w:lang w:val="zh-CN" w:eastAsia="zh-CN" w:bidi="zh-CN"/>
              </w:rPr>
              <w:t>名通过详细评审</w:t>
            </w:r>
            <w:r>
              <w:rPr>
                <w:rFonts w:hint="eastAsia" w:ascii="宋体" w:hAnsi="宋体" w:eastAsia="宋体" w:cs="宋体"/>
                <w:color w:val="auto"/>
                <w:sz w:val="21"/>
                <w:szCs w:val="21"/>
                <w:highlight w:val="none"/>
                <w:lang w:val="zh-CN" w:eastAsia="zh-CN" w:bidi="zh-CN"/>
              </w:rPr>
              <w:t>进入评标价排名</w:t>
            </w:r>
            <w:r>
              <w:rPr>
                <w:rFonts w:hint="default" w:ascii="宋体" w:hAnsi="宋体" w:eastAsia="宋体" w:cs="宋体"/>
                <w:color w:val="auto"/>
                <w:sz w:val="21"/>
                <w:szCs w:val="21"/>
                <w:highlight w:val="none"/>
                <w:lang w:val="en-US" w:eastAsia="zh-CN" w:bidi="zh-CN"/>
              </w:rPr>
              <w:t>。</w:t>
            </w:r>
            <w:r>
              <w:rPr>
                <w:rFonts w:hint="eastAsia" w:ascii="宋体" w:hAnsi="宋体" w:eastAsia="宋体" w:cs="宋体"/>
                <w:color w:val="auto"/>
                <w:sz w:val="21"/>
                <w:szCs w:val="21"/>
                <w:highlight w:val="none"/>
                <w:lang w:val="zh-CN" w:eastAsia="zh-CN" w:bidi="zh-CN"/>
              </w:rPr>
              <w:t>（N为第一信封开标有效投标人数量）</w:t>
            </w:r>
          </w:p>
        </w:tc>
      </w:tr>
    </w:tbl>
    <w:p>
      <w:pPr>
        <w:pStyle w:val="5"/>
        <w:rPr>
          <w:rFonts w:hint="eastAsia" w:ascii="宋体" w:hAnsi="宋体" w:eastAsia="宋体" w:cs="宋体"/>
          <w:color w:val="auto"/>
          <w:sz w:val="2"/>
          <w:szCs w:val="2"/>
          <w:highlight w:val="none"/>
        </w:rPr>
      </w:pP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757"/>
        <w:gridCol w:w="620"/>
        <w:gridCol w:w="592"/>
        <w:gridCol w:w="1053"/>
        <w:gridCol w:w="2248"/>
        <w:gridCol w:w="720"/>
        <w:gridCol w:w="333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23" w:hRule="atLeast"/>
          <w:jc w:val="center"/>
        </w:trPr>
        <w:tc>
          <w:tcPr>
            <w:tcW w:w="9321" w:type="dxa"/>
            <w:gridSpan w:val="7"/>
            <w:tcBorders>
              <w:tl2br w:val="nil"/>
              <w:tr2bl w:val="nil"/>
            </w:tcBorders>
            <w:noWrap w:val="0"/>
            <w:vAlign w:val="center"/>
          </w:tcPr>
          <w:p>
            <w:pPr>
              <w:spacing w:line="360" w:lineRule="exact"/>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评分因素与权重分值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52" w:hRule="atLeast"/>
          <w:jc w:val="center"/>
        </w:trPr>
        <w:tc>
          <w:tcPr>
            <w:tcW w:w="75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条款号</w:t>
            </w:r>
          </w:p>
        </w:tc>
        <w:tc>
          <w:tcPr>
            <w:tcW w:w="121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bCs/>
                <w:spacing w:val="-10"/>
                <w:sz w:val="21"/>
                <w:szCs w:val="21"/>
                <w:highlight w:val="none"/>
                <w:lang w:eastAsia="zh-CN"/>
              </w:rPr>
            </w:pPr>
            <w:r>
              <w:rPr>
                <w:rFonts w:hint="eastAsia" w:ascii="宋体" w:hAnsi="宋体" w:eastAsia="宋体" w:cs="宋体"/>
                <w:b/>
                <w:bCs/>
                <w:spacing w:val="-10"/>
                <w:sz w:val="21"/>
                <w:szCs w:val="21"/>
                <w:highlight w:val="none"/>
                <w:lang w:eastAsia="zh-CN"/>
              </w:rPr>
              <w:t>评分因素</w:t>
            </w:r>
          </w:p>
        </w:tc>
        <w:tc>
          <w:tcPr>
            <w:tcW w:w="10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bCs/>
                <w:sz w:val="21"/>
                <w:szCs w:val="21"/>
                <w:highlight w:val="none"/>
                <w:u w:val="single"/>
                <w:lang w:eastAsia="zh-CN"/>
              </w:rPr>
            </w:pPr>
            <w:r>
              <w:rPr>
                <w:rFonts w:hint="eastAsia" w:ascii="宋体" w:hAnsi="宋体" w:eastAsia="宋体" w:cs="宋体"/>
                <w:b/>
                <w:bCs/>
                <w:sz w:val="21"/>
                <w:szCs w:val="21"/>
                <w:highlight w:val="none"/>
                <w:u w:val="none"/>
                <w:lang w:eastAsia="zh-CN"/>
              </w:rPr>
              <w:t>评分因素</w:t>
            </w:r>
            <w:r>
              <w:rPr>
                <w:rFonts w:hint="eastAsia" w:ascii="宋体" w:hAnsi="宋体" w:eastAsia="宋体" w:cs="宋体"/>
                <w:b/>
                <w:bCs/>
                <w:sz w:val="21"/>
                <w:szCs w:val="21"/>
                <w:highlight w:val="none"/>
                <w:u w:val="none"/>
                <w:lang w:val="en-US" w:eastAsia="zh-CN"/>
              </w:rPr>
              <w:t xml:space="preserve">     </w:t>
            </w:r>
            <w:r>
              <w:rPr>
                <w:rFonts w:hint="eastAsia" w:ascii="宋体" w:hAnsi="宋体" w:eastAsia="宋体" w:cs="宋体"/>
                <w:b/>
                <w:bCs/>
                <w:sz w:val="21"/>
                <w:szCs w:val="21"/>
                <w:highlight w:val="none"/>
                <w:u w:val="none"/>
                <w:lang w:eastAsia="zh-CN"/>
              </w:rPr>
              <w:t>权重分值</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各评分因素细分项</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bCs/>
                <w:color w:val="000000"/>
                <w:sz w:val="21"/>
                <w:szCs w:val="21"/>
                <w:highlight w:val="none"/>
                <w:u w:val="none"/>
                <w:lang w:eastAsia="zh-CN"/>
              </w:rPr>
            </w:pPr>
            <w:r>
              <w:rPr>
                <w:rFonts w:hint="eastAsia" w:ascii="宋体" w:hAnsi="宋体" w:eastAsia="宋体" w:cs="宋体"/>
                <w:b/>
                <w:bCs/>
                <w:color w:val="000000"/>
                <w:sz w:val="21"/>
                <w:szCs w:val="21"/>
                <w:highlight w:val="none"/>
                <w:u w:val="none"/>
                <w:lang w:eastAsia="zh-CN"/>
              </w:rPr>
              <w:t>分值</w:t>
            </w:r>
          </w:p>
        </w:tc>
        <w:tc>
          <w:tcPr>
            <w:tcW w:w="33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bCs/>
                <w:color w:val="000000"/>
                <w:sz w:val="21"/>
                <w:szCs w:val="21"/>
                <w:highlight w:val="none"/>
                <w:u w:val="none"/>
                <w:lang w:eastAsia="zh-CN"/>
              </w:rPr>
            </w:pPr>
            <w:r>
              <w:rPr>
                <w:rFonts w:hint="eastAsia" w:ascii="宋体" w:hAnsi="宋体" w:eastAsia="宋体" w:cs="宋体"/>
                <w:b/>
                <w:bCs/>
                <w:color w:val="000000"/>
                <w:sz w:val="21"/>
                <w:szCs w:val="21"/>
                <w:highlight w:val="none"/>
                <w:u w:val="none"/>
                <w:lang w:eastAsia="zh-CN"/>
              </w:rPr>
              <w:t>评分标准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53" w:hRule="atLeast"/>
          <w:jc w:val="center"/>
        </w:trPr>
        <w:tc>
          <w:tcPr>
            <w:tcW w:w="75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12"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施工组织设计评分标准</w:t>
            </w:r>
          </w:p>
        </w:tc>
        <w:tc>
          <w:tcPr>
            <w:tcW w:w="1053" w:type="dxa"/>
            <w:vMerge w:val="restart"/>
            <w:tcBorders>
              <w:tl2br w:val="nil"/>
              <w:tr2bl w:val="nil"/>
            </w:tcBorders>
            <w:noWrap w:val="0"/>
            <w:vAlign w:val="center"/>
          </w:tcPr>
          <w:p>
            <w:pPr>
              <w:pStyle w:val="24"/>
              <w:keepNext w:val="0"/>
              <w:keepLines w:val="0"/>
              <w:pageBreakBefore w:val="0"/>
              <w:widowControl w:val="0"/>
              <w:tabs>
                <w:tab w:val="left" w:pos="671"/>
              </w:tabs>
              <w:kinsoku/>
              <w:wordWrap/>
              <w:overflowPunct/>
              <w:topLinePunct w:val="0"/>
              <w:autoSpaceDE w:val="0"/>
              <w:autoSpaceDN w:val="0"/>
              <w:bidi w:val="0"/>
              <w:adjustRightInd w:val="0"/>
              <w:snapToGrid w:val="0"/>
              <w:spacing w:before="196"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35</w:t>
            </w:r>
            <w:r>
              <w:rPr>
                <w:rFonts w:hint="eastAsia" w:ascii="宋体" w:hAnsi="宋体" w:eastAsia="宋体" w:cs="宋体"/>
                <w:sz w:val="21"/>
                <w:szCs w:val="21"/>
                <w:highlight w:val="none"/>
              </w:rPr>
              <w:t>分</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总体施工组织布置</w:t>
            </w:r>
          </w:p>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及规划</w:t>
            </w:r>
          </w:p>
        </w:tc>
        <w:tc>
          <w:tcPr>
            <w:tcW w:w="720" w:type="dxa"/>
            <w:tcBorders>
              <w:tl2br w:val="nil"/>
              <w:tr2bl w:val="nil"/>
            </w:tcBorders>
            <w:noWrap w:val="0"/>
            <w:vAlign w:val="center"/>
          </w:tcPr>
          <w:p>
            <w:pPr>
              <w:pStyle w:val="24"/>
              <w:keepNext w:val="0"/>
              <w:keepLines w:val="0"/>
              <w:pageBreakBefore w:val="0"/>
              <w:widowControl w:val="0"/>
              <w:tabs>
                <w:tab w:val="left" w:pos="452"/>
              </w:tabs>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color w:val="000000"/>
                <w:sz w:val="21"/>
                <w:szCs w:val="21"/>
                <w:highlight w:val="none"/>
                <w:u w:val="single"/>
                <w:lang w:val="en-US" w:eastAsia="zh-CN"/>
              </w:rPr>
            </w:pP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rPr>
              <w:t>分</w:t>
            </w:r>
          </w:p>
        </w:tc>
        <w:tc>
          <w:tcPr>
            <w:tcW w:w="3331" w:type="dxa"/>
            <w:tcBorders>
              <w:tl2br w:val="nil"/>
              <w:tr2bl w:val="nil"/>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both"/>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sz w:val="21"/>
                <w:szCs w:val="21"/>
                <w:highlight w:val="none"/>
                <w:u w:val="none"/>
              </w:rPr>
              <w:t>科学合理得5.7～7分，较合理得4.3～5.6分，一般得4.2分。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00" w:hRule="atLeast"/>
          <w:jc w:val="center"/>
        </w:trPr>
        <w:tc>
          <w:tcPr>
            <w:tcW w:w="757"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21"/>
                <w:szCs w:val="21"/>
                <w:highlight w:val="none"/>
              </w:rPr>
            </w:pPr>
          </w:p>
        </w:tc>
        <w:tc>
          <w:tcPr>
            <w:tcW w:w="1212" w:type="dxa"/>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pacing w:val="-10"/>
                <w:sz w:val="21"/>
                <w:szCs w:val="21"/>
                <w:highlight w:val="none"/>
              </w:rPr>
            </w:pPr>
          </w:p>
        </w:tc>
        <w:tc>
          <w:tcPr>
            <w:tcW w:w="1053"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21"/>
                <w:szCs w:val="21"/>
                <w:highlight w:val="none"/>
                <w:u w:val="single"/>
              </w:rPr>
            </w:pP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施工方案、方法</w:t>
            </w:r>
          </w:p>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与技术措施</w:t>
            </w:r>
          </w:p>
        </w:tc>
        <w:tc>
          <w:tcPr>
            <w:tcW w:w="720" w:type="dxa"/>
            <w:tcBorders>
              <w:tl2br w:val="nil"/>
              <w:tr2bl w:val="nil"/>
            </w:tcBorders>
            <w:noWrap w:val="0"/>
            <w:vAlign w:val="center"/>
          </w:tcPr>
          <w:p>
            <w:pPr>
              <w:pStyle w:val="24"/>
              <w:keepNext w:val="0"/>
              <w:keepLines w:val="0"/>
              <w:pageBreakBefore w:val="0"/>
              <w:widowControl w:val="0"/>
              <w:tabs>
                <w:tab w:val="left" w:pos="452"/>
              </w:tabs>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rPr>
              <w:t>分</w:t>
            </w:r>
          </w:p>
        </w:tc>
        <w:tc>
          <w:tcPr>
            <w:tcW w:w="333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both"/>
              <w:textAlignment w:val="auto"/>
              <w:rPr>
                <w:rFonts w:hint="eastAsia" w:ascii="宋体" w:hAnsi="宋体" w:eastAsia="宋体" w:cs="宋体"/>
                <w:color w:val="000000"/>
                <w:sz w:val="21"/>
                <w:szCs w:val="21"/>
                <w:highlight w:val="none"/>
                <w:u w:val="none"/>
              </w:rPr>
            </w:pPr>
            <w:r>
              <w:rPr>
                <w:rFonts w:hint="eastAsia" w:ascii="宋体" w:hAnsi="宋体" w:eastAsia="宋体" w:cs="宋体"/>
                <w:sz w:val="21"/>
                <w:szCs w:val="21"/>
                <w:highlight w:val="none"/>
                <w:u w:val="none"/>
              </w:rPr>
              <w:t>科学合理得5.7～7分，较合理得4.3～5.6分，一般得4.2分。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12" w:hRule="atLeast"/>
          <w:jc w:val="center"/>
        </w:trPr>
        <w:tc>
          <w:tcPr>
            <w:tcW w:w="757"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21"/>
                <w:szCs w:val="21"/>
                <w:highlight w:val="none"/>
              </w:rPr>
            </w:pPr>
          </w:p>
        </w:tc>
        <w:tc>
          <w:tcPr>
            <w:tcW w:w="1212" w:type="dxa"/>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pacing w:val="-10"/>
                <w:sz w:val="21"/>
                <w:szCs w:val="21"/>
                <w:highlight w:val="none"/>
              </w:rPr>
            </w:pPr>
          </w:p>
        </w:tc>
        <w:tc>
          <w:tcPr>
            <w:tcW w:w="1053"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21"/>
                <w:szCs w:val="21"/>
                <w:highlight w:val="none"/>
                <w:u w:val="single"/>
              </w:rPr>
            </w:pP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工程质量管理体系工期保证体系及保证措施</w:t>
            </w:r>
          </w:p>
        </w:tc>
        <w:tc>
          <w:tcPr>
            <w:tcW w:w="720" w:type="dxa"/>
            <w:tcBorders>
              <w:tl2br w:val="nil"/>
              <w:tr2bl w:val="nil"/>
            </w:tcBorders>
            <w:noWrap w:val="0"/>
            <w:vAlign w:val="center"/>
          </w:tcPr>
          <w:p>
            <w:pPr>
              <w:pStyle w:val="24"/>
              <w:keepNext w:val="0"/>
              <w:keepLines w:val="0"/>
              <w:pageBreakBefore w:val="0"/>
              <w:widowControl w:val="0"/>
              <w:tabs>
                <w:tab w:val="left" w:pos="452"/>
              </w:tabs>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rPr>
              <w:t>分</w:t>
            </w:r>
          </w:p>
        </w:tc>
        <w:tc>
          <w:tcPr>
            <w:tcW w:w="333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both"/>
              <w:textAlignment w:val="auto"/>
              <w:rPr>
                <w:rFonts w:hint="eastAsia" w:ascii="宋体" w:hAnsi="宋体" w:eastAsia="宋体" w:cs="宋体"/>
                <w:color w:val="000000"/>
                <w:sz w:val="21"/>
                <w:szCs w:val="21"/>
                <w:highlight w:val="none"/>
                <w:u w:val="none"/>
              </w:rPr>
            </w:pPr>
            <w:r>
              <w:rPr>
                <w:rFonts w:hint="eastAsia" w:ascii="宋体" w:hAnsi="宋体" w:eastAsia="宋体" w:cs="宋体"/>
                <w:sz w:val="21"/>
                <w:szCs w:val="21"/>
                <w:highlight w:val="none"/>
                <w:u w:val="none"/>
              </w:rPr>
              <w:t>科学合理得5.7～7分，较合理得4.3～5.6分，一般得4.2分。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56" w:hRule="atLeast"/>
          <w:jc w:val="center"/>
        </w:trPr>
        <w:tc>
          <w:tcPr>
            <w:tcW w:w="757"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21"/>
                <w:szCs w:val="21"/>
                <w:highlight w:val="none"/>
              </w:rPr>
            </w:pPr>
          </w:p>
        </w:tc>
        <w:tc>
          <w:tcPr>
            <w:tcW w:w="1212" w:type="dxa"/>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pacing w:val="-10"/>
                <w:sz w:val="21"/>
                <w:szCs w:val="21"/>
                <w:highlight w:val="none"/>
              </w:rPr>
            </w:pPr>
          </w:p>
        </w:tc>
        <w:tc>
          <w:tcPr>
            <w:tcW w:w="1053"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21"/>
                <w:szCs w:val="21"/>
                <w:highlight w:val="none"/>
                <w:u w:val="single"/>
              </w:rPr>
            </w:pP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安全生产作业方案、环境保护措施、水土保持措施、标准化管理措施、文明施工保证措施</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rPr>
              <w:t>分</w:t>
            </w:r>
          </w:p>
        </w:tc>
        <w:tc>
          <w:tcPr>
            <w:tcW w:w="333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both"/>
              <w:textAlignment w:val="auto"/>
              <w:rPr>
                <w:rFonts w:hint="eastAsia" w:ascii="宋体" w:hAnsi="宋体" w:eastAsia="宋体" w:cs="宋体"/>
                <w:color w:val="000000"/>
                <w:sz w:val="21"/>
                <w:szCs w:val="21"/>
                <w:highlight w:val="none"/>
                <w:u w:val="none"/>
              </w:rPr>
            </w:pPr>
            <w:r>
              <w:rPr>
                <w:rFonts w:hint="eastAsia" w:ascii="宋体" w:hAnsi="宋体" w:eastAsia="宋体" w:cs="宋体"/>
                <w:sz w:val="21"/>
                <w:szCs w:val="21"/>
                <w:highlight w:val="none"/>
                <w:u w:val="none"/>
              </w:rPr>
              <w:t>科学合理得5.7～7分，较合理得4.3～5.6分，一般得4.2分。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86" w:hRule="atLeast"/>
          <w:jc w:val="center"/>
        </w:trPr>
        <w:tc>
          <w:tcPr>
            <w:tcW w:w="757"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21"/>
                <w:szCs w:val="21"/>
                <w:highlight w:val="none"/>
              </w:rPr>
            </w:pPr>
          </w:p>
        </w:tc>
        <w:tc>
          <w:tcPr>
            <w:tcW w:w="1212" w:type="dxa"/>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pacing w:val="-10"/>
                <w:sz w:val="21"/>
                <w:szCs w:val="21"/>
                <w:highlight w:val="none"/>
              </w:rPr>
            </w:pPr>
          </w:p>
        </w:tc>
        <w:tc>
          <w:tcPr>
            <w:tcW w:w="1053"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21"/>
                <w:szCs w:val="21"/>
                <w:highlight w:val="none"/>
                <w:u w:val="single"/>
              </w:rPr>
            </w:pP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交通组织及交通安全管理方案及项目风险预测与防范，事故应急预案等措施</w:t>
            </w:r>
          </w:p>
        </w:tc>
        <w:tc>
          <w:tcPr>
            <w:tcW w:w="720" w:type="dxa"/>
            <w:tcBorders>
              <w:tl2br w:val="nil"/>
              <w:tr2bl w:val="nil"/>
            </w:tcBorders>
            <w:noWrap w:val="0"/>
            <w:vAlign w:val="center"/>
          </w:tcPr>
          <w:p>
            <w:pPr>
              <w:pStyle w:val="24"/>
              <w:keepNext w:val="0"/>
              <w:keepLines w:val="0"/>
              <w:pageBreakBefore w:val="0"/>
              <w:widowControl w:val="0"/>
              <w:tabs>
                <w:tab w:val="left" w:pos="452"/>
              </w:tabs>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color w:val="000000"/>
                <w:sz w:val="21"/>
                <w:szCs w:val="21"/>
                <w:highlight w:val="none"/>
                <w:u w:val="single"/>
                <w:lang w:val="en-US" w:eastAsia="zh-CN"/>
              </w:rPr>
            </w:pP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rPr>
              <w:t>分</w:t>
            </w:r>
          </w:p>
        </w:tc>
        <w:tc>
          <w:tcPr>
            <w:tcW w:w="333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both"/>
              <w:textAlignment w:val="auto"/>
              <w:rPr>
                <w:rFonts w:hint="eastAsia" w:ascii="宋体" w:hAnsi="宋体" w:eastAsia="宋体" w:cs="宋体"/>
                <w:color w:val="000000"/>
                <w:sz w:val="21"/>
                <w:szCs w:val="21"/>
                <w:highlight w:val="none"/>
                <w:u w:val="none"/>
                <w:lang w:eastAsia="zh-CN"/>
              </w:rPr>
            </w:pPr>
            <w:r>
              <w:rPr>
                <w:rFonts w:hint="eastAsia" w:ascii="宋体" w:hAnsi="宋体" w:eastAsia="宋体" w:cs="宋体"/>
                <w:sz w:val="21"/>
                <w:szCs w:val="21"/>
                <w:highlight w:val="none"/>
                <w:u w:val="none"/>
              </w:rPr>
              <w:t>科学合理得5.7～7分，较合理得4.3～5.6分，一般得4.2分。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32" w:hRule="atLeast"/>
          <w:jc w:val="center"/>
        </w:trPr>
        <w:tc>
          <w:tcPr>
            <w:tcW w:w="75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p>
        </w:tc>
        <w:tc>
          <w:tcPr>
            <w:tcW w:w="1212"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主要人员</w:t>
            </w:r>
          </w:p>
        </w:tc>
        <w:tc>
          <w:tcPr>
            <w:tcW w:w="1053"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lang w:val="en-US" w:eastAsia="zh-CN"/>
              </w:rPr>
              <w:t>25</w:t>
            </w:r>
            <w:r>
              <w:rPr>
                <w:rFonts w:hint="eastAsia" w:ascii="宋体" w:hAnsi="宋体" w:eastAsia="宋体" w:cs="宋体"/>
                <w:sz w:val="21"/>
                <w:szCs w:val="21"/>
                <w:highlight w:val="none"/>
                <w:u w:val="single"/>
              </w:rPr>
              <w:t>分</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color w:val="000000"/>
                <w:sz w:val="21"/>
                <w:szCs w:val="21"/>
                <w:highlight w:val="none"/>
              </w:rPr>
            </w:pPr>
            <w:r>
              <w:rPr>
                <w:rFonts w:hint="eastAsia" w:eastAsia="宋体" w:cs="宋体"/>
                <w:color w:val="000000"/>
                <w:sz w:val="21"/>
                <w:szCs w:val="21"/>
                <w:highlight w:val="none"/>
                <w:lang w:val="en-US" w:eastAsia="zh-CN"/>
              </w:rPr>
              <w:t>项目经理</w:t>
            </w:r>
            <w:r>
              <w:rPr>
                <w:rFonts w:hint="eastAsia" w:ascii="宋体" w:hAnsi="宋体" w:eastAsia="宋体" w:cs="宋体"/>
                <w:color w:val="000000"/>
                <w:sz w:val="21"/>
                <w:szCs w:val="21"/>
                <w:highlight w:val="none"/>
                <w:lang w:eastAsia="zh-CN"/>
              </w:rPr>
              <w:t>基本分</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sz w:val="21"/>
                <w:szCs w:val="21"/>
                <w:highlight w:val="none"/>
                <w:u w:val="single"/>
              </w:rPr>
            </w:pPr>
            <w:r>
              <w:rPr>
                <w:rFonts w:hint="eastAsia" w:eastAsia="宋体" w:cs="宋体"/>
                <w:color w:val="000000"/>
                <w:sz w:val="21"/>
                <w:szCs w:val="21"/>
                <w:highlight w:val="none"/>
                <w:u w:val="single"/>
                <w:lang w:val="en-US" w:eastAsia="zh-CN"/>
              </w:rPr>
              <w:t>9</w:t>
            </w:r>
            <w:r>
              <w:rPr>
                <w:rFonts w:hint="eastAsia" w:ascii="宋体" w:hAnsi="宋体" w:eastAsia="宋体" w:cs="宋体"/>
                <w:color w:val="000000"/>
                <w:sz w:val="21"/>
                <w:szCs w:val="21"/>
                <w:highlight w:val="none"/>
                <w:u w:val="none"/>
                <w:lang w:val="en-US" w:eastAsia="zh-CN"/>
              </w:rPr>
              <w:t>分</w:t>
            </w:r>
          </w:p>
        </w:tc>
        <w:tc>
          <w:tcPr>
            <w:tcW w:w="333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满足</w:t>
            </w:r>
            <w:r>
              <w:rPr>
                <w:rFonts w:hint="eastAsia" w:ascii="宋体" w:hAnsi="宋体" w:eastAsia="宋体" w:cs="宋体"/>
                <w:sz w:val="21"/>
                <w:szCs w:val="21"/>
                <w:highlight w:val="none"/>
                <w:u w:val="none"/>
                <w:lang w:eastAsia="zh-CN"/>
              </w:rPr>
              <w:t>资格审查条件</w:t>
            </w:r>
            <w:r>
              <w:rPr>
                <w:rFonts w:hint="eastAsia" w:ascii="宋体" w:hAnsi="宋体" w:eastAsia="宋体" w:cs="宋体"/>
                <w:color w:val="000000"/>
                <w:sz w:val="21"/>
                <w:szCs w:val="21"/>
                <w:highlight w:val="none"/>
                <w:u w:val="none"/>
                <w:lang w:eastAsia="zh-CN"/>
              </w:rPr>
              <w:t>得</w:t>
            </w:r>
            <w:r>
              <w:rPr>
                <w:rFonts w:hint="eastAsia" w:eastAsia="宋体" w:cs="宋体"/>
                <w:color w:val="000000"/>
                <w:sz w:val="21"/>
                <w:szCs w:val="21"/>
                <w:highlight w:val="none"/>
                <w:u w:val="none"/>
                <w:lang w:val="en-US" w:eastAsia="zh-CN"/>
              </w:rPr>
              <w:t>9</w:t>
            </w:r>
            <w:r>
              <w:rPr>
                <w:rFonts w:hint="eastAsia" w:ascii="宋体" w:hAnsi="宋体" w:eastAsia="宋体" w:cs="宋体"/>
                <w:color w:val="000000"/>
                <w:sz w:val="21"/>
                <w:szCs w:val="21"/>
                <w:highlight w:val="none"/>
                <w:u w:val="none"/>
                <w:lang w:val="en-US" w:eastAsia="zh-CN"/>
              </w:rPr>
              <w:t>分</w:t>
            </w:r>
            <w:r>
              <w:rPr>
                <w:rFonts w:hint="eastAsia" w:eastAsia="宋体" w:cs="宋体"/>
                <w:color w:val="000000"/>
                <w:sz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0" w:hRule="atLeast"/>
          <w:jc w:val="center"/>
        </w:trPr>
        <w:tc>
          <w:tcPr>
            <w:tcW w:w="75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2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05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u w:val="single"/>
                <w:lang w:val="en-US" w:eastAsia="zh-CN"/>
              </w:rPr>
            </w:pP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default" w:ascii="宋体" w:hAnsi="宋体" w:eastAsia="宋体" w:cs="宋体"/>
                <w:color w:val="000000"/>
                <w:sz w:val="21"/>
                <w:szCs w:val="21"/>
                <w:highlight w:val="none"/>
                <w:lang w:val="en-US" w:eastAsia="zh-CN"/>
              </w:rPr>
            </w:pPr>
            <w:r>
              <w:rPr>
                <w:rFonts w:hint="eastAsia" w:eastAsia="宋体" w:cs="宋体"/>
                <w:color w:val="000000"/>
                <w:sz w:val="21"/>
                <w:szCs w:val="21"/>
                <w:highlight w:val="none"/>
                <w:lang w:val="en-US" w:eastAsia="zh-CN"/>
              </w:rPr>
              <w:t>项目经理加分</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default" w:ascii="宋体" w:hAnsi="宋体" w:eastAsia="宋体" w:cs="宋体"/>
                <w:color w:val="000000"/>
                <w:sz w:val="21"/>
                <w:szCs w:val="21"/>
                <w:highlight w:val="none"/>
                <w:u w:val="single"/>
                <w:lang w:val="en-US" w:eastAsia="zh-CN"/>
              </w:rPr>
            </w:pPr>
            <w:r>
              <w:rPr>
                <w:rFonts w:hint="eastAsia" w:eastAsia="宋体" w:cs="宋体"/>
                <w:color w:val="000000"/>
                <w:sz w:val="21"/>
                <w:szCs w:val="21"/>
                <w:highlight w:val="none"/>
                <w:u w:val="single"/>
                <w:lang w:val="en-US" w:eastAsia="zh-CN"/>
              </w:rPr>
              <w:t>6</w:t>
            </w:r>
            <w:r>
              <w:rPr>
                <w:rFonts w:hint="eastAsia" w:eastAsia="宋体" w:cs="宋体"/>
                <w:color w:val="000000"/>
                <w:sz w:val="21"/>
                <w:szCs w:val="21"/>
                <w:highlight w:val="none"/>
                <w:u w:val="none"/>
                <w:lang w:val="en-US" w:eastAsia="zh-CN"/>
              </w:rPr>
              <w:t>分</w:t>
            </w:r>
          </w:p>
        </w:tc>
        <w:tc>
          <w:tcPr>
            <w:tcW w:w="333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拟任</w:t>
            </w:r>
            <w:r>
              <w:rPr>
                <w:rFonts w:hint="eastAsia" w:ascii="宋体" w:hAnsi="宋体" w:eastAsia="宋体" w:cs="宋体"/>
                <w:sz w:val="21"/>
                <w:szCs w:val="21"/>
                <w:highlight w:val="none"/>
                <w:u w:val="none"/>
              </w:rPr>
              <w:t>项目经理</w:t>
            </w:r>
            <w:r>
              <w:rPr>
                <w:rFonts w:hint="eastAsia" w:ascii="宋体" w:hAnsi="宋体" w:eastAsia="宋体" w:cs="宋体"/>
                <w:sz w:val="21"/>
                <w:szCs w:val="21"/>
                <w:highlight w:val="none"/>
                <w:u w:val="none"/>
                <w:lang w:val="en-US" w:eastAsia="zh-CN"/>
              </w:rPr>
              <w:t>具有副高级及以上职称的</w:t>
            </w:r>
            <w:r>
              <w:rPr>
                <w:rFonts w:hint="eastAsia" w:ascii="宋体" w:hAnsi="宋体" w:eastAsia="宋体" w:cs="宋体"/>
                <w:sz w:val="21"/>
                <w:szCs w:val="21"/>
                <w:highlight w:val="none"/>
                <w:u w:val="none"/>
              </w:rPr>
              <w:t>加</w:t>
            </w:r>
            <w:r>
              <w:rPr>
                <w:rFonts w:hint="eastAsia" w:ascii="宋体" w:hAnsi="宋体" w:eastAsia="宋体" w:cs="宋体"/>
                <w:sz w:val="21"/>
                <w:szCs w:val="21"/>
                <w:highlight w:val="none"/>
                <w:u w:val="none"/>
                <w:lang w:val="en-US" w:eastAsia="zh-CN"/>
              </w:rPr>
              <w:t>6</w:t>
            </w:r>
            <w:r>
              <w:rPr>
                <w:rFonts w:hint="eastAsia" w:ascii="宋体" w:hAnsi="宋体" w:eastAsia="宋体" w:cs="宋体"/>
                <w:sz w:val="21"/>
                <w:szCs w:val="21"/>
                <w:highlight w:val="none"/>
                <w:u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95" w:hRule="atLeast"/>
          <w:jc w:val="center"/>
        </w:trPr>
        <w:tc>
          <w:tcPr>
            <w:tcW w:w="75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2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05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u w:val="single"/>
                <w:lang w:val="en-US" w:eastAsia="zh-CN"/>
              </w:rPr>
            </w:pP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default" w:eastAsia="宋体" w:cs="宋体"/>
                <w:color w:val="000000"/>
                <w:sz w:val="21"/>
                <w:szCs w:val="21"/>
                <w:highlight w:val="none"/>
                <w:lang w:val="en-US" w:eastAsia="zh-CN"/>
              </w:rPr>
            </w:pPr>
            <w:r>
              <w:rPr>
                <w:rFonts w:hint="eastAsia" w:eastAsia="宋体" w:cs="宋体"/>
                <w:sz w:val="21"/>
                <w:szCs w:val="21"/>
                <w:highlight w:val="none"/>
                <w:lang w:val="en-US" w:eastAsia="zh-CN"/>
              </w:rPr>
              <w:t>项目总工基本分</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eastAsia="宋体" w:cs="宋体"/>
                <w:color w:val="000000"/>
                <w:sz w:val="21"/>
                <w:szCs w:val="21"/>
                <w:highlight w:val="none"/>
                <w:u w:val="single"/>
                <w:lang w:val="en-US" w:eastAsia="zh-CN"/>
              </w:rPr>
            </w:pPr>
            <w:r>
              <w:rPr>
                <w:rFonts w:hint="eastAsia" w:eastAsia="宋体" w:cs="宋体"/>
                <w:color w:val="000000"/>
                <w:sz w:val="21"/>
                <w:szCs w:val="21"/>
                <w:highlight w:val="none"/>
                <w:u w:val="single"/>
                <w:lang w:val="en-US" w:eastAsia="zh-CN"/>
              </w:rPr>
              <w:t>6</w:t>
            </w:r>
            <w:r>
              <w:rPr>
                <w:rFonts w:hint="eastAsia" w:eastAsia="宋体" w:cs="宋体"/>
                <w:color w:val="000000"/>
                <w:sz w:val="21"/>
                <w:szCs w:val="21"/>
                <w:highlight w:val="none"/>
                <w:u w:val="none"/>
                <w:lang w:val="en-US" w:eastAsia="zh-CN"/>
              </w:rPr>
              <w:t>分</w:t>
            </w:r>
          </w:p>
        </w:tc>
        <w:tc>
          <w:tcPr>
            <w:tcW w:w="333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满足</w:t>
            </w:r>
            <w:r>
              <w:rPr>
                <w:rFonts w:hint="eastAsia" w:ascii="宋体" w:hAnsi="宋体" w:eastAsia="宋体" w:cs="宋体"/>
                <w:sz w:val="21"/>
                <w:szCs w:val="21"/>
                <w:highlight w:val="none"/>
                <w:u w:val="none"/>
                <w:lang w:eastAsia="zh-CN"/>
              </w:rPr>
              <w:t>资格审查条件</w:t>
            </w:r>
            <w:r>
              <w:rPr>
                <w:rFonts w:hint="eastAsia" w:ascii="宋体" w:hAnsi="宋体" w:eastAsia="宋体" w:cs="宋体"/>
                <w:color w:val="000000"/>
                <w:sz w:val="21"/>
                <w:szCs w:val="21"/>
                <w:highlight w:val="none"/>
                <w:u w:val="none"/>
                <w:lang w:eastAsia="zh-CN"/>
              </w:rPr>
              <w:t>得</w:t>
            </w:r>
            <w:r>
              <w:rPr>
                <w:rFonts w:hint="eastAsia" w:ascii="宋体" w:hAnsi="宋体" w:eastAsia="宋体" w:cs="宋体"/>
                <w:color w:val="000000"/>
                <w:sz w:val="21"/>
                <w:szCs w:val="21"/>
                <w:highlight w:val="none"/>
                <w:u w:val="none"/>
                <w:lang w:val="en-US" w:eastAsia="zh-CN"/>
              </w:rPr>
              <w:t>6分</w:t>
            </w:r>
            <w:r>
              <w:rPr>
                <w:rFonts w:hint="eastAsia" w:eastAsia="宋体" w:cs="宋体"/>
                <w:color w:val="000000"/>
                <w:sz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71" w:hRule="atLeast"/>
          <w:jc w:val="center"/>
        </w:trPr>
        <w:tc>
          <w:tcPr>
            <w:tcW w:w="75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2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05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highlight w:val="none"/>
                <w:u w:val="single"/>
              </w:rPr>
            </w:pP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default" w:ascii="宋体" w:hAnsi="宋体" w:eastAsia="宋体" w:cs="宋体"/>
                <w:color w:val="000000"/>
                <w:sz w:val="21"/>
                <w:szCs w:val="21"/>
                <w:highlight w:val="none"/>
                <w:lang w:val="en-US" w:eastAsia="zh-CN"/>
              </w:rPr>
            </w:pPr>
            <w:r>
              <w:rPr>
                <w:rFonts w:hint="eastAsia" w:eastAsia="宋体" w:cs="宋体"/>
                <w:sz w:val="21"/>
                <w:szCs w:val="21"/>
                <w:highlight w:val="none"/>
                <w:lang w:val="en-US" w:eastAsia="zh-CN"/>
              </w:rPr>
              <w:t>项目总工加分</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center"/>
              <w:textAlignment w:val="auto"/>
              <w:rPr>
                <w:rFonts w:hint="eastAsia" w:ascii="宋体" w:hAnsi="宋体" w:eastAsia="宋体" w:cs="宋体"/>
                <w:color w:val="000000"/>
                <w:sz w:val="21"/>
                <w:szCs w:val="21"/>
                <w:highlight w:val="none"/>
              </w:rPr>
            </w:pPr>
            <w:r>
              <w:rPr>
                <w:rFonts w:hint="eastAsia" w:eastAsia="宋体" w:cs="宋体"/>
                <w:color w:val="000000"/>
                <w:sz w:val="21"/>
                <w:szCs w:val="21"/>
                <w:highlight w:val="none"/>
                <w:u w:val="single"/>
                <w:lang w:val="en-US" w:eastAsia="zh-CN"/>
              </w:rPr>
              <w:t>4</w:t>
            </w:r>
            <w:r>
              <w:rPr>
                <w:rFonts w:hint="eastAsia" w:ascii="宋体" w:hAnsi="宋体" w:eastAsia="宋体" w:cs="宋体"/>
                <w:color w:val="000000"/>
                <w:sz w:val="21"/>
                <w:szCs w:val="21"/>
                <w:highlight w:val="none"/>
              </w:rPr>
              <w:t>分</w:t>
            </w:r>
          </w:p>
        </w:tc>
        <w:tc>
          <w:tcPr>
            <w:tcW w:w="333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textAlignment w:val="auto"/>
              <w:rPr>
                <w:rFonts w:hint="eastAsia" w:ascii="宋体" w:hAnsi="宋体" w:eastAsia="宋体" w:cs="宋体"/>
                <w:color w:val="000000"/>
                <w:sz w:val="21"/>
                <w:szCs w:val="21"/>
                <w:highlight w:val="none"/>
                <w:u w:val="none"/>
                <w:lang w:eastAsia="zh-CN"/>
              </w:rPr>
            </w:pPr>
            <w:r>
              <w:rPr>
                <w:rFonts w:hint="eastAsia" w:ascii="宋体" w:hAnsi="宋体" w:eastAsia="宋体" w:cs="宋体"/>
                <w:sz w:val="21"/>
                <w:szCs w:val="21"/>
                <w:highlight w:val="none"/>
                <w:u w:val="none"/>
                <w:lang w:val="en-US" w:eastAsia="zh-CN"/>
              </w:rPr>
              <w:t>拟任</w:t>
            </w:r>
            <w:r>
              <w:rPr>
                <w:rFonts w:hint="eastAsia" w:ascii="宋体" w:hAnsi="宋体" w:eastAsia="宋体" w:cs="宋体"/>
                <w:sz w:val="21"/>
                <w:szCs w:val="21"/>
                <w:highlight w:val="none"/>
                <w:u w:val="none"/>
              </w:rPr>
              <w:t>项目</w:t>
            </w:r>
            <w:r>
              <w:rPr>
                <w:rFonts w:hint="eastAsia" w:ascii="宋体" w:hAnsi="宋体" w:eastAsia="宋体" w:cs="宋体"/>
                <w:sz w:val="21"/>
                <w:szCs w:val="21"/>
                <w:highlight w:val="none"/>
                <w:u w:val="none"/>
                <w:lang w:val="en-US" w:eastAsia="zh-CN"/>
              </w:rPr>
              <w:t>总工具有副高级及以上职称的</w:t>
            </w:r>
            <w:r>
              <w:rPr>
                <w:rFonts w:hint="eastAsia" w:ascii="宋体" w:hAnsi="宋体" w:eastAsia="宋体" w:cs="宋体"/>
                <w:sz w:val="21"/>
                <w:szCs w:val="21"/>
                <w:highlight w:val="none"/>
                <w:u w:val="none"/>
              </w:rPr>
              <w:t>加</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87" w:hRule="atLeast"/>
          <w:jc w:val="center"/>
        </w:trPr>
        <w:tc>
          <w:tcPr>
            <w:tcW w:w="757" w:type="dxa"/>
            <w:vMerge w:val="restart"/>
            <w:tcBorders>
              <w:tl2br w:val="nil"/>
              <w:tr2bl w:val="nil"/>
            </w:tcBorders>
            <w:noWrap w:val="0"/>
            <w:vAlign w:val="center"/>
          </w:tcPr>
          <w:p>
            <w:pPr>
              <w:spacing w:line="4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2</w:t>
            </w:r>
          </w:p>
          <w:p>
            <w:pPr>
              <w:spacing w:line="4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p>
        </w:tc>
        <w:tc>
          <w:tcPr>
            <w:tcW w:w="620"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pacing w:val="-10"/>
                <w:sz w:val="21"/>
                <w:szCs w:val="21"/>
                <w:highlight w:val="none"/>
                <w:lang w:eastAsia="zh-CN"/>
              </w:rPr>
            </w:pPr>
            <w:r>
              <w:rPr>
                <w:rFonts w:hint="eastAsia" w:ascii="宋体" w:hAnsi="宋体" w:eastAsia="宋体" w:cs="宋体"/>
                <w:spacing w:val="-10"/>
                <w:sz w:val="21"/>
                <w:szCs w:val="21"/>
                <w:highlight w:val="none"/>
                <w:lang w:eastAsia="zh-CN"/>
              </w:rPr>
              <w:t>其</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pacing w:val="-10"/>
                <w:sz w:val="21"/>
                <w:szCs w:val="21"/>
                <w:highlight w:val="none"/>
                <w:lang w:eastAsia="zh-CN"/>
              </w:rPr>
            </w:pPr>
            <w:r>
              <w:rPr>
                <w:rFonts w:hint="eastAsia" w:ascii="宋体" w:hAnsi="宋体" w:eastAsia="宋体" w:cs="宋体"/>
                <w:spacing w:val="-10"/>
                <w:sz w:val="21"/>
                <w:szCs w:val="21"/>
                <w:highlight w:val="none"/>
                <w:lang w:eastAsia="zh-CN"/>
              </w:rPr>
              <w:t>他</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pacing w:val="-10"/>
                <w:sz w:val="21"/>
                <w:szCs w:val="21"/>
                <w:highlight w:val="none"/>
                <w:lang w:eastAsia="zh-CN"/>
              </w:rPr>
            </w:pPr>
            <w:r>
              <w:rPr>
                <w:rFonts w:hint="eastAsia" w:ascii="宋体" w:hAnsi="宋体" w:eastAsia="宋体" w:cs="宋体"/>
                <w:spacing w:val="-10"/>
                <w:sz w:val="21"/>
                <w:szCs w:val="21"/>
                <w:highlight w:val="none"/>
                <w:lang w:eastAsia="zh-CN"/>
              </w:rPr>
              <w:t>因</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pacing w:val="-10"/>
                <w:sz w:val="21"/>
                <w:szCs w:val="21"/>
                <w:highlight w:val="none"/>
                <w:lang w:eastAsia="zh-CN"/>
              </w:rPr>
            </w:pPr>
            <w:r>
              <w:rPr>
                <w:rFonts w:hint="eastAsia" w:ascii="宋体" w:hAnsi="宋体" w:eastAsia="宋体" w:cs="宋体"/>
                <w:spacing w:val="-10"/>
                <w:sz w:val="21"/>
                <w:szCs w:val="21"/>
                <w:highlight w:val="none"/>
                <w:lang w:eastAsia="zh-CN"/>
              </w:rPr>
              <w:t>素</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eastAsia="宋体" w:cs="宋体"/>
                <w:sz w:val="21"/>
                <w:szCs w:val="21"/>
                <w:highlight w:val="none"/>
                <w:u w:val="single"/>
                <w:lang w:val="en-US" w:eastAsia="zh-CN"/>
              </w:rPr>
              <w:t>40</w:t>
            </w:r>
            <w:r>
              <w:rPr>
                <w:rFonts w:hint="eastAsia" w:ascii="宋体" w:hAnsi="宋体" w:eastAsia="宋体" w:cs="宋体"/>
                <w:sz w:val="21"/>
                <w:szCs w:val="21"/>
                <w:highlight w:val="none"/>
                <w:u w:val="single"/>
                <w:lang w:val="en-US" w:eastAsia="zh-CN"/>
              </w:rPr>
              <w:t>分</w:t>
            </w:r>
          </w:p>
        </w:tc>
        <w:tc>
          <w:tcPr>
            <w:tcW w:w="5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履约</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信誉</w:t>
            </w:r>
          </w:p>
        </w:tc>
        <w:tc>
          <w:tcPr>
            <w:tcW w:w="1053"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single"/>
                <w:lang w:val="en-US" w:eastAsia="zh-CN"/>
              </w:rPr>
              <w:t>15分</w:t>
            </w:r>
          </w:p>
        </w:tc>
        <w:tc>
          <w:tcPr>
            <w:tcW w:w="6299" w:type="dxa"/>
            <w:gridSpan w:val="3"/>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rPr>
              <w:t>满足资格审查条件得</w:t>
            </w:r>
            <w:r>
              <w:rPr>
                <w:rFonts w:hint="eastAsia" w:eastAsia="宋体" w:cs="宋体"/>
                <w:sz w:val="21"/>
                <w:szCs w:val="21"/>
                <w:highlight w:val="none"/>
                <w:u w:val="none"/>
                <w:lang w:val="en-US" w:eastAsia="zh-CN"/>
              </w:rPr>
              <w:t>15</w:t>
            </w:r>
            <w:r>
              <w:rPr>
                <w:rFonts w:hint="eastAsia" w:ascii="宋体" w:hAnsi="宋体" w:eastAsia="宋体" w:cs="宋体"/>
                <w:sz w:val="21"/>
                <w:szCs w:val="21"/>
                <w:highlight w:val="none"/>
              </w:rPr>
              <w:t>分</w:t>
            </w:r>
            <w:r>
              <w:rPr>
                <w:rFonts w:hint="eastAsia" w:eastAsia="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17" w:hRule="atLeast"/>
          <w:jc w:val="center"/>
        </w:trPr>
        <w:tc>
          <w:tcPr>
            <w:tcW w:w="757" w:type="dxa"/>
            <w:vMerge w:val="continue"/>
            <w:tcBorders>
              <w:tl2br w:val="nil"/>
              <w:tr2bl w:val="nil"/>
            </w:tcBorders>
            <w:noWrap w:val="0"/>
            <w:vAlign w:val="center"/>
          </w:tcPr>
          <w:p>
            <w:pPr>
              <w:spacing w:line="480" w:lineRule="exact"/>
              <w:jc w:val="center"/>
              <w:rPr>
                <w:rFonts w:hint="eastAsia" w:ascii="宋体" w:hAnsi="宋体" w:eastAsia="宋体" w:cs="宋体"/>
                <w:sz w:val="21"/>
                <w:szCs w:val="21"/>
                <w:highlight w:val="none"/>
              </w:rPr>
            </w:pPr>
          </w:p>
        </w:tc>
        <w:tc>
          <w:tcPr>
            <w:tcW w:w="620"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592"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能力</w:t>
            </w:r>
          </w:p>
        </w:tc>
        <w:tc>
          <w:tcPr>
            <w:tcW w:w="1053"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lang w:val="en-US" w:eastAsia="zh-CN"/>
              </w:rPr>
              <w:t>10分</w:t>
            </w:r>
          </w:p>
        </w:tc>
        <w:tc>
          <w:tcPr>
            <w:tcW w:w="6299"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满足</w:t>
            </w:r>
            <w:r>
              <w:rPr>
                <w:rFonts w:hint="eastAsia" w:ascii="宋体" w:hAnsi="宋体" w:eastAsia="宋体" w:cs="宋体"/>
                <w:sz w:val="21"/>
                <w:szCs w:val="21"/>
                <w:highlight w:val="none"/>
                <w:u w:val="none"/>
                <w:lang w:eastAsia="zh-CN"/>
              </w:rPr>
              <w:t>资格审查条件</w:t>
            </w:r>
            <w:r>
              <w:rPr>
                <w:rFonts w:hint="eastAsia" w:ascii="宋体" w:hAnsi="宋体" w:eastAsia="宋体" w:cs="宋体"/>
                <w:sz w:val="21"/>
                <w:szCs w:val="21"/>
                <w:highlight w:val="none"/>
                <w:u w:val="none"/>
              </w:rPr>
              <w:t>得</w:t>
            </w:r>
            <w:r>
              <w:rPr>
                <w:rFonts w:hint="eastAsia" w:eastAsia="宋体" w:cs="宋体"/>
                <w:sz w:val="21"/>
                <w:szCs w:val="21"/>
                <w:highlight w:val="none"/>
                <w:u w:val="none"/>
                <w:lang w:val="en-US" w:eastAsia="zh-CN"/>
              </w:rPr>
              <w:t>10</w:t>
            </w:r>
            <w:r>
              <w:rPr>
                <w:rFonts w:hint="eastAsia" w:ascii="宋体" w:hAnsi="宋体" w:eastAsia="宋体" w:cs="宋体"/>
                <w:sz w:val="21"/>
                <w:szCs w:val="21"/>
                <w:highlight w:val="none"/>
                <w:u w:val="none"/>
              </w:rPr>
              <w:t>分</w:t>
            </w:r>
            <w:r>
              <w:rPr>
                <w:rFonts w:hint="eastAsia" w:eastAsia="宋体" w:cs="宋体"/>
                <w:sz w:val="21"/>
                <w:szCs w:val="21"/>
                <w:highlight w:val="none"/>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17" w:hRule="atLeast"/>
          <w:jc w:val="center"/>
        </w:trPr>
        <w:tc>
          <w:tcPr>
            <w:tcW w:w="757" w:type="dxa"/>
            <w:vMerge w:val="continue"/>
            <w:tcBorders>
              <w:tl2br w:val="nil"/>
              <w:tr2bl w:val="nil"/>
            </w:tcBorders>
            <w:noWrap w:val="0"/>
            <w:vAlign w:val="center"/>
          </w:tcPr>
          <w:p>
            <w:pPr>
              <w:spacing w:line="400" w:lineRule="exact"/>
              <w:rPr>
                <w:rFonts w:hint="eastAsia" w:ascii="宋体" w:hAnsi="宋体" w:eastAsia="宋体" w:cs="宋体"/>
                <w:sz w:val="21"/>
                <w:szCs w:val="21"/>
                <w:highlight w:val="none"/>
              </w:rPr>
            </w:pPr>
          </w:p>
        </w:tc>
        <w:tc>
          <w:tcPr>
            <w:tcW w:w="620"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 w:val="21"/>
                <w:szCs w:val="21"/>
                <w:highlight w:val="none"/>
              </w:rPr>
            </w:pPr>
          </w:p>
        </w:tc>
        <w:tc>
          <w:tcPr>
            <w:tcW w:w="592"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ind w:left="210" w:hanging="210" w:hangingChars="10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业绩</w:t>
            </w:r>
          </w:p>
        </w:tc>
        <w:tc>
          <w:tcPr>
            <w:tcW w:w="1053"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u w:val="single"/>
              </w:rPr>
              <w:t>分</w:t>
            </w:r>
          </w:p>
        </w:tc>
        <w:tc>
          <w:tcPr>
            <w:tcW w:w="6299"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满足</w:t>
            </w:r>
            <w:r>
              <w:rPr>
                <w:rFonts w:hint="eastAsia" w:ascii="宋体" w:hAnsi="宋体" w:eastAsia="宋体" w:cs="宋体"/>
                <w:sz w:val="21"/>
                <w:szCs w:val="21"/>
                <w:highlight w:val="none"/>
                <w:u w:val="none"/>
                <w:lang w:eastAsia="zh-CN"/>
              </w:rPr>
              <w:t>资格审查条件</w:t>
            </w:r>
            <w:r>
              <w:rPr>
                <w:rFonts w:hint="eastAsia" w:ascii="宋体" w:hAnsi="宋体" w:eastAsia="宋体" w:cs="宋体"/>
                <w:sz w:val="21"/>
                <w:szCs w:val="21"/>
                <w:highlight w:val="none"/>
                <w:u w:val="none"/>
              </w:rPr>
              <w:t>得</w:t>
            </w:r>
            <w:r>
              <w:rPr>
                <w:rFonts w:hint="eastAsia" w:ascii="宋体" w:hAnsi="宋体" w:eastAsia="宋体" w:cs="宋体"/>
                <w:sz w:val="21"/>
                <w:szCs w:val="21"/>
                <w:highlight w:val="none"/>
                <w:u w:val="none"/>
                <w:lang w:val="en-US" w:eastAsia="zh-CN"/>
              </w:rPr>
              <w:t>9</w:t>
            </w:r>
            <w:r>
              <w:rPr>
                <w:rFonts w:hint="eastAsia" w:ascii="宋体" w:hAnsi="宋体" w:eastAsia="宋体" w:cs="宋体"/>
                <w:sz w:val="21"/>
                <w:szCs w:val="21"/>
                <w:highlight w:val="none"/>
                <w:u w:val="none"/>
              </w:rPr>
              <w:t>分</w:t>
            </w:r>
            <w:r>
              <w:rPr>
                <w:rFonts w:hint="eastAsia" w:ascii="宋体" w:hAnsi="宋体" w:eastAsia="宋体" w:cs="宋体"/>
                <w:sz w:val="21"/>
                <w:szCs w:val="21"/>
                <w:highlight w:val="none"/>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81" w:hRule="atLeast"/>
          <w:jc w:val="center"/>
        </w:trPr>
        <w:tc>
          <w:tcPr>
            <w:tcW w:w="757" w:type="dxa"/>
            <w:vMerge w:val="continue"/>
            <w:tcBorders>
              <w:tl2br w:val="nil"/>
              <w:tr2bl w:val="nil"/>
            </w:tcBorders>
            <w:noWrap w:val="0"/>
            <w:vAlign w:val="center"/>
          </w:tcPr>
          <w:p>
            <w:pPr>
              <w:spacing w:line="480" w:lineRule="exact"/>
              <w:jc w:val="center"/>
              <w:rPr>
                <w:rFonts w:hint="eastAsia" w:ascii="宋体" w:hAnsi="宋体" w:eastAsia="宋体" w:cs="宋体"/>
                <w:sz w:val="21"/>
                <w:szCs w:val="21"/>
                <w:highlight w:val="none"/>
              </w:rPr>
            </w:pPr>
          </w:p>
        </w:tc>
        <w:tc>
          <w:tcPr>
            <w:tcW w:w="620" w:type="dxa"/>
            <w:vMerge w:val="continue"/>
            <w:tcBorders>
              <w:tl2br w:val="nil"/>
              <w:tr2bl w:val="nil"/>
            </w:tcBorders>
            <w:noWrap w:val="0"/>
            <w:vAlign w:val="center"/>
          </w:tcPr>
          <w:p>
            <w:pPr>
              <w:spacing w:line="480" w:lineRule="exact"/>
              <w:jc w:val="center"/>
              <w:rPr>
                <w:rFonts w:hint="eastAsia" w:ascii="宋体" w:hAnsi="宋体" w:eastAsia="宋体" w:cs="宋体"/>
                <w:sz w:val="21"/>
                <w:szCs w:val="21"/>
                <w:highlight w:val="none"/>
              </w:rPr>
            </w:pPr>
          </w:p>
        </w:tc>
        <w:tc>
          <w:tcPr>
            <w:tcW w:w="592" w:type="dxa"/>
            <w:vMerge w:val="continue"/>
            <w:tcBorders>
              <w:tl2br w:val="nil"/>
              <w:tr2bl w:val="nil"/>
            </w:tcBorders>
            <w:noWrap w:val="0"/>
            <w:vAlign w:val="center"/>
          </w:tcPr>
          <w:p>
            <w:pPr>
              <w:spacing w:line="480" w:lineRule="exact"/>
              <w:ind w:left="210" w:hanging="210" w:hangingChars="100"/>
              <w:jc w:val="center"/>
              <w:rPr>
                <w:rFonts w:hint="eastAsia" w:ascii="宋体" w:hAnsi="宋体" w:eastAsia="宋体" w:cs="宋体"/>
                <w:sz w:val="21"/>
                <w:szCs w:val="21"/>
                <w:highlight w:val="none"/>
                <w:lang w:val="en-US" w:eastAsia="zh-CN"/>
              </w:rPr>
            </w:pPr>
          </w:p>
        </w:tc>
        <w:tc>
          <w:tcPr>
            <w:tcW w:w="1053" w:type="dxa"/>
            <w:vMerge w:val="continue"/>
            <w:tcBorders>
              <w:tl2br w:val="nil"/>
              <w:tr2bl w:val="nil"/>
            </w:tcBorders>
            <w:noWrap w:val="0"/>
            <w:vAlign w:val="center"/>
          </w:tcPr>
          <w:p>
            <w:pPr>
              <w:spacing w:line="480" w:lineRule="exact"/>
              <w:jc w:val="center"/>
              <w:rPr>
                <w:rFonts w:hint="eastAsia" w:ascii="宋体" w:hAnsi="宋体" w:eastAsia="宋体" w:cs="宋体"/>
                <w:sz w:val="21"/>
                <w:szCs w:val="21"/>
                <w:highlight w:val="none"/>
                <w:u w:val="single"/>
                <w:lang w:val="en-US" w:eastAsia="zh-CN"/>
              </w:rPr>
            </w:pPr>
          </w:p>
        </w:tc>
        <w:tc>
          <w:tcPr>
            <w:tcW w:w="6299"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91" w:beforeLines="30" w:after="91" w:afterLines="30" w:line="240" w:lineRule="auto"/>
              <w:ind w:left="63" w:leftChars="30" w:right="63" w:rightChars="30"/>
              <w:jc w:val="left"/>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近</w:t>
            </w:r>
            <w:r>
              <w:rPr>
                <w:rFonts w:hint="eastAsia" w:eastAsia="宋体" w:cs="宋体"/>
                <w:sz w:val="21"/>
                <w:szCs w:val="21"/>
                <w:highlight w:val="none"/>
                <w:u w:val="none"/>
                <w:lang w:val="en-US" w:eastAsia="zh-CN"/>
              </w:rPr>
              <w:t>五</w:t>
            </w:r>
            <w:r>
              <w:rPr>
                <w:rFonts w:hint="eastAsia" w:ascii="宋体" w:hAnsi="宋体" w:eastAsia="宋体" w:cs="宋体"/>
                <w:sz w:val="21"/>
                <w:szCs w:val="21"/>
                <w:highlight w:val="none"/>
                <w:u w:val="none"/>
              </w:rPr>
              <w:t>年</w:t>
            </w:r>
            <w:r>
              <w:rPr>
                <w:rFonts w:hint="eastAsia" w:eastAsia="宋体" w:cs="宋体"/>
                <w:sz w:val="21"/>
                <w:szCs w:val="21"/>
                <w:highlight w:val="none"/>
                <w:u w:val="none"/>
                <w:lang w:val="en-US" w:eastAsia="zh-CN"/>
              </w:rPr>
              <w:t>每</w:t>
            </w:r>
            <w:r>
              <w:rPr>
                <w:rFonts w:hint="eastAsia" w:ascii="宋体" w:hAnsi="宋体" w:eastAsia="宋体" w:cs="宋体"/>
                <w:sz w:val="21"/>
                <w:szCs w:val="21"/>
                <w:highlight w:val="none"/>
                <w:u w:val="none"/>
              </w:rPr>
              <w:t>独立承接并完成过一个</w:t>
            </w:r>
            <w:r>
              <w:rPr>
                <w:rFonts w:hint="eastAsia" w:eastAsia="宋体" w:cs="宋体"/>
                <w:sz w:val="21"/>
                <w:szCs w:val="21"/>
                <w:highlight w:val="none"/>
                <w:u w:val="none"/>
                <w:lang w:val="en-US" w:eastAsia="zh-CN"/>
              </w:rPr>
              <w:t>合同</w:t>
            </w:r>
            <w:r>
              <w:rPr>
                <w:rFonts w:hint="eastAsia" w:ascii="宋体" w:hAnsi="宋体" w:eastAsia="宋体" w:cs="宋体"/>
                <w:sz w:val="21"/>
                <w:szCs w:val="21"/>
                <w:highlight w:val="none"/>
                <w:u w:val="none"/>
              </w:rPr>
              <w:t>金额在</w:t>
            </w:r>
            <w:r>
              <w:rPr>
                <w:rFonts w:hint="eastAsia" w:eastAsia="宋体" w:cs="宋体"/>
                <w:sz w:val="21"/>
                <w:szCs w:val="21"/>
                <w:highlight w:val="none"/>
                <w:u w:val="none"/>
                <w:lang w:val="en-US" w:eastAsia="zh-CN"/>
              </w:rPr>
              <w:t>350</w:t>
            </w:r>
            <w:r>
              <w:rPr>
                <w:rFonts w:hint="eastAsia" w:ascii="宋体" w:hAnsi="宋体" w:eastAsia="宋体" w:cs="宋体"/>
                <w:sz w:val="21"/>
                <w:szCs w:val="21"/>
                <w:highlight w:val="none"/>
                <w:u w:val="none"/>
              </w:rPr>
              <w:t>万元（含</w:t>
            </w:r>
            <w:r>
              <w:rPr>
                <w:rFonts w:hint="eastAsia" w:eastAsia="宋体" w:cs="宋体"/>
                <w:sz w:val="21"/>
                <w:szCs w:val="21"/>
                <w:highlight w:val="none"/>
                <w:u w:val="none"/>
                <w:lang w:val="en-US" w:eastAsia="zh-CN"/>
              </w:rPr>
              <w:t>350</w:t>
            </w:r>
            <w:r>
              <w:rPr>
                <w:rFonts w:hint="eastAsia" w:ascii="宋体" w:hAnsi="宋体" w:eastAsia="宋体" w:cs="宋体"/>
                <w:sz w:val="21"/>
                <w:szCs w:val="21"/>
                <w:highlight w:val="none"/>
                <w:u w:val="none"/>
              </w:rPr>
              <w:t>万元）以上的已通车高速公路桥梁维修加固项目加</w:t>
            </w:r>
            <w:r>
              <w:rPr>
                <w:rFonts w:hint="eastAsia"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US" w:eastAsia="zh-CN"/>
              </w:rPr>
              <w:t>2</w:t>
            </w:r>
            <w:r>
              <w:rPr>
                <w:rFonts w:hint="eastAsia"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分，本项最多加</w:t>
            </w:r>
            <w:r>
              <w:rPr>
                <w:rFonts w:hint="eastAsia"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6</w:t>
            </w:r>
            <w:r>
              <w:rPr>
                <w:rFonts w:hint="eastAsia"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9321" w:type="dxa"/>
            <w:gridSpan w:val="7"/>
            <w:tcBorders>
              <w:tl2br w:val="nil"/>
              <w:tr2bl w:val="nil"/>
            </w:tcBorders>
            <w:noWrap w:val="0"/>
            <w:vAlign w:val="center"/>
          </w:tcPr>
          <w:p>
            <w:pPr>
              <w:spacing w:line="40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需要补充的其他内容：</w:t>
            </w:r>
            <w:r>
              <w:rPr>
                <w:rFonts w:hint="eastAsia" w:eastAsia="宋体" w:cs="宋体"/>
                <w:sz w:val="21"/>
                <w:szCs w:val="21"/>
                <w:highlight w:val="none"/>
                <w:lang w:val="en-US" w:eastAsia="zh-CN"/>
              </w:rPr>
              <w:t>本项目评标办法3.6.1款不适用，删除。</w:t>
            </w:r>
          </w:p>
        </w:tc>
      </w:tr>
    </w:tbl>
    <w:p>
      <w:pPr>
        <w:pStyle w:val="5"/>
        <w:keepNext w:val="0"/>
        <w:keepLines w:val="0"/>
        <w:pageBreakBefore w:val="0"/>
        <w:widowControl w:val="0"/>
        <w:numPr>
          <w:ilvl w:val="0"/>
          <w:numId w:val="2"/>
        </w:numPr>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
          <w:bCs/>
          <w:color w:val="auto"/>
          <w:sz w:val="28"/>
          <w:highlight w:val="none"/>
        </w:rPr>
      </w:pPr>
      <w:r>
        <w:rPr>
          <w:rFonts w:hint="eastAsia" w:ascii="宋体" w:hAnsi="宋体" w:eastAsia="宋体" w:cs="宋体"/>
          <w:color w:val="auto"/>
          <w:sz w:val="20"/>
          <w:highlight w:val="none"/>
        </w:rPr>
        <w:br w:type="page"/>
      </w:r>
      <w:bookmarkStart w:id="3" w:name="_bookmark95"/>
      <w:bookmarkEnd w:id="3"/>
      <w:bookmarkStart w:id="4" w:name="_Toc7675"/>
      <w:bookmarkStart w:id="5" w:name="_Toc6529"/>
      <w:r>
        <w:rPr>
          <w:rFonts w:hint="eastAsia" w:ascii="宋体" w:hAnsi="宋体" w:eastAsia="宋体" w:cs="宋体"/>
          <w:b/>
          <w:bCs/>
          <w:color w:val="auto"/>
          <w:sz w:val="28"/>
          <w:highlight w:val="none"/>
        </w:rPr>
        <w:t>评标方法</w:t>
      </w:r>
      <w:bookmarkEnd w:id="4"/>
      <w:bookmarkEnd w:id="5"/>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bookmarkStart w:id="6" w:name="_bookmark96"/>
      <w:bookmarkEnd w:id="6"/>
      <w:bookmarkStart w:id="7" w:name="_Toc5731"/>
      <w:bookmarkStart w:id="8" w:name="_Toc1560"/>
      <w:r>
        <w:rPr>
          <w:rFonts w:hint="eastAsia" w:ascii="宋体" w:hAnsi="宋体" w:eastAsia="宋体" w:cs="宋体"/>
          <w:color w:val="auto"/>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keepNext w:val="0"/>
        <w:keepLines w:val="0"/>
        <w:pageBreakBefore w:val="0"/>
        <w:widowControl w:val="0"/>
        <w:numPr>
          <w:ilvl w:val="0"/>
          <w:numId w:val="3"/>
        </w:numPr>
        <w:tabs>
          <w:tab w:val="left" w:pos="845"/>
        </w:tabs>
        <w:kinsoku/>
        <w:wordWrap/>
        <w:overflowPunct/>
        <w:topLinePunct w:val="0"/>
        <w:autoSpaceDE w:val="0"/>
        <w:autoSpaceDN w:val="0"/>
        <w:bidi w:val="0"/>
        <w:adjustRightInd w:val="0"/>
        <w:snapToGrid w:val="0"/>
        <w:spacing w:line="336" w:lineRule="auto"/>
        <w:ind w:right="0" w:rightChars="0"/>
        <w:jc w:val="both"/>
        <w:textAlignment w:val="auto"/>
        <w:outlineLvl w:val="2"/>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评审标准</w:t>
      </w:r>
      <w:bookmarkEnd w:id="7"/>
      <w:bookmarkEnd w:id="8"/>
    </w:p>
    <w:p>
      <w:pPr>
        <w:pStyle w:val="26"/>
        <w:keepNext w:val="0"/>
        <w:keepLines w:val="0"/>
        <w:pageBreakBefore w:val="0"/>
        <w:widowControl w:val="0"/>
        <w:numPr>
          <w:ilvl w:val="0"/>
          <w:numId w:val="0"/>
        </w:numPr>
        <w:tabs>
          <w:tab w:val="left" w:pos="905"/>
        </w:tabs>
        <w:kinsoku/>
        <w:wordWrap/>
        <w:overflowPunct/>
        <w:topLinePunct w:val="0"/>
        <w:autoSpaceDE w:val="0"/>
        <w:autoSpaceDN w:val="0"/>
        <w:bidi w:val="0"/>
        <w:adjustRightInd w:val="0"/>
        <w:snapToGrid w:val="0"/>
        <w:spacing w:line="336" w:lineRule="auto"/>
        <w:ind w:left="0" w:leftChars="0" w:right="0" w:rightChars="0" w:firstLine="482" w:firstLineChars="200"/>
        <w:jc w:val="both"/>
        <w:textAlignment w:val="auto"/>
        <w:outlineLvl w:val="3"/>
        <w:rPr>
          <w:rFonts w:hint="eastAsia" w:ascii="宋体" w:hAnsi="宋体" w:eastAsia="宋体" w:cs="宋体"/>
          <w:b/>
          <w:bCs/>
          <w:color w:val="auto"/>
          <w:sz w:val="24"/>
          <w:highlight w:val="none"/>
        </w:rPr>
      </w:pPr>
      <w:bookmarkStart w:id="9" w:name="_bookmark97"/>
      <w:bookmarkEnd w:id="9"/>
      <w:bookmarkStart w:id="10" w:name="_Toc32510"/>
      <w:bookmarkStart w:id="11" w:name="_Toc6514"/>
      <w:r>
        <w:rPr>
          <w:rFonts w:hint="eastAsia" w:eastAsia="宋体" w:cs="宋体"/>
          <w:b/>
          <w:bCs/>
          <w:color w:val="auto"/>
          <w:sz w:val="24"/>
          <w:highlight w:val="none"/>
          <w:lang w:val="en-US" w:eastAsia="zh-CN"/>
        </w:rPr>
        <w:t xml:space="preserve">2.1 </w:t>
      </w:r>
      <w:r>
        <w:rPr>
          <w:rFonts w:hint="eastAsia" w:ascii="宋体" w:hAnsi="宋体" w:eastAsia="宋体" w:cs="宋体"/>
          <w:b/>
          <w:bCs/>
          <w:color w:val="auto"/>
          <w:sz w:val="24"/>
          <w:highlight w:val="none"/>
        </w:rPr>
        <w:t>初步评审标准</w:t>
      </w:r>
      <w:bookmarkEnd w:id="10"/>
      <w:bookmarkEnd w:id="11"/>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宋体"/>
          <w:color w:val="auto"/>
          <w:highlight w:val="none"/>
        </w:rPr>
        <w:t>2.1.1</w:t>
      </w:r>
      <w:r>
        <w:rPr>
          <w:rFonts w:hint="eastAsia" w:ascii="宋体" w:hAnsi="宋体" w:eastAsia="宋体" w:cs="Times New Roman"/>
          <w:b w:val="0"/>
          <w:bCs w:val="0"/>
          <w:color w:val="auto"/>
          <w:kern w:val="2"/>
          <w:sz w:val="24"/>
          <w:szCs w:val="24"/>
          <w:highlight w:val="none"/>
          <w:lang w:val="en-US" w:eastAsia="zh-CN" w:bidi="ar-SA"/>
        </w:rPr>
        <w:t>形式评审标准：见评标办法前附表。</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2.1.2</w:t>
      </w:r>
      <w:r>
        <w:rPr>
          <w:rFonts w:hint="eastAsia" w:ascii="宋体" w:hAnsi="宋体" w:eastAsia="宋体" w:cs="Times New Roman"/>
          <w:b w:val="0"/>
          <w:bCs w:val="0"/>
          <w:color w:val="auto"/>
          <w:kern w:val="2"/>
          <w:sz w:val="24"/>
          <w:szCs w:val="24"/>
          <w:highlight w:val="none"/>
          <w:lang w:val="en-US" w:eastAsia="zh-CN" w:bidi="ar-SA"/>
        </w:rPr>
        <w:t>资格评审标准：见评标办法前附表</w:t>
      </w:r>
      <w:r>
        <w:rPr>
          <w:rFonts w:hint="eastAsia" w:ascii="宋体" w:hAnsi="宋体" w:eastAsia="宋体" w:cs="宋体"/>
          <w:color w:val="auto"/>
          <w:highlight w:val="none"/>
        </w:rPr>
        <w:t>（适用于</w:t>
      </w:r>
      <w:r>
        <w:rPr>
          <w:rFonts w:hint="eastAsia" w:eastAsia="宋体" w:cs="宋体"/>
          <w:color w:val="auto"/>
          <w:highlight w:val="none"/>
          <w:lang w:eastAsia="zh-CN"/>
        </w:rPr>
        <w:t>未</w:t>
      </w:r>
      <w:r>
        <w:rPr>
          <w:rFonts w:hint="eastAsia" w:ascii="宋体" w:hAnsi="宋体" w:eastAsia="宋体" w:cs="宋体"/>
          <w:color w:val="auto"/>
          <w:highlight w:val="none"/>
        </w:rPr>
        <w:t>进行资格预审的</w:t>
      </w:r>
      <w:r>
        <w:rPr>
          <w:rFonts w:hint="eastAsia" w:ascii="宋体" w:hAnsi="宋体" w:eastAsia="宋体" w:cs="宋体"/>
          <w:color w:val="auto"/>
          <w:spacing w:val="-120"/>
          <w:highlight w:val="none"/>
        </w:rPr>
        <w:t>）</w:t>
      </w:r>
      <w:r>
        <w:rPr>
          <w:rFonts w:hint="eastAsia" w:ascii="宋体" w:hAnsi="宋体" w:eastAsia="宋体" w:cs="Times New Roman"/>
          <w:b w:val="0"/>
          <w:bCs w:val="0"/>
          <w:color w:val="auto"/>
          <w:kern w:val="2"/>
          <w:sz w:val="24"/>
          <w:szCs w:val="24"/>
          <w:highlight w:val="none"/>
          <w:lang w:val="en-US" w:eastAsia="zh-CN" w:bidi="ar-SA"/>
        </w:rPr>
        <w:t>。</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2.1.3</w:t>
      </w:r>
      <w:r>
        <w:rPr>
          <w:rFonts w:hint="eastAsia" w:ascii="宋体" w:hAnsi="宋体" w:eastAsia="宋体" w:cs="Times New Roman"/>
          <w:b w:val="0"/>
          <w:bCs w:val="0"/>
          <w:color w:val="auto"/>
          <w:kern w:val="2"/>
          <w:sz w:val="24"/>
          <w:szCs w:val="24"/>
          <w:highlight w:val="none"/>
          <w:lang w:val="en-US" w:eastAsia="zh-CN" w:bidi="ar-SA"/>
        </w:rPr>
        <w:t>响应性评审标准：见评标办法前附表。</w:t>
      </w:r>
    </w:p>
    <w:p>
      <w:pPr>
        <w:pStyle w:val="26"/>
        <w:keepNext w:val="0"/>
        <w:keepLines w:val="0"/>
        <w:pageBreakBefore w:val="0"/>
        <w:widowControl w:val="0"/>
        <w:numPr>
          <w:ilvl w:val="0"/>
          <w:numId w:val="0"/>
        </w:numPr>
        <w:tabs>
          <w:tab w:val="left" w:pos="905"/>
        </w:tabs>
        <w:kinsoku/>
        <w:wordWrap/>
        <w:overflowPunct/>
        <w:topLinePunct w:val="0"/>
        <w:autoSpaceDE w:val="0"/>
        <w:autoSpaceDN w:val="0"/>
        <w:bidi w:val="0"/>
        <w:adjustRightInd w:val="0"/>
        <w:snapToGrid w:val="0"/>
        <w:spacing w:line="336" w:lineRule="auto"/>
        <w:ind w:left="0" w:leftChars="0" w:right="0" w:rightChars="0" w:firstLine="482" w:firstLineChars="200"/>
        <w:jc w:val="both"/>
        <w:textAlignment w:val="auto"/>
        <w:outlineLvl w:val="3"/>
        <w:rPr>
          <w:rFonts w:hint="eastAsia" w:ascii="宋体" w:hAnsi="宋体" w:eastAsia="宋体" w:cs="宋体"/>
          <w:b/>
          <w:bCs/>
          <w:color w:val="auto"/>
          <w:sz w:val="24"/>
          <w:highlight w:val="none"/>
        </w:rPr>
      </w:pPr>
      <w:bookmarkStart w:id="12" w:name="_bookmark98"/>
      <w:bookmarkEnd w:id="12"/>
      <w:bookmarkStart w:id="13" w:name="_Toc29504"/>
      <w:bookmarkStart w:id="14" w:name="_Toc8793"/>
      <w:r>
        <w:rPr>
          <w:rFonts w:hint="eastAsia" w:eastAsia="宋体" w:cs="宋体"/>
          <w:b/>
          <w:bCs/>
          <w:color w:val="auto"/>
          <w:sz w:val="24"/>
          <w:highlight w:val="none"/>
          <w:lang w:val="en-US" w:eastAsia="zh-CN"/>
        </w:rPr>
        <w:t xml:space="preserve">2.2 </w:t>
      </w:r>
      <w:r>
        <w:rPr>
          <w:rFonts w:hint="eastAsia" w:ascii="宋体" w:hAnsi="宋体" w:eastAsia="宋体" w:cs="宋体"/>
          <w:b/>
          <w:bCs/>
          <w:color w:val="auto"/>
          <w:sz w:val="24"/>
          <w:highlight w:val="none"/>
        </w:rPr>
        <w:t>分值构成与评分标准</w:t>
      </w:r>
      <w:bookmarkEnd w:id="13"/>
      <w:bookmarkEnd w:id="14"/>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bookmarkStart w:id="15" w:name="_bookmark99"/>
      <w:bookmarkEnd w:id="15"/>
      <w:bookmarkStart w:id="16" w:name="_Toc1391"/>
      <w:bookmarkStart w:id="17" w:name="_Toc28665"/>
      <w:r>
        <w:rPr>
          <w:rFonts w:hint="eastAsia" w:ascii="宋体" w:hAnsi="宋体" w:eastAsia="宋体" w:cs="宋体"/>
          <w:color w:val="auto"/>
          <w:highlight w:val="none"/>
          <w:lang w:val="en-US" w:eastAsia="zh-CN"/>
        </w:rPr>
        <w:t xml:space="preserve">2.2.1 </w:t>
      </w:r>
      <w:r>
        <w:rPr>
          <w:rFonts w:hint="eastAsia" w:ascii="宋体" w:hAnsi="宋体" w:eastAsia="宋体" w:cs="宋体"/>
          <w:color w:val="auto"/>
          <w:highlight w:val="none"/>
        </w:rPr>
        <w:t>第一个信封评分分值构成</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（1）施工组织设计：见评标办法前附表；</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（2）主要人员：见评标办法前附表；</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（3）其他评分因素：见评标办法前附表。</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2.2.2 </w:t>
      </w:r>
      <w:r>
        <w:rPr>
          <w:rFonts w:hint="eastAsia" w:ascii="宋体" w:hAnsi="宋体" w:eastAsia="宋体" w:cs="宋体"/>
          <w:color w:val="auto"/>
          <w:highlight w:val="none"/>
        </w:rPr>
        <w:t>第一个信封评分评分标准</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（1）施工组织设计评分标准：见评标办法前附表；</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（2）主要人员评分标准：见评标办法前附表；</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（3）其他因素评分标准：见评标办法前附表。</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2.2.3 </w:t>
      </w:r>
      <w:r>
        <w:rPr>
          <w:rFonts w:hint="eastAsia" w:ascii="宋体" w:hAnsi="宋体" w:eastAsia="宋体" w:cs="宋体"/>
          <w:color w:val="auto"/>
          <w:highlight w:val="none"/>
        </w:rPr>
        <w:t>第二个信封详细评审标准：见评标办法前附表。</w:t>
      </w:r>
    </w:p>
    <w:p>
      <w:pPr>
        <w:keepNext w:val="0"/>
        <w:keepLines w:val="0"/>
        <w:pageBreakBefore w:val="0"/>
        <w:widowControl w:val="0"/>
        <w:numPr>
          <w:ilvl w:val="0"/>
          <w:numId w:val="0"/>
        </w:numPr>
        <w:tabs>
          <w:tab w:val="left" w:pos="845"/>
        </w:tabs>
        <w:kinsoku/>
        <w:wordWrap/>
        <w:overflowPunct/>
        <w:topLinePunct w:val="0"/>
        <w:autoSpaceDE w:val="0"/>
        <w:autoSpaceDN w:val="0"/>
        <w:bidi w:val="0"/>
        <w:adjustRightInd w:val="0"/>
        <w:snapToGrid w:val="0"/>
        <w:spacing w:line="336" w:lineRule="auto"/>
        <w:ind w:right="0" w:rightChars="0"/>
        <w:jc w:val="both"/>
        <w:textAlignment w:val="auto"/>
        <w:outlineLvl w:val="2"/>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lang w:val="en-US" w:eastAsia="zh-CN"/>
        </w:rPr>
        <w:t xml:space="preserve">3. </w:t>
      </w:r>
      <w:r>
        <w:rPr>
          <w:rFonts w:hint="eastAsia" w:ascii="宋体" w:hAnsi="宋体" w:eastAsia="宋体" w:cs="宋体"/>
          <w:b/>
          <w:bCs/>
          <w:color w:val="auto"/>
          <w:sz w:val="28"/>
          <w:highlight w:val="none"/>
        </w:rPr>
        <w:t>评标程序</w:t>
      </w:r>
      <w:bookmarkEnd w:id="16"/>
      <w:bookmarkEnd w:id="17"/>
    </w:p>
    <w:p>
      <w:pPr>
        <w:pStyle w:val="26"/>
        <w:keepNext w:val="0"/>
        <w:keepLines w:val="0"/>
        <w:pageBreakBefore w:val="0"/>
        <w:widowControl w:val="0"/>
        <w:numPr>
          <w:ilvl w:val="0"/>
          <w:numId w:val="0"/>
        </w:numPr>
        <w:tabs>
          <w:tab w:val="left" w:pos="905"/>
        </w:tabs>
        <w:kinsoku/>
        <w:wordWrap/>
        <w:overflowPunct/>
        <w:topLinePunct w:val="0"/>
        <w:autoSpaceDE w:val="0"/>
        <w:autoSpaceDN w:val="0"/>
        <w:bidi w:val="0"/>
        <w:adjustRightInd w:val="0"/>
        <w:snapToGrid w:val="0"/>
        <w:spacing w:line="336" w:lineRule="auto"/>
        <w:ind w:right="0" w:rightChars="0" w:firstLine="482" w:firstLineChars="200"/>
        <w:jc w:val="both"/>
        <w:textAlignment w:val="auto"/>
        <w:outlineLvl w:val="3"/>
        <w:rPr>
          <w:rFonts w:hint="eastAsia" w:ascii="宋体" w:hAnsi="宋体" w:eastAsia="宋体" w:cs="宋体"/>
          <w:b/>
          <w:bCs/>
          <w:color w:val="auto"/>
          <w:sz w:val="24"/>
          <w:highlight w:val="none"/>
        </w:rPr>
      </w:pPr>
      <w:bookmarkStart w:id="18" w:name="_bookmark100"/>
      <w:bookmarkEnd w:id="18"/>
      <w:bookmarkStart w:id="19" w:name="_Toc12914"/>
      <w:bookmarkStart w:id="20" w:name="_Toc7816"/>
      <w:r>
        <w:rPr>
          <w:rFonts w:hint="eastAsia" w:eastAsia="宋体" w:cs="宋体"/>
          <w:b/>
          <w:bCs/>
          <w:color w:val="auto"/>
          <w:sz w:val="24"/>
          <w:highlight w:val="none"/>
          <w:lang w:val="en-US" w:eastAsia="zh-CN"/>
        </w:rPr>
        <w:t xml:space="preserve">3.1 </w:t>
      </w:r>
      <w:r>
        <w:rPr>
          <w:rFonts w:hint="eastAsia" w:ascii="宋体" w:hAnsi="宋体" w:eastAsia="宋体" w:cs="宋体"/>
          <w:b/>
          <w:bCs/>
          <w:color w:val="auto"/>
          <w:sz w:val="24"/>
          <w:highlight w:val="none"/>
        </w:rPr>
        <w:t>第一个信封初步评审</w:t>
      </w:r>
      <w:bookmarkEnd w:id="19"/>
      <w:bookmarkEnd w:id="20"/>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80" w:firstLineChars="200"/>
        <w:jc w:val="both"/>
        <w:textAlignment w:val="auto"/>
        <w:rPr>
          <w:rFonts w:hint="eastAsia" w:ascii="宋体" w:hAnsi="宋体" w:eastAsia="宋体" w:cs="宋体"/>
          <w:color w:val="auto"/>
          <w:sz w:val="24"/>
          <w:highlight w:val="none"/>
        </w:rPr>
      </w:pPr>
      <w:r>
        <w:rPr>
          <w:rFonts w:hint="eastAsia" w:eastAsia="宋体" w:cs="宋体"/>
          <w:color w:val="auto"/>
          <w:sz w:val="24"/>
          <w:highlight w:val="none"/>
          <w:lang w:val="en-US" w:eastAsia="zh-CN"/>
        </w:rPr>
        <w:t xml:space="preserve">3.1.1 </w:t>
      </w:r>
      <w:r>
        <w:rPr>
          <w:rFonts w:hint="eastAsia" w:ascii="宋体" w:hAnsi="宋体" w:eastAsia="宋体" w:cs="宋体"/>
          <w:color w:val="auto"/>
          <w:sz w:val="24"/>
          <w:highlight w:val="none"/>
        </w:rPr>
        <w:t>评标委员会可以要求投标人提交第二章“投标人须知”</w:t>
      </w:r>
      <w:r>
        <w:rPr>
          <w:rFonts w:hint="eastAsia" w:ascii="宋体" w:hAnsi="宋体" w:eastAsia="宋体" w:cs="宋体"/>
          <w:color w:val="auto"/>
          <w:spacing w:val="-31"/>
          <w:sz w:val="24"/>
          <w:highlight w:val="none"/>
        </w:rPr>
        <w:t xml:space="preserve">第 </w:t>
      </w:r>
      <w:r>
        <w:rPr>
          <w:rFonts w:hint="eastAsia" w:ascii="宋体" w:hAnsi="宋体" w:eastAsia="宋体" w:cs="宋体"/>
          <w:color w:val="auto"/>
          <w:sz w:val="24"/>
          <w:highlight w:val="none"/>
        </w:rPr>
        <w:t>3.5.1</w:t>
      </w:r>
      <w:r>
        <w:rPr>
          <w:rFonts w:hint="eastAsia" w:ascii="宋体" w:hAnsi="宋体" w:eastAsia="宋体" w:cs="宋体"/>
          <w:color w:val="auto"/>
          <w:spacing w:val="1"/>
          <w:sz w:val="24"/>
          <w:highlight w:val="none"/>
        </w:rPr>
        <w:t xml:space="preserve"> </w:t>
      </w:r>
      <w:r>
        <w:rPr>
          <w:rFonts w:hint="eastAsia" w:ascii="宋体" w:hAnsi="宋体" w:eastAsia="宋体" w:cs="宋体"/>
          <w:color w:val="auto"/>
          <w:spacing w:val="-16"/>
          <w:sz w:val="24"/>
          <w:highlight w:val="none"/>
        </w:rPr>
        <w:t xml:space="preserve">项至第 </w:t>
      </w:r>
      <w:r>
        <w:rPr>
          <w:rFonts w:hint="eastAsia" w:ascii="宋体" w:hAnsi="宋体" w:eastAsia="宋体" w:cs="宋体"/>
          <w:color w:val="auto"/>
          <w:sz w:val="24"/>
          <w:highlight w:val="none"/>
        </w:rPr>
        <w:t xml:space="preserve">3.5.6 </w:t>
      </w:r>
      <w:r>
        <w:rPr>
          <w:rFonts w:hint="eastAsia" w:ascii="宋体" w:hAnsi="宋体" w:eastAsia="宋体" w:cs="宋体"/>
          <w:color w:val="auto"/>
          <w:spacing w:val="-1"/>
          <w:sz w:val="24"/>
          <w:highlight w:val="none"/>
        </w:rPr>
        <w:t xml:space="preserve">项规定的有关证明和证件的原件，以便核验。评标委员会依据本章第 </w:t>
      </w:r>
      <w:r>
        <w:rPr>
          <w:rFonts w:hint="eastAsia" w:ascii="宋体" w:hAnsi="宋体" w:eastAsia="宋体" w:cs="宋体"/>
          <w:color w:val="auto"/>
          <w:sz w:val="24"/>
          <w:highlight w:val="none"/>
        </w:rPr>
        <w:t>2.1</w:t>
      </w:r>
      <w:r>
        <w:rPr>
          <w:rFonts w:hint="eastAsia" w:ascii="宋体" w:hAnsi="宋体" w:eastAsia="宋体" w:cs="宋体"/>
          <w:color w:val="auto"/>
          <w:spacing w:val="47"/>
          <w:sz w:val="24"/>
          <w:highlight w:val="none"/>
        </w:rPr>
        <w:t xml:space="preserve"> </w:t>
      </w:r>
      <w:r>
        <w:rPr>
          <w:rFonts w:hint="eastAsia" w:ascii="宋体" w:hAnsi="宋体" w:eastAsia="宋体" w:cs="宋体"/>
          <w:color w:val="auto"/>
          <w:sz w:val="24"/>
          <w:highlight w:val="none"/>
        </w:rPr>
        <w:t>款规定的标准对投标文件第一个信封（商务及技术文件）进行初步评审。有一项不符合评审</w:t>
      </w:r>
      <w:r>
        <w:rPr>
          <w:rFonts w:hint="eastAsia" w:ascii="宋体" w:hAnsi="宋体" w:eastAsia="宋体" w:cs="宋体"/>
          <w:color w:val="auto"/>
          <w:spacing w:val="-8"/>
          <w:sz w:val="24"/>
          <w:highlight w:val="none"/>
        </w:rPr>
        <w:t>标准的，评标委员会应否决其投标。</w:t>
      </w:r>
    </w:p>
    <w:p>
      <w:pPr>
        <w:pStyle w:val="26"/>
        <w:keepNext w:val="0"/>
        <w:keepLines w:val="0"/>
        <w:pageBreakBefore w:val="0"/>
        <w:widowControl w:val="0"/>
        <w:numPr>
          <w:ilvl w:val="0"/>
          <w:numId w:val="0"/>
        </w:numPr>
        <w:tabs>
          <w:tab w:val="left" w:pos="905"/>
        </w:tabs>
        <w:kinsoku/>
        <w:wordWrap/>
        <w:overflowPunct/>
        <w:topLinePunct w:val="0"/>
        <w:autoSpaceDE w:val="0"/>
        <w:autoSpaceDN w:val="0"/>
        <w:bidi w:val="0"/>
        <w:adjustRightInd w:val="0"/>
        <w:snapToGrid w:val="0"/>
        <w:spacing w:line="336" w:lineRule="auto"/>
        <w:ind w:right="0" w:rightChars="0" w:firstLine="482" w:firstLineChars="200"/>
        <w:jc w:val="both"/>
        <w:textAlignment w:val="auto"/>
        <w:outlineLvl w:val="3"/>
        <w:rPr>
          <w:rFonts w:hint="eastAsia" w:ascii="宋体" w:hAnsi="宋体" w:eastAsia="宋体" w:cs="宋体"/>
          <w:b/>
          <w:bCs/>
          <w:color w:val="auto"/>
          <w:sz w:val="24"/>
          <w:highlight w:val="none"/>
          <w:lang w:val="en-US" w:eastAsia="zh-CN"/>
        </w:rPr>
      </w:pPr>
      <w:bookmarkStart w:id="21" w:name="_bookmark101"/>
      <w:bookmarkEnd w:id="21"/>
      <w:bookmarkStart w:id="22" w:name="_Toc6398"/>
      <w:bookmarkStart w:id="23" w:name="_Toc12711"/>
      <w:r>
        <w:rPr>
          <w:rFonts w:hint="eastAsia" w:ascii="宋体" w:hAnsi="宋体" w:eastAsia="宋体" w:cs="宋体"/>
          <w:b/>
          <w:bCs/>
          <w:color w:val="auto"/>
          <w:sz w:val="24"/>
          <w:highlight w:val="none"/>
          <w:lang w:val="en-US" w:eastAsia="zh-CN"/>
        </w:rPr>
        <w:t>3.2 第一个信封详细评审</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3.2.1 评标委员会按本章第 2.2 款规定的量化因素和分值进行打分，并计算出各投标人的商务和技术得分。</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（1）按本章第 2.2.2 项（1）目规定的评审因素和分值对施工组织设计部分计算出得分A；</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（2）按本章第 2.2.2 项（2）目规定的评审因素和分值对主要人员部分计算出得分B；</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（3）按本章第 2.2.2 项（3）目规定的评审因素和分值对其他部分计算出得分C。</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3.2.2 投标人的商务和技术得分分值计算保留小数点后两位，小数点后第三位“四舍五入”。</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3.2.3 投标人的商务和技术得分=A+B+C。</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3.2.4 评标委员会按照投标人的商务和技术得分由高到低排序，排名在评标办法前附表规定数量以内的投标人，其投标文件第一个信封（商务及技术文件）通过详细评审。</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3.2.5通过投标文件第一个信封（商务及技术文件）初步评审的投标人不少于 3 个且未超过评标办法前附表第 3.2.4 项规定数量的，均通过投标文件第一个信封（商务及技术文件）详细评审，不再对投标人的商务和技术文件进行评分。</w:t>
      </w:r>
    </w:p>
    <w:p>
      <w:pPr>
        <w:pStyle w:val="26"/>
        <w:keepNext w:val="0"/>
        <w:keepLines w:val="0"/>
        <w:pageBreakBefore w:val="0"/>
        <w:widowControl w:val="0"/>
        <w:numPr>
          <w:ilvl w:val="0"/>
          <w:numId w:val="0"/>
        </w:numPr>
        <w:tabs>
          <w:tab w:val="left" w:pos="905"/>
        </w:tabs>
        <w:kinsoku/>
        <w:wordWrap/>
        <w:overflowPunct/>
        <w:topLinePunct w:val="0"/>
        <w:autoSpaceDE w:val="0"/>
        <w:autoSpaceDN w:val="0"/>
        <w:bidi w:val="0"/>
        <w:adjustRightInd w:val="0"/>
        <w:snapToGrid w:val="0"/>
        <w:spacing w:line="336" w:lineRule="auto"/>
        <w:ind w:right="0" w:rightChars="0" w:firstLine="482" w:firstLineChars="200"/>
        <w:jc w:val="both"/>
        <w:textAlignment w:val="auto"/>
        <w:outlineLvl w:val="3"/>
        <w:rPr>
          <w:rFonts w:hint="eastAsia" w:ascii="宋体" w:hAnsi="宋体" w:eastAsia="宋体" w:cs="宋体"/>
          <w:b/>
          <w:bCs/>
          <w:color w:val="auto"/>
          <w:sz w:val="24"/>
          <w:highlight w:val="none"/>
        </w:rPr>
      </w:pPr>
      <w:r>
        <w:rPr>
          <w:rFonts w:hint="eastAsia" w:eastAsia="宋体" w:cs="宋体"/>
          <w:b/>
          <w:bCs/>
          <w:color w:val="auto"/>
          <w:sz w:val="24"/>
          <w:highlight w:val="none"/>
          <w:lang w:val="en-US" w:eastAsia="zh-CN"/>
        </w:rPr>
        <w:t xml:space="preserve">3.3 </w:t>
      </w:r>
      <w:r>
        <w:rPr>
          <w:rFonts w:hint="eastAsia" w:ascii="宋体" w:hAnsi="宋体" w:eastAsia="宋体" w:cs="宋体"/>
          <w:b/>
          <w:bCs/>
          <w:color w:val="auto"/>
          <w:sz w:val="24"/>
          <w:highlight w:val="none"/>
        </w:rPr>
        <w:t>第二个信封开标</w:t>
      </w:r>
      <w:bookmarkEnd w:id="22"/>
      <w:bookmarkEnd w:id="23"/>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32"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pacing w:val="-12"/>
          <w:highlight w:val="none"/>
        </w:rPr>
        <w:t>第一个信封</w:t>
      </w:r>
      <w:r>
        <w:rPr>
          <w:rFonts w:hint="eastAsia" w:ascii="宋体" w:hAnsi="宋体" w:eastAsia="宋体" w:cs="宋体"/>
          <w:color w:val="auto"/>
          <w:highlight w:val="none"/>
        </w:rPr>
        <w:t>（商务及技术文件</w:t>
      </w:r>
      <w:r>
        <w:rPr>
          <w:rFonts w:hint="eastAsia" w:ascii="宋体" w:hAnsi="宋体" w:eastAsia="宋体" w:cs="宋体"/>
          <w:color w:val="auto"/>
          <w:spacing w:val="-60"/>
          <w:highlight w:val="none"/>
        </w:rPr>
        <w:t>）</w:t>
      </w:r>
      <w:r>
        <w:rPr>
          <w:rFonts w:hint="eastAsia" w:ascii="宋体" w:hAnsi="宋体" w:eastAsia="宋体" w:cs="宋体"/>
          <w:color w:val="auto"/>
          <w:spacing w:val="-8"/>
          <w:highlight w:val="none"/>
        </w:rPr>
        <w:t>评审结束后，招标人将按照第二章</w:t>
      </w:r>
      <w:r>
        <w:rPr>
          <w:rFonts w:hint="eastAsia" w:ascii="宋体" w:hAnsi="宋体" w:eastAsia="宋体" w:cs="宋体"/>
          <w:color w:val="auto"/>
          <w:highlight w:val="none"/>
        </w:rPr>
        <w:t>“投标人须知”</w:t>
      </w:r>
      <w:r>
        <w:rPr>
          <w:rFonts w:hint="eastAsia" w:ascii="宋体" w:hAnsi="宋体" w:eastAsia="宋体" w:cs="宋体"/>
          <w:color w:val="auto"/>
          <w:spacing w:val="-6"/>
          <w:highlight w:val="none"/>
        </w:rPr>
        <w:t xml:space="preserve">第 </w:t>
      </w:r>
      <w:r>
        <w:rPr>
          <w:rFonts w:hint="eastAsia" w:ascii="宋体" w:hAnsi="宋体" w:eastAsia="宋体" w:cs="宋体"/>
          <w:color w:val="auto"/>
          <w:highlight w:val="none"/>
        </w:rPr>
        <w:t>5.1 款规定的时间和地点对通过投标文件第一个信封（商务及技术文件）评审的投标文件第二个信封（报价文件）进行开标。</w:t>
      </w:r>
    </w:p>
    <w:p>
      <w:pPr>
        <w:pStyle w:val="26"/>
        <w:keepNext w:val="0"/>
        <w:keepLines w:val="0"/>
        <w:pageBreakBefore w:val="0"/>
        <w:widowControl w:val="0"/>
        <w:numPr>
          <w:ilvl w:val="0"/>
          <w:numId w:val="0"/>
        </w:numPr>
        <w:tabs>
          <w:tab w:val="left" w:pos="905"/>
        </w:tabs>
        <w:kinsoku/>
        <w:wordWrap/>
        <w:overflowPunct/>
        <w:topLinePunct w:val="0"/>
        <w:autoSpaceDE w:val="0"/>
        <w:autoSpaceDN w:val="0"/>
        <w:bidi w:val="0"/>
        <w:adjustRightInd w:val="0"/>
        <w:snapToGrid w:val="0"/>
        <w:spacing w:line="336" w:lineRule="auto"/>
        <w:ind w:right="0" w:rightChars="0" w:firstLine="482" w:firstLineChars="200"/>
        <w:jc w:val="both"/>
        <w:textAlignment w:val="auto"/>
        <w:outlineLvl w:val="3"/>
        <w:rPr>
          <w:rFonts w:hint="eastAsia" w:ascii="宋体" w:hAnsi="宋体" w:eastAsia="宋体" w:cs="宋体"/>
          <w:b/>
          <w:bCs/>
          <w:color w:val="auto"/>
          <w:sz w:val="24"/>
          <w:highlight w:val="none"/>
        </w:rPr>
      </w:pPr>
      <w:bookmarkStart w:id="24" w:name="_bookmark102"/>
      <w:bookmarkEnd w:id="24"/>
      <w:bookmarkStart w:id="25" w:name="_Toc31309"/>
      <w:bookmarkStart w:id="26" w:name="_Toc17943"/>
      <w:r>
        <w:rPr>
          <w:rFonts w:hint="eastAsia" w:eastAsia="宋体" w:cs="宋体"/>
          <w:b/>
          <w:bCs/>
          <w:color w:val="auto"/>
          <w:sz w:val="24"/>
          <w:highlight w:val="none"/>
          <w:lang w:val="en-US" w:eastAsia="zh-CN"/>
        </w:rPr>
        <w:t xml:space="preserve">3.4 </w:t>
      </w:r>
      <w:r>
        <w:rPr>
          <w:rFonts w:hint="eastAsia" w:ascii="宋体" w:hAnsi="宋体" w:eastAsia="宋体" w:cs="宋体"/>
          <w:b/>
          <w:bCs/>
          <w:color w:val="auto"/>
          <w:sz w:val="24"/>
          <w:highlight w:val="none"/>
        </w:rPr>
        <w:t>第二个信封初步评审</w:t>
      </w:r>
      <w:bookmarkEnd w:id="25"/>
      <w:bookmarkEnd w:id="26"/>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32" w:firstLineChars="200"/>
        <w:jc w:val="both"/>
        <w:textAlignment w:val="auto"/>
        <w:rPr>
          <w:rFonts w:hint="eastAsia" w:ascii="宋体" w:hAnsi="宋体" w:eastAsia="宋体" w:cs="宋体"/>
          <w:color w:val="auto"/>
          <w:spacing w:val="-12"/>
          <w:highlight w:val="none"/>
        </w:rPr>
      </w:pPr>
      <w:r>
        <w:rPr>
          <w:rFonts w:hint="eastAsia" w:ascii="宋体" w:hAnsi="宋体" w:eastAsia="宋体" w:cs="宋体"/>
          <w:color w:val="auto"/>
          <w:spacing w:val="-12"/>
          <w:highlight w:val="none"/>
          <w:lang w:val="en-US" w:eastAsia="zh-CN"/>
        </w:rPr>
        <w:t xml:space="preserve">3.4.1 </w:t>
      </w:r>
      <w:r>
        <w:rPr>
          <w:rFonts w:hint="eastAsia" w:ascii="宋体" w:hAnsi="宋体" w:eastAsia="宋体" w:cs="宋体"/>
          <w:color w:val="auto"/>
          <w:spacing w:val="-12"/>
          <w:highlight w:val="none"/>
        </w:rPr>
        <w:t>评标委员会依据本章第 2.1.1 项、第 2.1.3 项规定的评审标准对投标文件第二个信封（报价文件）进行初步评审。有一项不符合评审标准的，评标委员会应否决其投标。</w:t>
      </w:r>
    </w:p>
    <w:p>
      <w:pPr>
        <w:pStyle w:val="26"/>
        <w:keepNext w:val="0"/>
        <w:keepLines w:val="0"/>
        <w:pageBreakBefore w:val="0"/>
        <w:widowControl w:val="0"/>
        <w:numPr>
          <w:ilvl w:val="0"/>
          <w:numId w:val="0"/>
        </w:numPr>
        <w:tabs>
          <w:tab w:val="left" w:pos="905"/>
        </w:tabs>
        <w:kinsoku/>
        <w:wordWrap/>
        <w:overflowPunct/>
        <w:topLinePunct w:val="0"/>
        <w:autoSpaceDE w:val="0"/>
        <w:autoSpaceDN w:val="0"/>
        <w:bidi w:val="0"/>
        <w:adjustRightInd w:val="0"/>
        <w:snapToGrid w:val="0"/>
        <w:spacing w:line="336" w:lineRule="auto"/>
        <w:ind w:right="0" w:rightChars="0" w:firstLine="482" w:firstLineChars="200"/>
        <w:jc w:val="both"/>
        <w:textAlignment w:val="auto"/>
        <w:outlineLvl w:val="3"/>
        <w:rPr>
          <w:rFonts w:hint="eastAsia" w:ascii="宋体" w:hAnsi="宋体" w:eastAsia="宋体" w:cs="宋体"/>
          <w:b/>
          <w:bCs/>
          <w:color w:val="auto"/>
          <w:sz w:val="24"/>
          <w:highlight w:val="none"/>
        </w:rPr>
      </w:pPr>
      <w:bookmarkStart w:id="27" w:name="_bookmark103"/>
      <w:bookmarkEnd w:id="27"/>
      <w:bookmarkStart w:id="28" w:name="_Toc15998"/>
      <w:bookmarkStart w:id="29" w:name="_Toc24782"/>
      <w:r>
        <w:rPr>
          <w:rFonts w:hint="eastAsia" w:eastAsia="宋体" w:cs="宋体"/>
          <w:b/>
          <w:bCs/>
          <w:color w:val="auto"/>
          <w:sz w:val="24"/>
          <w:highlight w:val="none"/>
          <w:lang w:val="en-US" w:eastAsia="zh-CN"/>
        </w:rPr>
        <w:t xml:space="preserve">3.5 </w:t>
      </w:r>
      <w:r>
        <w:rPr>
          <w:rFonts w:hint="eastAsia" w:ascii="宋体" w:hAnsi="宋体" w:eastAsia="宋体" w:cs="宋体"/>
          <w:b/>
          <w:bCs/>
          <w:color w:val="auto"/>
          <w:sz w:val="24"/>
          <w:highlight w:val="none"/>
        </w:rPr>
        <w:t>第二个信封详细评审</w:t>
      </w:r>
      <w:bookmarkEnd w:id="28"/>
      <w:bookmarkEnd w:id="29"/>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56" w:firstLineChars="200"/>
        <w:jc w:val="both"/>
        <w:textAlignment w:val="auto"/>
        <w:rPr>
          <w:rFonts w:hint="eastAsia" w:ascii="宋体" w:hAnsi="宋体" w:eastAsia="宋体" w:cs="宋体"/>
          <w:color w:val="auto"/>
          <w:sz w:val="24"/>
          <w:highlight w:val="none"/>
        </w:rPr>
      </w:pPr>
      <w:r>
        <w:rPr>
          <w:rFonts w:hint="eastAsia" w:eastAsia="宋体" w:cs="宋体"/>
          <w:color w:val="auto"/>
          <w:spacing w:val="-6"/>
          <w:sz w:val="24"/>
          <w:highlight w:val="none"/>
          <w:lang w:val="en-US" w:eastAsia="zh-CN"/>
        </w:rPr>
        <w:t xml:space="preserve">3.5.1 </w:t>
      </w:r>
      <w:r>
        <w:rPr>
          <w:rFonts w:hint="eastAsia" w:ascii="宋体" w:hAnsi="宋体" w:eastAsia="宋体" w:cs="宋体"/>
          <w:color w:val="auto"/>
          <w:spacing w:val="-6"/>
          <w:sz w:val="24"/>
          <w:highlight w:val="none"/>
        </w:rPr>
        <w:t xml:space="preserve">评标委员会按本章第 </w:t>
      </w:r>
      <w:r>
        <w:rPr>
          <w:rFonts w:hint="eastAsia" w:ascii="宋体" w:hAnsi="宋体" w:eastAsia="宋体" w:cs="宋体"/>
          <w:color w:val="auto"/>
          <w:sz w:val="24"/>
          <w:highlight w:val="none"/>
        </w:rPr>
        <w:t xml:space="preserve">2.2 </w:t>
      </w:r>
      <w:r>
        <w:rPr>
          <w:rFonts w:hint="eastAsia" w:ascii="宋体" w:hAnsi="宋体" w:eastAsia="宋体" w:cs="宋体"/>
          <w:color w:val="auto"/>
          <w:spacing w:val="-2"/>
          <w:sz w:val="24"/>
          <w:highlight w:val="none"/>
        </w:rPr>
        <w:t>款规定的量化因素和分值进行打分，并计算出评标价</w:t>
      </w:r>
      <w:r>
        <w:rPr>
          <w:rFonts w:hint="eastAsia" w:eastAsia="宋体" w:cs="宋体"/>
          <w:color w:val="auto"/>
          <w:spacing w:val="-2"/>
          <w:sz w:val="24"/>
          <w:highlight w:val="none"/>
          <w:lang w:eastAsia="zh-CN"/>
        </w:rPr>
        <w:t>，</w:t>
      </w:r>
      <w:r>
        <w:rPr>
          <w:rFonts w:hint="eastAsia" w:eastAsia="宋体" w:cs="宋体"/>
          <w:color w:val="auto"/>
          <w:spacing w:val="-2"/>
          <w:sz w:val="24"/>
          <w:highlight w:val="none"/>
          <w:lang w:val="en-US" w:eastAsia="zh-CN"/>
        </w:rPr>
        <w:t>并编制价格比较一览表</w:t>
      </w:r>
      <w:r>
        <w:rPr>
          <w:rFonts w:hint="eastAsia" w:ascii="宋体" w:hAnsi="宋体" w:eastAsia="宋体" w:cs="宋体"/>
          <w:color w:val="auto"/>
          <w:sz w:val="24"/>
          <w:highlight w:val="none"/>
        </w:rPr>
        <w:t>。</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64" w:firstLineChars="200"/>
        <w:jc w:val="both"/>
        <w:textAlignment w:val="auto"/>
        <w:rPr>
          <w:rFonts w:hint="eastAsia" w:ascii="宋体" w:hAnsi="宋体" w:eastAsia="宋体" w:cs="宋体"/>
          <w:color w:val="auto"/>
          <w:sz w:val="24"/>
          <w:highlight w:val="none"/>
        </w:rPr>
      </w:pPr>
      <w:r>
        <w:rPr>
          <w:rFonts w:hint="eastAsia" w:eastAsia="宋体" w:cs="宋体"/>
          <w:color w:val="auto"/>
          <w:spacing w:val="-4"/>
          <w:sz w:val="24"/>
          <w:highlight w:val="none"/>
          <w:lang w:val="en-US" w:eastAsia="zh-CN"/>
        </w:rPr>
        <w:t xml:space="preserve">3.5.2 </w:t>
      </w:r>
      <w:r>
        <w:rPr>
          <w:rFonts w:hint="eastAsia" w:ascii="宋体" w:hAnsi="宋体" w:eastAsia="宋体" w:cs="宋体"/>
          <w:color w:val="auto"/>
          <w:spacing w:val="-4"/>
          <w:sz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26"/>
        <w:keepNext w:val="0"/>
        <w:keepLines w:val="0"/>
        <w:pageBreakBefore w:val="0"/>
        <w:widowControl w:val="0"/>
        <w:numPr>
          <w:ilvl w:val="0"/>
          <w:numId w:val="0"/>
        </w:numPr>
        <w:tabs>
          <w:tab w:val="left" w:pos="905"/>
        </w:tabs>
        <w:kinsoku/>
        <w:wordWrap/>
        <w:overflowPunct/>
        <w:topLinePunct w:val="0"/>
        <w:autoSpaceDE w:val="0"/>
        <w:autoSpaceDN w:val="0"/>
        <w:bidi w:val="0"/>
        <w:adjustRightInd w:val="0"/>
        <w:snapToGrid w:val="0"/>
        <w:spacing w:line="336" w:lineRule="auto"/>
        <w:ind w:right="0" w:rightChars="0" w:firstLine="482" w:firstLineChars="200"/>
        <w:jc w:val="both"/>
        <w:textAlignment w:val="auto"/>
        <w:outlineLvl w:val="3"/>
        <w:rPr>
          <w:rFonts w:hint="eastAsia" w:ascii="宋体" w:hAnsi="宋体" w:eastAsia="宋体" w:cs="宋体"/>
          <w:b/>
          <w:bCs/>
          <w:color w:val="auto"/>
          <w:sz w:val="24"/>
          <w:highlight w:val="none"/>
        </w:rPr>
      </w:pPr>
      <w:bookmarkStart w:id="30" w:name="_bookmark104"/>
      <w:bookmarkEnd w:id="30"/>
      <w:bookmarkStart w:id="31" w:name="_Toc7684"/>
      <w:bookmarkStart w:id="32" w:name="_Toc27394"/>
      <w:r>
        <w:rPr>
          <w:rFonts w:hint="eastAsia" w:eastAsia="宋体" w:cs="宋体"/>
          <w:b/>
          <w:bCs/>
          <w:color w:val="auto"/>
          <w:sz w:val="24"/>
          <w:highlight w:val="none"/>
          <w:lang w:val="en-US" w:eastAsia="zh-CN"/>
        </w:rPr>
        <w:t xml:space="preserve">3.6 </w:t>
      </w:r>
      <w:r>
        <w:rPr>
          <w:rFonts w:hint="eastAsia" w:ascii="宋体" w:hAnsi="宋体" w:eastAsia="宋体" w:cs="宋体"/>
          <w:b/>
          <w:bCs/>
          <w:color w:val="auto"/>
          <w:sz w:val="24"/>
          <w:highlight w:val="none"/>
        </w:rPr>
        <w:t>投标文件相关信息的核查</w:t>
      </w:r>
      <w:bookmarkEnd w:id="31"/>
      <w:bookmarkEnd w:id="32"/>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80" w:firstLineChars="200"/>
        <w:jc w:val="both"/>
        <w:textAlignment w:val="auto"/>
        <w:rPr>
          <w:rFonts w:hint="eastAsia" w:ascii="宋体" w:hAnsi="宋体" w:eastAsia="宋体" w:cs="宋体"/>
          <w:color w:val="auto"/>
          <w:sz w:val="24"/>
          <w:highlight w:val="none"/>
        </w:rPr>
      </w:pPr>
      <w:r>
        <w:rPr>
          <w:rFonts w:hint="eastAsia" w:eastAsia="宋体" w:cs="宋体"/>
          <w:color w:val="auto"/>
          <w:sz w:val="24"/>
          <w:highlight w:val="none"/>
          <w:lang w:val="en-US" w:eastAsia="zh-CN"/>
        </w:rPr>
        <w:t xml:space="preserve">3.6.1 </w:t>
      </w:r>
      <w:r>
        <w:rPr>
          <w:rFonts w:hint="eastAsia" w:ascii="宋体" w:hAnsi="宋体" w:eastAsia="宋体" w:cs="宋体"/>
          <w:color w:val="auto"/>
          <w:sz w:val="24"/>
          <w:highlight w:val="none"/>
          <w:lang w:val="en-US"/>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64" w:firstLineChars="200"/>
        <w:jc w:val="both"/>
        <w:textAlignment w:val="auto"/>
        <w:rPr>
          <w:rFonts w:hint="eastAsia" w:ascii="宋体" w:hAnsi="宋体" w:eastAsia="宋体" w:cs="宋体"/>
          <w:color w:val="auto"/>
          <w:sz w:val="24"/>
          <w:highlight w:val="none"/>
        </w:rPr>
      </w:pPr>
      <w:r>
        <w:rPr>
          <w:rFonts w:hint="eastAsia" w:eastAsia="宋体" w:cs="宋体"/>
          <w:color w:val="auto"/>
          <w:spacing w:val="-4"/>
          <w:sz w:val="24"/>
          <w:highlight w:val="none"/>
          <w:lang w:val="en-US" w:eastAsia="zh-CN"/>
        </w:rPr>
        <w:t xml:space="preserve">3.6.2 </w:t>
      </w:r>
      <w:r>
        <w:rPr>
          <w:rFonts w:hint="eastAsia" w:ascii="宋体" w:hAnsi="宋体" w:eastAsia="宋体" w:cs="宋体"/>
          <w:color w:val="auto"/>
          <w:spacing w:val="-4"/>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（1）有下列情形之一的，属于投标人相互串通投标：</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a.投标人之间协商投标报价等投标文件的实质性内容；</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b.投标人之间约定中标人；</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c.投标人之间约定部分投标人放弃投标或中标；</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d.属于同一集团、协会、商会等组织成员的投标人按照该组织要求协同投标；</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e.投标人之间为谋取中标或排斥特定投标人而采取的其他联合行动。</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（2）有下列情形之一的，视为投标人相互串通投标：</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a.不同投标人的投标文件由同一单位或个人编制； b.不同投标人委托同一单位或个人办理投标事宜；</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c.不同投标人的投标文件载明的项目管理成员为同一人；</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d.不同投标人的投标文件异常一致或投标报价呈规律性差异；</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e.不同投标人的投标文件相互混装；                   </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76"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f.</w:t>
      </w:r>
      <w:r>
        <w:rPr>
          <w:rFonts w:hint="eastAsia" w:ascii="宋体" w:hAnsi="宋体" w:eastAsia="宋体" w:cs="宋体"/>
          <w:color w:val="auto"/>
          <w:highlight w:val="none"/>
        </w:rPr>
        <w:t>不同投标人的投标保证金从同一单位或个人的账户转出。</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（3）有下列情形之一的，属于招标人与投标人串通投标：</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a.招标人在开标前开启投标文件并将有关信息泄露给其他投标人;</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b.招标人直接或间接向投标人泄露标底、评标委员会成员等信息；</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c.招标人明示或暗示投标人压低或抬高投标报价；</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d.招标人授意投标人撤换、修改投标文件；           </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e.招标人明示或暗示投标人为特定投标人中标提供方便；</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f.招标人与投标人为谋求特定投标人中标而采取的其他串通行为。</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（4）投标人有下列情形之一的，属于弄虚作假的行为：</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a.使用通过受让或租借等方式获取的资格、资质证书投标；</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b.使用伪造、变造的许可证件；</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c.提供虚假的财务状况或业绩；</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d.提供虚假的项目负责人或主要技术人员简历、劳动关系证明；</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e.提供虚假的信用状况；</w:t>
      </w:r>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f.其他弄虚作假的行为。</w:t>
      </w:r>
    </w:p>
    <w:p>
      <w:pPr>
        <w:pStyle w:val="26"/>
        <w:keepNext w:val="0"/>
        <w:keepLines w:val="0"/>
        <w:pageBreakBefore w:val="0"/>
        <w:widowControl w:val="0"/>
        <w:numPr>
          <w:ilvl w:val="0"/>
          <w:numId w:val="0"/>
        </w:numPr>
        <w:tabs>
          <w:tab w:val="left" w:pos="905"/>
        </w:tabs>
        <w:kinsoku/>
        <w:wordWrap/>
        <w:overflowPunct/>
        <w:topLinePunct w:val="0"/>
        <w:autoSpaceDE w:val="0"/>
        <w:autoSpaceDN w:val="0"/>
        <w:bidi w:val="0"/>
        <w:adjustRightInd w:val="0"/>
        <w:snapToGrid w:val="0"/>
        <w:spacing w:line="336" w:lineRule="auto"/>
        <w:ind w:right="0" w:rightChars="0" w:firstLine="482" w:firstLineChars="200"/>
        <w:jc w:val="both"/>
        <w:textAlignment w:val="auto"/>
        <w:outlineLvl w:val="3"/>
        <w:rPr>
          <w:rFonts w:hint="eastAsia" w:ascii="宋体" w:hAnsi="宋体" w:eastAsia="宋体" w:cs="宋体"/>
          <w:b/>
          <w:bCs/>
          <w:color w:val="auto"/>
          <w:sz w:val="24"/>
          <w:highlight w:val="none"/>
        </w:rPr>
      </w:pPr>
      <w:bookmarkStart w:id="33" w:name="_bookmark105"/>
      <w:bookmarkEnd w:id="33"/>
      <w:bookmarkStart w:id="34" w:name="_Toc15870"/>
      <w:bookmarkStart w:id="35" w:name="_Toc9697"/>
      <w:r>
        <w:rPr>
          <w:rFonts w:hint="eastAsia" w:eastAsia="宋体" w:cs="宋体"/>
          <w:b/>
          <w:bCs/>
          <w:color w:val="auto"/>
          <w:sz w:val="24"/>
          <w:highlight w:val="none"/>
          <w:lang w:val="en-US" w:eastAsia="zh-CN"/>
        </w:rPr>
        <w:t xml:space="preserve">3.7 </w:t>
      </w:r>
      <w:r>
        <w:rPr>
          <w:rFonts w:hint="eastAsia" w:ascii="宋体" w:hAnsi="宋体" w:eastAsia="宋体" w:cs="宋体"/>
          <w:b/>
          <w:bCs/>
          <w:color w:val="auto"/>
          <w:sz w:val="24"/>
          <w:highlight w:val="none"/>
        </w:rPr>
        <w:t>投标文件的澄清和说明</w:t>
      </w:r>
      <w:bookmarkEnd w:id="34"/>
      <w:bookmarkEnd w:id="35"/>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44" w:firstLineChars="200"/>
        <w:jc w:val="both"/>
        <w:textAlignment w:val="auto"/>
        <w:rPr>
          <w:rFonts w:hint="eastAsia" w:ascii="宋体" w:hAnsi="宋体" w:eastAsia="宋体" w:cs="宋体"/>
          <w:color w:val="auto"/>
          <w:sz w:val="24"/>
          <w:highlight w:val="none"/>
        </w:rPr>
      </w:pPr>
      <w:r>
        <w:rPr>
          <w:rFonts w:hint="eastAsia" w:eastAsia="宋体" w:cs="宋体"/>
          <w:color w:val="auto"/>
          <w:spacing w:val="-9"/>
          <w:sz w:val="24"/>
          <w:highlight w:val="none"/>
          <w:lang w:val="en-US" w:eastAsia="zh-CN"/>
        </w:rPr>
        <w:t xml:space="preserve">3.7.1 </w:t>
      </w:r>
      <w:r>
        <w:rPr>
          <w:rFonts w:hint="eastAsia" w:ascii="宋体" w:hAnsi="宋体" w:eastAsia="宋体" w:cs="宋体"/>
          <w:color w:val="auto"/>
          <w:spacing w:val="-9"/>
          <w:sz w:val="24"/>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68" w:firstLineChars="200"/>
        <w:jc w:val="both"/>
        <w:textAlignment w:val="auto"/>
        <w:rPr>
          <w:rFonts w:hint="eastAsia" w:ascii="宋体" w:hAnsi="宋体" w:eastAsia="宋体" w:cs="宋体"/>
          <w:color w:val="auto"/>
          <w:sz w:val="24"/>
          <w:highlight w:val="none"/>
        </w:rPr>
      </w:pPr>
      <w:r>
        <w:rPr>
          <w:rFonts w:hint="eastAsia" w:eastAsia="宋体" w:cs="宋体"/>
          <w:color w:val="auto"/>
          <w:spacing w:val="-3"/>
          <w:sz w:val="24"/>
          <w:highlight w:val="none"/>
          <w:lang w:val="en-US" w:eastAsia="zh-CN"/>
        </w:rPr>
        <w:t xml:space="preserve">3.7.2 </w:t>
      </w:r>
      <w:r>
        <w:rPr>
          <w:rFonts w:hint="eastAsia" w:ascii="宋体" w:hAnsi="宋体" w:eastAsia="宋体" w:cs="宋体"/>
          <w:color w:val="auto"/>
          <w:spacing w:val="-3"/>
          <w:sz w:val="24"/>
          <w:highlight w:val="none"/>
        </w:rPr>
        <w:t>澄清和说明不得超出投标文件的范围或改变投标文件的实质性内容</w:t>
      </w:r>
      <w:r>
        <w:rPr>
          <w:rFonts w:hint="eastAsia" w:ascii="宋体" w:hAnsi="宋体" w:eastAsia="宋体" w:cs="宋体"/>
          <w:color w:val="auto"/>
          <w:sz w:val="24"/>
          <w:highlight w:val="none"/>
        </w:rPr>
        <w:t>（算术性错误的修正除外</w:t>
      </w:r>
      <w:r>
        <w:rPr>
          <w:rFonts w:hint="eastAsia" w:ascii="宋体" w:hAnsi="宋体" w:eastAsia="宋体" w:cs="宋体"/>
          <w:color w:val="auto"/>
          <w:spacing w:val="-120"/>
          <w:sz w:val="24"/>
          <w:highlight w:val="none"/>
        </w:rPr>
        <w:t>）</w:t>
      </w:r>
      <w:r>
        <w:rPr>
          <w:rFonts w:hint="eastAsia" w:ascii="宋体" w:hAnsi="宋体" w:eastAsia="宋体" w:cs="宋体"/>
          <w:color w:val="auto"/>
          <w:sz w:val="24"/>
          <w:highlight w:val="none"/>
        </w:rPr>
        <w:t>。投标人的书面澄清、说明属于投标文件的组成部分。</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36" w:firstLineChars="200"/>
        <w:jc w:val="both"/>
        <w:textAlignment w:val="auto"/>
        <w:rPr>
          <w:rFonts w:hint="eastAsia" w:ascii="宋体" w:hAnsi="宋体" w:eastAsia="宋体" w:cs="宋体"/>
          <w:color w:val="auto"/>
          <w:sz w:val="24"/>
          <w:highlight w:val="none"/>
        </w:rPr>
      </w:pPr>
      <w:r>
        <w:rPr>
          <w:rFonts w:hint="eastAsia" w:eastAsia="宋体" w:cs="宋体"/>
          <w:color w:val="auto"/>
          <w:spacing w:val="-11"/>
          <w:sz w:val="24"/>
          <w:highlight w:val="none"/>
          <w:lang w:val="en-US" w:eastAsia="zh-CN"/>
        </w:rPr>
        <w:t xml:space="preserve">3.7.3 </w:t>
      </w:r>
      <w:r>
        <w:rPr>
          <w:rFonts w:hint="eastAsia" w:ascii="宋体" w:hAnsi="宋体" w:eastAsia="宋体" w:cs="宋体"/>
          <w:color w:val="auto"/>
          <w:spacing w:val="-11"/>
          <w:sz w:val="24"/>
          <w:highlight w:val="none"/>
        </w:rPr>
        <w:t>评标委员会不得暗示或诱导投标人作出澄清、说明，对投标人提交的澄清、说明有疑问的，可以要求投标人进一步澄清或说明，直至满足评标委员会的要求。</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68" w:firstLineChars="200"/>
        <w:jc w:val="both"/>
        <w:textAlignment w:val="auto"/>
        <w:rPr>
          <w:rFonts w:hint="eastAsia" w:ascii="宋体" w:hAnsi="宋体" w:eastAsia="宋体" w:cs="宋体"/>
          <w:color w:val="auto"/>
          <w:sz w:val="10"/>
          <w:highlight w:val="none"/>
        </w:rPr>
      </w:pPr>
      <w:r>
        <w:rPr>
          <w:rFonts w:hint="eastAsia" w:eastAsia="宋体" w:cs="宋体"/>
          <w:color w:val="auto"/>
          <w:spacing w:val="-3"/>
          <w:sz w:val="24"/>
          <w:highlight w:val="none"/>
          <w:lang w:val="en-US" w:eastAsia="zh-CN"/>
        </w:rPr>
        <w:t xml:space="preserve">3.7.4 </w:t>
      </w:r>
      <w:r>
        <w:rPr>
          <w:rFonts w:hint="eastAsia" w:ascii="宋体" w:hAnsi="宋体" w:eastAsia="宋体" w:cs="宋体"/>
          <w:color w:val="auto"/>
          <w:spacing w:val="-3"/>
          <w:sz w:val="24"/>
          <w:highlight w:val="none"/>
        </w:rPr>
        <w:t>凡超出招标文件规定的或给发包人带来未曾要求的利益的变化、偏差或其他因素在评标时不予考虑。</w:t>
      </w:r>
    </w:p>
    <w:p>
      <w:pPr>
        <w:pStyle w:val="26"/>
        <w:keepNext w:val="0"/>
        <w:keepLines w:val="0"/>
        <w:pageBreakBefore w:val="0"/>
        <w:widowControl w:val="0"/>
        <w:numPr>
          <w:ilvl w:val="0"/>
          <w:numId w:val="0"/>
        </w:numPr>
        <w:tabs>
          <w:tab w:val="left" w:pos="905"/>
        </w:tabs>
        <w:kinsoku/>
        <w:wordWrap/>
        <w:overflowPunct/>
        <w:topLinePunct w:val="0"/>
        <w:autoSpaceDE w:val="0"/>
        <w:autoSpaceDN w:val="0"/>
        <w:bidi w:val="0"/>
        <w:adjustRightInd w:val="0"/>
        <w:snapToGrid w:val="0"/>
        <w:spacing w:line="336" w:lineRule="auto"/>
        <w:ind w:right="0" w:rightChars="0" w:firstLine="482" w:firstLineChars="200"/>
        <w:jc w:val="both"/>
        <w:textAlignment w:val="auto"/>
        <w:outlineLvl w:val="3"/>
        <w:rPr>
          <w:rFonts w:hint="eastAsia" w:ascii="宋体" w:hAnsi="宋体" w:eastAsia="宋体" w:cs="宋体"/>
          <w:b/>
          <w:bCs/>
          <w:color w:val="auto"/>
          <w:sz w:val="24"/>
          <w:highlight w:val="none"/>
        </w:rPr>
      </w:pPr>
      <w:bookmarkStart w:id="36" w:name="_bookmark106"/>
      <w:bookmarkEnd w:id="36"/>
      <w:bookmarkStart w:id="37" w:name="_Toc6190"/>
      <w:bookmarkStart w:id="38" w:name="_Toc28916"/>
      <w:r>
        <w:rPr>
          <w:rFonts w:hint="eastAsia" w:eastAsia="宋体" w:cs="宋体"/>
          <w:b/>
          <w:bCs/>
          <w:color w:val="auto"/>
          <w:sz w:val="24"/>
          <w:highlight w:val="none"/>
          <w:lang w:val="en-US" w:eastAsia="zh-CN"/>
        </w:rPr>
        <w:t xml:space="preserve">3.8 </w:t>
      </w:r>
      <w:r>
        <w:rPr>
          <w:rFonts w:hint="eastAsia" w:ascii="宋体" w:hAnsi="宋体" w:eastAsia="宋体" w:cs="宋体"/>
          <w:b/>
          <w:bCs/>
          <w:color w:val="auto"/>
          <w:sz w:val="24"/>
          <w:highlight w:val="none"/>
        </w:rPr>
        <w:t>不得否决投标的情形</w:t>
      </w:r>
      <w:bookmarkEnd w:id="37"/>
      <w:bookmarkEnd w:id="38"/>
    </w:p>
    <w:p>
      <w:pPr>
        <w:pStyle w:val="5"/>
        <w:keepNext w:val="0"/>
        <w:keepLines w:val="0"/>
        <w:pageBreakBefore w:val="0"/>
        <w:widowControl w:val="0"/>
        <w:kinsoku/>
        <w:wordWrap/>
        <w:overflowPunct/>
        <w:topLinePunct w:val="0"/>
        <w:autoSpaceDE w:val="0"/>
        <w:autoSpaceDN w:val="0"/>
        <w:bidi w:val="0"/>
        <w:adjustRightInd w:val="0"/>
        <w:snapToGrid w:val="0"/>
        <w:spacing w:line="336"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投标文件存在第二章“投标人须知”第 1.12.3 项所列情形的，均视为细微偏差，评标委员会不得否决投标人的投标，应按照第二章“投标人须知”第 1.12.4 项规定的原则处理。</w:t>
      </w:r>
    </w:p>
    <w:p>
      <w:pPr>
        <w:pStyle w:val="26"/>
        <w:keepNext w:val="0"/>
        <w:keepLines w:val="0"/>
        <w:pageBreakBefore w:val="0"/>
        <w:widowControl w:val="0"/>
        <w:numPr>
          <w:ilvl w:val="0"/>
          <w:numId w:val="0"/>
        </w:numPr>
        <w:tabs>
          <w:tab w:val="left" w:pos="905"/>
        </w:tabs>
        <w:kinsoku/>
        <w:wordWrap/>
        <w:overflowPunct/>
        <w:topLinePunct w:val="0"/>
        <w:autoSpaceDE w:val="0"/>
        <w:autoSpaceDN w:val="0"/>
        <w:bidi w:val="0"/>
        <w:adjustRightInd w:val="0"/>
        <w:snapToGrid w:val="0"/>
        <w:spacing w:line="336" w:lineRule="auto"/>
        <w:ind w:right="0" w:rightChars="0" w:firstLine="482" w:firstLineChars="200"/>
        <w:jc w:val="both"/>
        <w:textAlignment w:val="auto"/>
        <w:outlineLvl w:val="3"/>
        <w:rPr>
          <w:rFonts w:hint="eastAsia" w:ascii="宋体" w:hAnsi="宋体" w:eastAsia="宋体" w:cs="宋体"/>
          <w:b/>
          <w:bCs/>
          <w:color w:val="auto"/>
          <w:sz w:val="24"/>
          <w:highlight w:val="none"/>
        </w:rPr>
      </w:pPr>
      <w:bookmarkStart w:id="39" w:name="_bookmark107"/>
      <w:bookmarkEnd w:id="39"/>
      <w:bookmarkStart w:id="40" w:name="_Toc22646"/>
      <w:bookmarkStart w:id="41" w:name="_Toc9689"/>
      <w:r>
        <w:rPr>
          <w:rFonts w:hint="eastAsia" w:eastAsia="宋体" w:cs="宋体"/>
          <w:b/>
          <w:bCs/>
          <w:color w:val="auto"/>
          <w:sz w:val="24"/>
          <w:highlight w:val="none"/>
          <w:lang w:val="en-US" w:eastAsia="zh-CN"/>
        </w:rPr>
        <w:t xml:space="preserve">3.9 </w:t>
      </w:r>
      <w:r>
        <w:rPr>
          <w:rFonts w:hint="eastAsia" w:ascii="宋体" w:hAnsi="宋体" w:eastAsia="宋体" w:cs="宋体"/>
          <w:b/>
          <w:bCs/>
          <w:color w:val="auto"/>
          <w:sz w:val="24"/>
          <w:highlight w:val="none"/>
        </w:rPr>
        <w:t>评标结果</w:t>
      </w:r>
      <w:bookmarkEnd w:id="40"/>
      <w:bookmarkEnd w:id="41"/>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80" w:firstLineChars="200"/>
        <w:jc w:val="both"/>
        <w:textAlignment w:val="auto"/>
        <w:rPr>
          <w:rFonts w:hint="eastAsia" w:ascii="宋体" w:hAnsi="宋体" w:eastAsia="宋体" w:cs="宋体"/>
          <w:color w:val="auto"/>
          <w:sz w:val="24"/>
          <w:highlight w:val="none"/>
        </w:rPr>
      </w:pPr>
      <w:r>
        <w:rPr>
          <w:rFonts w:hint="eastAsia" w:eastAsia="宋体" w:cs="宋体"/>
          <w:color w:val="auto"/>
          <w:sz w:val="24"/>
          <w:highlight w:val="none"/>
          <w:lang w:val="en-US" w:eastAsia="zh-CN"/>
        </w:rPr>
        <w:t xml:space="preserve">3.9.1 </w:t>
      </w:r>
      <w:r>
        <w:rPr>
          <w:rFonts w:hint="eastAsia" w:ascii="宋体" w:hAnsi="宋体" w:eastAsia="宋体" w:cs="宋体"/>
          <w:color w:val="auto"/>
          <w:sz w:val="24"/>
          <w:highlight w:val="none"/>
          <w:lang w:val="en-US"/>
        </w:rPr>
        <w:t>除第二章“投标人须知”前附表授权直接确定中标人外，评标委员会按照得分由高到低的顺序推荐中标候选人，并标明排序。</w:t>
      </w:r>
    </w:p>
    <w:p>
      <w:pPr>
        <w:pStyle w:val="26"/>
        <w:keepNext w:val="0"/>
        <w:keepLines w:val="0"/>
        <w:pageBreakBefore w:val="0"/>
        <w:widowControl w:val="0"/>
        <w:numPr>
          <w:ilvl w:val="0"/>
          <w:numId w:val="0"/>
        </w:numPr>
        <w:tabs>
          <w:tab w:val="left" w:pos="1505"/>
        </w:tabs>
        <w:kinsoku/>
        <w:wordWrap/>
        <w:overflowPunct/>
        <w:topLinePunct w:val="0"/>
        <w:autoSpaceDE w:val="0"/>
        <w:autoSpaceDN w:val="0"/>
        <w:bidi w:val="0"/>
        <w:adjustRightInd w:val="0"/>
        <w:snapToGrid w:val="0"/>
        <w:spacing w:line="336" w:lineRule="auto"/>
        <w:ind w:left="0" w:leftChars="0" w:right="0" w:rightChars="0" w:firstLine="480" w:firstLineChars="200"/>
        <w:jc w:val="both"/>
        <w:textAlignment w:val="auto"/>
        <w:rPr>
          <w:rFonts w:hint="eastAsia" w:ascii="宋体" w:hAnsi="宋体" w:eastAsia="宋体" w:cs="宋体"/>
          <w:color w:val="auto"/>
          <w:sz w:val="24"/>
          <w:highlight w:val="none"/>
        </w:rPr>
      </w:pPr>
      <w:r>
        <w:rPr>
          <w:rFonts w:hint="eastAsia" w:eastAsia="宋体" w:cs="宋体"/>
          <w:color w:val="auto"/>
          <w:sz w:val="24"/>
          <w:highlight w:val="none"/>
          <w:lang w:val="en-US" w:eastAsia="zh-CN"/>
        </w:rPr>
        <w:t xml:space="preserve">3.9.2 </w:t>
      </w:r>
      <w:r>
        <w:rPr>
          <w:rFonts w:hint="eastAsia" w:ascii="宋体" w:hAnsi="宋体" w:eastAsia="宋体" w:cs="宋体"/>
          <w:color w:val="auto"/>
          <w:sz w:val="24"/>
          <w:highlight w:val="none"/>
        </w:rPr>
        <w:t>评标委员会完成评标后，应向招标人提交书面评标报告。</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default" w:ascii="宋体" w:hAnsi="宋体" w:eastAsia="宋体" w:cs="宋体"/>
          <w:color w:val="333333"/>
          <w:sz w:val="24"/>
          <w:szCs w:val="24"/>
          <w:highlight w:val="none"/>
          <w:lang w:val="en-US" w:eastAsia="zh-CN"/>
        </w:rPr>
      </w:pPr>
    </w:p>
    <w:sectPr>
      <w:footerReference r:id="rId3" w:type="default"/>
      <w:pgSz w:w="11906" w:h="16838"/>
      <w:pgMar w:top="1134" w:right="1080" w:bottom="1134" w:left="108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61</w:t>
    </w:r>
    <w:r>
      <w:fldChar w:fldCharType="end"/>
    </w:r>
  </w:p>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A91CB"/>
    <w:multiLevelType w:val="singleLevel"/>
    <w:tmpl w:val="8C7A91CB"/>
    <w:lvl w:ilvl="0" w:tentative="0">
      <w:start w:val="1"/>
      <w:numFmt w:val="decimal"/>
      <w:suff w:val="space"/>
      <w:lvlText w:val="%1."/>
      <w:lvlJc w:val="left"/>
    </w:lvl>
  </w:abstractNum>
  <w:abstractNum w:abstractNumId="1">
    <w:nsid w:val="2036A8B1"/>
    <w:multiLevelType w:val="singleLevel"/>
    <w:tmpl w:val="2036A8B1"/>
    <w:lvl w:ilvl="0" w:tentative="0">
      <w:start w:val="1"/>
      <w:numFmt w:val="decimal"/>
      <w:suff w:val="nothing"/>
      <w:lvlText w:val="（%1）"/>
      <w:lvlJc w:val="left"/>
    </w:lvl>
  </w:abstractNum>
  <w:abstractNum w:abstractNumId="2">
    <w:nsid w:val="6C785E14"/>
    <w:multiLevelType w:val="singleLevel"/>
    <w:tmpl w:val="6C785E14"/>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YjMwMjI2NWE4YzgwOGNlZjJhNGU3Y2ZmZmNjYTcifQ=="/>
  </w:docVars>
  <w:rsids>
    <w:rsidRoot w:val="7A6A0CB7"/>
    <w:rsid w:val="00B26204"/>
    <w:rsid w:val="0EC82EBB"/>
    <w:rsid w:val="115002E9"/>
    <w:rsid w:val="12F046F7"/>
    <w:rsid w:val="17ED47B4"/>
    <w:rsid w:val="25325DEC"/>
    <w:rsid w:val="26617302"/>
    <w:rsid w:val="3A3C08C0"/>
    <w:rsid w:val="478438E2"/>
    <w:rsid w:val="5BED51BE"/>
    <w:rsid w:val="6CDF053F"/>
    <w:rsid w:val="7A6A0C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9"/>
    <w:pPr>
      <w:keepNext/>
      <w:keepLines/>
      <w:spacing w:before="260" w:after="260" w:line="416" w:lineRule="auto"/>
      <w:outlineLvl w:val="2"/>
    </w:pPr>
    <w:rPr>
      <w:b/>
      <w:bCs/>
      <w:kern w:val="0"/>
      <w:sz w:val="32"/>
      <w:szCs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ody Text"/>
    <w:basedOn w:val="1"/>
    <w:qFormat/>
    <w:uiPriority w:val="0"/>
    <w:rPr>
      <w:sz w:val="24"/>
      <w:szCs w:val="24"/>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style>
  <w:style w:type="character" w:styleId="11">
    <w:name w:val="FollowedHyperlink"/>
    <w:basedOn w:val="9"/>
    <w:uiPriority w:val="0"/>
    <w:rPr>
      <w:color w:val="800080"/>
      <w:u w:val="none"/>
    </w:rPr>
  </w:style>
  <w:style w:type="character" w:styleId="12">
    <w:name w:val="Emphasis"/>
    <w:basedOn w:val="9"/>
    <w:qFormat/>
    <w:uiPriority w:val="0"/>
  </w:style>
  <w:style w:type="character" w:styleId="13">
    <w:name w:val="HTML Definition"/>
    <w:basedOn w:val="9"/>
    <w:uiPriority w:val="0"/>
  </w:style>
  <w:style w:type="character" w:styleId="14">
    <w:name w:val="HTML Typewriter"/>
    <w:basedOn w:val="9"/>
    <w:uiPriority w:val="0"/>
    <w:rPr>
      <w:rFonts w:hint="default" w:ascii="monospace" w:hAnsi="monospace" w:eastAsia="monospace" w:cs="monospace"/>
      <w:sz w:val="20"/>
    </w:rPr>
  </w:style>
  <w:style w:type="character" w:styleId="15">
    <w:name w:val="HTML Acronym"/>
    <w:basedOn w:val="9"/>
    <w:uiPriority w:val="0"/>
  </w:style>
  <w:style w:type="character" w:styleId="16">
    <w:name w:val="HTML Variable"/>
    <w:basedOn w:val="9"/>
    <w:uiPriority w:val="0"/>
  </w:style>
  <w:style w:type="character" w:styleId="17">
    <w:name w:val="Hyperlink"/>
    <w:basedOn w:val="9"/>
    <w:uiPriority w:val="0"/>
    <w:rPr>
      <w:color w:val="0000FF"/>
      <w:u w:val="none"/>
    </w:rPr>
  </w:style>
  <w:style w:type="character" w:styleId="18">
    <w:name w:val="HTML Code"/>
    <w:basedOn w:val="9"/>
    <w:uiPriority w:val="0"/>
    <w:rPr>
      <w:rFonts w:hint="default" w:ascii="monospace" w:hAnsi="monospace" w:eastAsia="monospace" w:cs="monospace"/>
      <w:sz w:val="20"/>
    </w:rPr>
  </w:style>
  <w:style w:type="character" w:styleId="19">
    <w:name w:val="HTML Cite"/>
    <w:basedOn w:val="9"/>
    <w:uiPriority w:val="0"/>
  </w:style>
  <w:style w:type="character" w:styleId="20">
    <w:name w:val="HTML Keyboard"/>
    <w:basedOn w:val="9"/>
    <w:uiPriority w:val="0"/>
    <w:rPr>
      <w:rFonts w:ascii="monospace" w:hAnsi="monospace" w:eastAsia="monospace" w:cs="monospace"/>
      <w:sz w:val="20"/>
    </w:rPr>
  </w:style>
  <w:style w:type="character" w:styleId="21">
    <w:name w:val="HTML Sample"/>
    <w:basedOn w:val="9"/>
    <w:uiPriority w:val="0"/>
    <w:rPr>
      <w:rFonts w:hint="default" w:ascii="monospace" w:hAnsi="monospace" w:eastAsia="monospace" w:cs="monospace"/>
    </w:rPr>
  </w:style>
  <w:style w:type="character" w:customStyle="1" w:styleId="22">
    <w:name w:val="first-child"/>
    <w:basedOn w:val="9"/>
    <w:uiPriority w:val="0"/>
  </w:style>
  <w:style w:type="character" w:customStyle="1" w:styleId="23">
    <w:name w:val="layui-layer-tabnow"/>
    <w:basedOn w:val="9"/>
    <w:uiPriority w:val="0"/>
    <w:rPr>
      <w:bdr w:val="single" w:color="CCCCCC" w:sz="6" w:space="0"/>
      <w:shd w:val="clear" w:color="auto" w:fill="FFFFFF"/>
    </w:rPr>
  </w:style>
  <w:style w:type="paragraph" w:customStyle="1" w:styleId="24">
    <w:name w:val="Table Paragraph"/>
    <w:basedOn w:val="1"/>
    <w:qFormat/>
    <w:uiPriority w:val="99"/>
    <w:pPr>
      <w:widowControl w:val="0"/>
    </w:pPr>
    <w:rPr>
      <w:rFonts w:ascii="Times New Roman" w:hAnsi="Times New Roman" w:cs="Times New Roman"/>
      <w:sz w:val="22"/>
      <w:szCs w:val="22"/>
      <w:lang w:eastAsia="en-US"/>
    </w:rPr>
  </w:style>
  <w:style w:type="paragraph" w:customStyle="1" w:styleId="25">
    <w:name w:val="Normal_9"/>
    <w:qFormat/>
    <w:uiPriority w:val="0"/>
    <w:rPr>
      <w:rFonts w:ascii="Times New Roman" w:hAnsi="Times New Roman" w:eastAsia="Times New Roman" w:cs="Times New Roman"/>
      <w:sz w:val="24"/>
      <w:szCs w:val="24"/>
      <w:lang w:val="en-US" w:eastAsia="zh-CN" w:bidi="ar-SA"/>
    </w:rPr>
  </w:style>
  <w:style w:type="paragraph" w:customStyle="1" w:styleId="26">
    <w:name w:val="列出段落"/>
    <w:basedOn w:val="1"/>
    <w:qFormat/>
    <w:uiPriority w:val="1"/>
    <w:pPr>
      <w:ind w:left="424" w:firstLine="4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4832</Words>
  <Characters>5278</Characters>
  <Lines>0</Lines>
  <Paragraphs>0</Paragraphs>
  <TotalTime>3</TotalTime>
  <ScaleCrop>false</ScaleCrop>
  <LinksUpToDate>false</LinksUpToDate>
  <CharactersWithSpaces>5426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2020-05-28T08:52:00Z</dcterms:created>
  <dc:creator>Administrator</dc:creator>
  <cp:lastModifiedBy>Administrator</cp:lastModifiedBy>
  <cp:lastPrinted>2022-06-16T04:46:13Z</cp:lastPrinted>
  <dcterms:modified xsi:type="dcterms:W3CDTF">2022-06-17T09:39:58Z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797C47AD74384AD7A72A70AFFBDA14F4</vt:lpwstr>
  </property>
</Properties>
</file>