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hint="eastAsia" w:ascii="宋体" w:hAnsi="宋体" w:eastAsia="宋体" w:cs="宋体"/>
          <w:sz w:val="38"/>
          <w:szCs w:val="38"/>
          <w:highlight w:val="none"/>
        </w:rPr>
      </w:pPr>
      <w:r>
        <w:rPr>
          <w:rFonts w:hint="eastAsia" w:ascii="宋体" w:hAnsi="宋体" w:eastAsia="宋体" w:cs="宋体"/>
          <w:sz w:val="38"/>
          <w:szCs w:val="38"/>
          <w:highlight w:val="none"/>
        </w:rPr>
        <w:t>赣州南收费站及周边环境提升改造工程</w:t>
      </w:r>
    </w:p>
    <w:p>
      <w:pPr>
        <w:adjustRightInd w:val="0"/>
        <w:snapToGrid w:val="0"/>
        <w:spacing w:line="360" w:lineRule="auto"/>
        <w:ind w:firstLine="0" w:firstLineChars="0"/>
        <w:jc w:val="center"/>
        <w:rPr>
          <w:rFonts w:hint="eastAsia" w:ascii="宋体" w:hAnsi="宋体" w:eastAsia="宋体" w:cs="宋体"/>
          <w:sz w:val="38"/>
          <w:szCs w:val="38"/>
          <w:highlight w:val="none"/>
          <w:lang w:eastAsia="zh-CN"/>
        </w:rPr>
      </w:pPr>
      <w:r>
        <w:rPr>
          <w:rFonts w:hint="eastAsia" w:ascii="宋体" w:hAnsi="宋体" w:eastAsia="宋体" w:cs="宋体"/>
          <w:sz w:val="38"/>
          <w:szCs w:val="38"/>
          <w:highlight w:val="none"/>
        </w:rPr>
        <w:t>（连接线工程）施工招标</w:t>
      </w:r>
      <w:r>
        <w:rPr>
          <w:rFonts w:hint="eastAsia" w:ascii="宋体" w:hAnsi="宋体" w:eastAsia="宋体" w:cs="宋体"/>
          <w:sz w:val="38"/>
          <w:szCs w:val="38"/>
          <w:highlight w:val="none"/>
          <w:lang w:eastAsia="zh-CN"/>
        </w:rPr>
        <w:t>关键内容公开</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根据《公路工程建设项目招标投标管理办法》的规定，现对</w:t>
      </w:r>
      <w:r>
        <w:rPr>
          <w:rFonts w:hint="eastAsia" w:ascii="宋体" w:hAnsi="宋体" w:cs="宋体"/>
          <w:color w:val="auto"/>
          <w:sz w:val="24"/>
          <w:szCs w:val="24"/>
          <w:highlight w:val="none"/>
          <w:lang w:eastAsia="zh-CN"/>
        </w:rPr>
        <w:t>赣州南收费站及周边环境提升改造工程（连接线工程）施工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文件中的关键内容进行公开：</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一、项目概况</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赣州南收费站及周边环境提升改造工程（连接线工程）施工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二、投标人资格要求</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eastAsia="zh-CN"/>
        </w:rPr>
        <w:t>赣州南收费站及周边环境提升改造工程（连接线工程）施工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三、评标办法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本次招标采用</w:t>
      </w:r>
      <w:r>
        <w:rPr>
          <w:rFonts w:hint="eastAsia" w:ascii="宋体" w:hAnsi="宋体" w:cs="宋体"/>
          <w:color w:val="auto"/>
          <w:sz w:val="24"/>
          <w:szCs w:val="24"/>
          <w:highlight w:val="none"/>
          <w:lang w:val="en-US" w:eastAsia="zh-CN"/>
        </w:rPr>
        <w:t>合理低价</w:t>
      </w:r>
      <w:r>
        <w:rPr>
          <w:rFonts w:hint="eastAsia" w:ascii="宋体" w:hAnsi="宋体" w:eastAsia="宋体" w:cs="宋体"/>
          <w:color w:val="auto"/>
          <w:sz w:val="24"/>
          <w:szCs w:val="24"/>
          <w:highlight w:val="none"/>
          <w:lang w:val="en-US" w:eastAsia="zh-CN"/>
        </w:rPr>
        <w:t>法</w:t>
      </w:r>
      <w:r>
        <w:rPr>
          <w:rFonts w:hint="eastAsia" w:ascii="宋体" w:hAnsi="宋体" w:eastAsia="宋体" w:cs="宋体"/>
          <w:color w:val="auto"/>
          <w:sz w:val="24"/>
          <w:szCs w:val="24"/>
          <w:highlight w:val="none"/>
        </w:rPr>
        <w:t>（详见附件）。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四、联系方式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   标   人：</w:t>
      </w:r>
      <w:r>
        <w:rPr>
          <w:rFonts w:hint="eastAsia" w:ascii="宋体" w:hAnsi="宋体"/>
          <w:color w:val="auto"/>
          <w:spacing w:val="0"/>
          <w:sz w:val="24"/>
          <w:highlight w:val="none"/>
          <w:lang w:eastAsia="zh-CN"/>
        </w:rPr>
        <w:t>赣州交通控股集团有限公司</w:t>
      </w:r>
      <w:r>
        <w:rPr>
          <w:rFonts w:hint="eastAsia" w:ascii="宋体" w:hAnsi="宋体" w:eastAsia="宋体" w:cs="宋体"/>
          <w:color w:val="auto"/>
          <w:sz w:val="24"/>
          <w:szCs w:val="24"/>
          <w:highlight w:val="none"/>
          <w:lang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        址：江西省赣州市章贡区沙河镇赣州绕城高速赣州东出口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人：温女士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话：0797-8289692</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招标代理机构：江西省赣南公路勘察设计院</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址：赣州市章江新区赞贤路36号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人：赖工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话：0797-8088235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电子邮件：</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"mailto:gnglkcsjy@163.com" </w:instrText>
      </w:r>
      <w:r>
        <w:rPr>
          <w:rFonts w:hint="eastAsia" w:ascii="宋体" w:hAnsi="宋体" w:eastAsia="宋体" w:cs="宋体"/>
          <w:color w:val="auto"/>
          <w:sz w:val="24"/>
          <w:szCs w:val="24"/>
          <w:highlight w:val="none"/>
          <w:lang w:eastAsia="zh-CN"/>
        </w:rPr>
        <w:fldChar w:fldCharType="separate"/>
      </w:r>
      <w:r>
        <w:rPr>
          <w:rStyle w:val="9"/>
          <w:rFonts w:hint="eastAsia" w:ascii="宋体" w:hAnsi="宋体" w:eastAsia="宋体" w:cs="宋体"/>
          <w:sz w:val="24"/>
          <w:szCs w:val="24"/>
          <w:highlight w:val="none"/>
          <w:lang w:eastAsia="zh-CN"/>
        </w:rPr>
        <w:t>gnglkcsjy@163.com</w:t>
      </w:r>
      <w:r>
        <w:rPr>
          <w:rFonts w:hint="eastAsia" w:ascii="宋体" w:hAnsi="宋体" w:eastAsia="宋体" w:cs="宋体"/>
          <w:color w:val="auto"/>
          <w:sz w:val="24"/>
          <w:szCs w:val="24"/>
          <w:highlight w:val="none"/>
          <w:lang w:eastAsia="zh-CN"/>
        </w:rPr>
        <w:fldChar w:fldCharType="end"/>
      </w:r>
    </w:p>
    <w:p>
      <w:pPr>
        <w:pStyle w:val="4"/>
        <w:spacing w:beforeLines="0" w:afterLines="0"/>
        <w:jc w:val="left"/>
        <w:rPr>
          <w:rFonts w:hint="eastAsia" w:ascii="宋体" w:hAnsi="宋体" w:eastAsia="宋体" w:cs="宋体"/>
          <w:szCs w:val="28"/>
          <w:highlight w:val="none"/>
          <w:lang w:val="en-US" w:eastAsia="zh-CN"/>
        </w:rPr>
        <w:sectPr>
          <w:pgSz w:w="11907" w:h="16840"/>
          <w:pgMar w:top="1418" w:right="1418" w:bottom="1418" w:left="1588" w:header="851" w:footer="992" w:gutter="0"/>
          <w:cols w:space="720" w:num="1"/>
          <w:docGrid w:linePitch="360" w:charSpace="0"/>
        </w:sect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bookmarkStart w:id="0" w:name="_Toc9094"/>
      <w:r>
        <w:rPr>
          <w:rFonts w:hint="eastAsia" w:ascii="宋体" w:hAnsi="宋体" w:eastAsia="宋体" w:cs="宋体"/>
          <w:b/>
          <w:bCs/>
          <w:color w:val="auto"/>
          <w:sz w:val="24"/>
          <w:szCs w:val="24"/>
          <w:highlight w:val="none"/>
          <w:lang w:val="en-US" w:eastAsia="zh-CN"/>
        </w:rPr>
        <w:t>评标办法</w:t>
      </w:r>
    </w:p>
    <w:bookmarkEnd w:id="0"/>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01"/>
        <w:gridCol w:w="832"/>
        <w:gridCol w:w="78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jc w:val="center"/>
        </w:trPr>
        <w:tc>
          <w:tcPr>
            <w:tcW w:w="1433" w:type="dxa"/>
            <w:gridSpan w:val="2"/>
            <w:tcBorders>
              <w:bottom w:val="single" w:color="000000" w:sz="4" w:space="0"/>
              <w:right w:val="single" w:color="000000" w:sz="4" w:space="0"/>
            </w:tcBorders>
            <w:noWrap w:val="0"/>
            <w:vAlign w:val="top"/>
          </w:tcPr>
          <w:p>
            <w:pPr>
              <w:pStyle w:val="10"/>
              <w:spacing w:before="130" w:line="250" w:lineRule="exact"/>
              <w:rPr>
                <w:b/>
                <w:sz w:val="21"/>
                <w:highlight w:val="none"/>
              </w:rPr>
            </w:pPr>
            <w:r>
              <w:rPr>
                <w:b/>
                <w:sz w:val="21"/>
                <w:highlight w:val="none"/>
              </w:rPr>
              <w:t>条款号</w:t>
            </w:r>
          </w:p>
        </w:tc>
        <w:tc>
          <w:tcPr>
            <w:tcW w:w="7846" w:type="dxa"/>
            <w:tcBorders>
              <w:left w:val="single" w:color="000000" w:sz="4" w:space="0"/>
              <w:bottom w:val="single" w:color="000000" w:sz="4" w:space="0"/>
            </w:tcBorders>
            <w:noWrap w:val="0"/>
            <w:vAlign w:val="top"/>
          </w:tcPr>
          <w:p>
            <w:pPr>
              <w:pStyle w:val="10"/>
              <w:tabs>
                <w:tab w:val="left" w:pos="1097"/>
              </w:tabs>
              <w:spacing w:before="130" w:line="250" w:lineRule="exact"/>
              <w:ind w:left="43"/>
              <w:jc w:val="center"/>
              <w:rPr>
                <w:b/>
                <w:sz w:val="21"/>
                <w:highlight w:val="none"/>
              </w:rPr>
            </w:pPr>
            <w:r>
              <w:rPr>
                <w:b/>
                <w:sz w:val="21"/>
                <w:highlight w:val="none"/>
              </w:rPr>
              <w:t>内</w:t>
            </w:r>
            <w:r>
              <w:rPr>
                <w:b/>
                <w:sz w:val="21"/>
                <w:highlight w:val="none"/>
              </w:rPr>
              <w:tab/>
            </w:r>
            <w:r>
              <w:rPr>
                <w:b/>
                <w:sz w:val="21"/>
                <w:highlight w:val="none"/>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3" w:hRule="atLeast"/>
          <w:jc w:val="center"/>
        </w:trPr>
        <w:tc>
          <w:tcPr>
            <w:tcW w:w="601" w:type="dxa"/>
            <w:tcBorders>
              <w:top w:val="single" w:color="000000" w:sz="4" w:space="0"/>
              <w:right w:val="single" w:color="000000" w:sz="4" w:space="0"/>
            </w:tcBorders>
            <w:noWrap w:val="0"/>
            <w:vAlign w:val="top"/>
          </w:tcPr>
          <w:p>
            <w:pPr>
              <w:pStyle w:val="10"/>
              <w:rPr>
                <w:b/>
                <w:sz w:val="20"/>
                <w:highlight w:val="none"/>
              </w:rPr>
            </w:pPr>
          </w:p>
          <w:p>
            <w:pPr>
              <w:pStyle w:val="10"/>
              <w:rPr>
                <w:b/>
                <w:sz w:val="20"/>
                <w:highlight w:val="none"/>
              </w:rPr>
            </w:pPr>
          </w:p>
          <w:p>
            <w:pPr>
              <w:pStyle w:val="10"/>
              <w:spacing w:before="9"/>
              <w:rPr>
                <w:b/>
                <w:sz w:val="21"/>
                <w:highlight w:val="none"/>
              </w:rPr>
            </w:pPr>
          </w:p>
          <w:p>
            <w:pPr>
              <w:pStyle w:val="10"/>
              <w:ind w:left="249"/>
              <w:rPr>
                <w:sz w:val="21"/>
                <w:highlight w:val="none"/>
              </w:rPr>
            </w:pPr>
            <w:r>
              <w:rPr>
                <w:sz w:val="21"/>
                <w:highlight w:val="none"/>
              </w:rPr>
              <w:t xml:space="preserve">1 </w:t>
            </w:r>
          </w:p>
        </w:tc>
        <w:tc>
          <w:tcPr>
            <w:tcW w:w="832" w:type="dxa"/>
            <w:tcBorders>
              <w:top w:val="single" w:color="000000" w:sz="4" w:space="0"/>
              <w:left w:val="single" w:color="000000" w:sz="4" w:space="0"/>
              <w:right w:val="single" w:color="000000" w:sz="4" w:space="0"/>
            </w:tcBorders>
            <w:noWrap w:val="0"/>
            <w:vAlign w:val="top"/>
          </w:tcPr>
          <w:p>
            <w:pPr>
              <w:pStyle w:val="10"/>
              <w:spacing w:before="11"/>
              <w:rPr>
                <w:b/>
                <w:sz w:val="14"/>
                <w:highlight w:val="none"/>
              </w:rPr>
            </w:pPr>
          </w:p>
          <w:p>
            <w:pPr>
              <w:pStyle w:val="10"/>
              <w:spacing w:before="11"/>
              <w:jc w:val="center"/>
              <w:rPr>
                <w:b/>
                <w:sz w:val="14"/>
                <w:highlight w:val="none"/>
              </w:rPr>
            </w:pPr>
          </w:p>
          <w:p>
            <w:pPr>
              <w:pStyle w:val="10"/>
              <w:spacing w:line="357" w:lineRule="auto"/>
              <w:ind w:left="0" w:leftChars="0" w:right="185" w:firstLine="0" w:firstLineChars="0"/>
              <w:jc w:val="center"/>
              <w:rPr>
                <w:sz w:val="21"/>
                <w:highlight w:val="none"/>
              </w:rPr>
            </w:pPr>
            <w:r>
              <w:rPr>
                <w:sz w:val="21"/>
                <w:highlight w:val="none"/>
              </w:rPr>
              <w:t>评</w:t>
            </w:r>
          </w:p>
          <w:p>
            <w:pPr>
              <w:pStyle w:val="10"/>
              <w:spacing w:line="357" w:lineRule="auto"/>
              <w:ind w:left="0" w:leftChars="0" w:right="185" w:firstLine="0" w:firstLineChars="0"/>
              <w:jc w:val="center"/>
              <w:rPr>
                <w:sz w:val="21"/>
                <w:highlight w:val="none"/>
              </w:rPr>
            </w:pPr>
            <w:r>
              <w:rPr>
                <w:sz w:val="21"/>
                <w:highlight w:val="none"/>
              </w:rPr>
              <w:t>标</w:t>
            </w:r>
          </w:p>
          <w:p>
            <w:pPr>
              <w:pStyle w:val="10"/>
              <w:spacing w:line="357" w:lineRule="auto"/>
              <w:ind w:left="0" w:leftChars="0" w:right="185" w:firstLine="0" w:firstLineChars="0"/>
              <w:jc w:val="center"/>
              <w:rPr>
                <w:sz w:val="21"/>
                <w:highlight w:val="none"/>
              </w:rPr>
            </w:pPr>
            <w:r>
              <w:rPr>
                <w:sz w:val="21"/>
                <w:highlight w:val="none"/>
              </w:rPr>
              <w:t>办</w:t>
            </w:r>
          </w:p>
          <w:p>
            <w:pPr>
              <w:pStyle w:val="10"/>
              <w:spacing w:line="357" w:lineRule="auto"/>
              <w:ind w:left="0" w:leftChars="0" w:right="185" w:firstLine="0" w:firstLineChars="0"/>
              <w:jc w:val="center"/>
              <w:rPr>
                <w:sz w:val="21"/>
                <w:highlight w:val="none"/>
              </w:rPr>
            </w:pPr>
            <w:r>
              <w:rPr>
                <w:sz w:val="21"/>
                <w:highlight w:val="none"/>
              </w:rPr>
              <w:t>法</w:t>
            </w:r>
          </w:p>
        </w:tc>
        <w:tc>
          <w:tcPr>
            <w:tcW w:w="7846" w:type="dxa"/>
            <w:tcBorders>
              <w:top w:val="single" w:color="000000" w:sz="4" w:space="0"/>
              <w:left w:val="single" w:color="000000" w:sz="4" w:space="0"/>
            </w:tcBorders>
            <w:noWrap w:val="0"/>
            <w:vAlign w:val="top"/>
          </w:tcPr>
          <w:p>
            <w:pPr>
              <w:pStyle w:val="10"/>
              <w:spacing w:before="3" w:line="360" w:lineRule="auto"/>
              <w:ind w:left="0" w:leftChars="0" w:right="-44" w:firstLine="0" w:firstLineChars="0"/>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综合评分相等时，评标委员会依次按照以下优先顺序推荐中标候选人或确定中标人：</w:t>
            </w:r>
          </w:p>
          <w:p>
            <w:pPr>
              <w:pStyle w:val="10"/>
              <w:keepNext w:val="0"/>
              <w:keepLines w:val="0"/>
              <w:pageBreakBefore w:val="0"/>
              <w:widowControl w:val="0"/>
              <w:numPr>
                <w:ilvl w:val="0"/>
                <w:numId w:val="0"/>
              </w:numPr>
              <w:tabs>
                <w:tab w:val="left" w:pos="647"/>
              </w:tabs>
              <w:kinsoku/>
              <w:wordWrap/>
              <w:overflowPunct/>
              <w:topLinePunct w:val="0"/>
              <w:autoSpaceDE/>
              <w:autoSpaceDN/>
              <w:bidi w:val="0"/>
              <w:adjustRightInd/>
              <w:snapToGrid/>
              <w:spacing w:line="360" w:lineRule="auto"/>
              <w:ind w:leftChars="200" w:right="70" w:rightChars="0"/>
              <w:jc w:val="left"/>
              <w:textAlignment w:val="auto"/>
              <w:rPr>
                <w:rFonts w:hint="eastAsia" w:ascii="宋体" w:hAnsi="宋体" w:eastAsia="宋体" w:cs="宋体"/>
                <w:sz w:val="21"/>
                <w:szCs w:val="21"/>
                <w:highlight w:val="none"/>
              </w:rPr>
            </w:pPr>
            <w:r>
              <w:rPr>
                <w:rFonts w:hint="eastAsia" w:cs="宋体"/>
                <w:spacing w:val="-3"/>
                <w:sz w:val="21"/>
                <w:szCs w:val="21"/>
                <w:highlight w:val="none"/>
                <w:lang w:eastAsia="zh-CN"/>
              </w:rPr>
              <w:t>（</w:t>
            </w:r>
            <w:r>
              <w:rPr>
                <w:rFonts w:hint="eastAsia" w:cs="宋体"/>
                <w:spacing w:val="-3"/>
                <w:sz w:val="21"/>
                <w:szCs w:val="21"/>
                <w:highlight w:val="none"/>
                <w:lang w:val="en-US" w:eastAsia="zh-CN"/>
              </w:rPr>
              <w:t>1</w:t>
            </w:r>
            <w:r>
              <w:rPr>
                <w:rFonts w:hint="eastAsia" w:cs="宋体"/>
                <w:spacing w:val="-3"/>
                <w:sz w:val="21"/>
                <w:szCs w:val="21"/>
                <w:highlight w:val="none"/>
                <w:lang w:eastAsia="zh-CN"/>
              </w:rPr>
              <w:t>）</w:t>
            </w:r>
            <w:r>
              <w:rPr>
                <w:rFonts w:hint="eastAsia" w:ascii="宋体" w:hAnsi="宋体" w:eastAsia="宋体" w:cs="宋体"/>
                <w:spacing w:val="-3"/>
                <w:sz w:val="21"/>
                <w:szCs w:val="21"/>
                <w:highlight w:val="none"/>
              </w:rPr>
              <w:t>投标报价低者优先；</w:t>
            </w:r>
          </w:p>
          <w:p>
            <w:pPr>
              <w:pStyle w:val="10"/>
              <w:keepNext w:val="0"/>
              <w:keepLines w:val="0"/>
              <w:pageBreakBefore w:val="0"/>
              <w:widowControl w:val="0"/>
              <w:numPr>
                <w:ilvl w:val="0"/>
                <w:numId w:val="0"/>
              </w:numPr>
              <w:tabs>
                <w:tab w:val="left" w:pos="647"/>
              </w:tabs>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1"/>
                <w:szCs w:val="21"/>
                <w:highlight w:val="none"/>
              </w:rPr>
            </w:pPr>
            <w:r>
              <w:rPr>
                <w:rFonts w:hint="eastAsia" w:cs="宋体"/>
                <w:spacing w:val="-3"/>
                <w:sz w:val="21"/>
                <w:szCs w:val="21"/>
                <w:highlight w:val="none"/>
                <w:lang w:eastAsia="zh-CN"/>
              </w:rPr>
              <w:t>（</w:t>
            </w:r>
            <w:r>
              <w:rPr>
                <w:rFonts w:hint="eastAsia" w:cs="宋体"/>
                <w:spacing w:val="-3"/>
                <w:sz w:val="21"/>
                <w:szCs w:val="21"/>
                <w:highlight w:val="none"/>
                <w:lang w:val="en-US" w:eastAsia="zh-CN"/>
              </w:rPr>
              <w:t>2</w:t>
            </w:r>
            <w:r>
              <w:rPr>
                <w:rFonts w:hint="eastAsia" w:cs="宋体"/>
                <w:spacing w:val="-3"/>
                <w:sz w:val="21"/>
                <w:szCs w:val="21"/>
                <w:highlight w:val="none"/>
                <w:lang w:eastAsia="zh-CN"/>
              </w:rPr>
              <w:t>）</w:t>
            </w:r>
            <w:r>
              <w:rPr>
                <w:rFonts w:hint="eastAsia" w:ascii="宋体" w:hAnsi="宋体" w:eastAsia="宋体" w:cs="宋体"/>
                <w:spacing w:val="-3"/>
                <w:sz w:val="21"/>
                <w:szCs w:val="21"/>
                <w:highlight w:val="none"/>
              </w:rPr>
              <w:t>资质等级高者优先；</w:t>
            </w:r>
          </w:p>
          <w:p>
            <w:pPr>
              <w:pStyle w:val="10"/>
              <w:keepNext w:val="0"/>
              <w:keepLines w:val="0"/>
              <w:pageBreakBefore w:val="0"/>
              <w:widowControl w:val="0"/>
              <w:numPr>
                <w:ilvl w:val="0"/>
                <w:numId w:val="0"/>
              </w:numPr>
              <w:tabs>
                <w:tab w:val="left" w:pos="647"/>
              </w:tabs>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1"/>
                <w:szCs w:val="21"/>
                <w:highlight w:val="none"/>
              </w:rPr>
            </w:pPr>
            <w:r>
              <w:rPr>
                <w:rFonts w:hint="eastAsia" w:cs="宋体"/>
                <w:spacing w:val="-3"/>
                <w:sz w:val="21"/>
                <w:szCs w:val="21"/>
                <w:highlight w:val="none"/>
                <w:lang w:eastAsia="zh-CN"/>
              </w:rPr>
              <w:t>（</w:t>
            </w:r>
            <w:r>
              <w:rPr>
                <w:rFonts w:hint="eastAsia" w:cs="宋体"/>
                <w:spacing w:val="-3"/>
                <w:sz w:val="21"/>
                <w:szCs w:val="21"/>
                <w:highlight w:val="none"/>
                <w:lang w:val="en-US" w:eastAsia="zh-CN"/>
              </w:rPr>
              <w:t>3</w:t>
            </w:r>
            <w:r>
              <w:rPr>
                <w:rFonts w:hint="eastAsia" w:cs="宋体"/>
                <w:spacing w:val="-3"/>
                <w:sz w:val="21"/>
                <w:szCs w:val="21"/>
                <w:highlight w:val="none"/>
                <w:lang w:eastAsia="zh-CN"/>
              </w:rPr>
              <w:t>）</w:t>
            </w:r>
            <w:r>
              <w:rPr>
                <w:rFonts w:hint="eastAsia" w:ascii="宋体" w:hAnsi="宋体" w:eastAsia="宋体" w:cs="宋体"/>
                <w:spacing w:val="-3"/>
                <w:sz w:val="21"/>
                <w:szCs w:val="21"/>
                <w:highlight w:val="none"/>
              </w:rPr>
              <w:t>注册资金高者优先；</w:t>
            </w:r>
          </w:p>
          <w:p>
            <w:pPr>
              <w:pStyle w:val="10"/>
              <w:spacing w:before="81" w:line="252" w:lineRule="exact"/>
              <w:rPr>
                <w:sz w:val="21"/>
                <w:highlight w:val="none"/>
              </w:rPr>
            </w:pPr>
          </w:p>
        </w:tc>
      </w:tr>
    </w:tbl>
    <w:p>
      <w:pPr>
        <w:pStyle w:val="5"/>
        <w:spacing w:before="1"/>
        <w:rPr>
          <w:rFonts w:ascii="Times New Roman"/>
          <w:sz w:val="11"/>
          <w:highlight w:val="none"/>
        </w:rPr>
      </w:pPr>
    </w:p>
    <w:tbl>
      <w:tblPr>
        <w:tblStyle w:val="7"/>
        <w:tblW w:w="0" w:type="auto"/>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511"/>
        <w:gridCol w:w="763"/>
        <w:gridCol w:w="1762"/>
        <w:gridCol w:w="5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20" w:type="dxa"/>
            <w:gridSpan w:val="2"/>
            <w:noWrap w:val="0"/>
            <w:vAlign w:val="top"/>
          </w:tcPr>
          <w:p>
            <w:pPr>
              <w:pStyle w:val="10"/>
              <w:spacing w:before="99"/>
              <w:ind w:left="194"/>
              <w:rPr>
                <w:sz w:val="21"/>
                <w:highlight w:val="none"/>
              </w:rPr>
            </w:pPr>
            <w:r>
              <w:rPr>
                <w:sz w:val="21"/>
                <w:highlight w:val="none"/>
              </w:rPr>
              <w:t xml:space="preserve">条款号 </w:t>
            </w:r>
          </w:p>
        </w:tc>
        <w:tc>
          <w:tcPr>
            <w:tcW w:w="2525" w:type="dxa"/>
            <w:gridSpan w:val="2"/>
            <w:noWrap w:val="0"/>
            <w:vAlign w:val="top"/>
          </w:tcPr>
          <w:p>
            <w:pPr>
              <w:pStyle w:val="10"/>
              <w:spacing w:before="99"/>
              <w:ind w:left="599"/>
              <w:rPr>
                <w:sz w:val="21"/>
                <w:highlight w:val="none"/>
              </w:rPr>
            </w:pPr>
            <w:r>
              <w:rPr>
                <w:sz w:val="21"/>
                <w:highlight w:val="none"/>
              </w:rPr>
              <w:t xml:space="preserve">评审因素 </w:t>
            </w:r>
          </w:p>
        </w:tc>
        <w:tc>
          <w:tcPr>
            <w:tcW w:w="5760" w:type="dxa"/>
            <w:noWrap w:val="0"/>
            <w:vAlign w:val="top"/>
          </w:tcPr>
          <w:p>
            <w:pPr>
              <w:pStyle w:val="10"/>
              <w:spacing w:before="99"/>
              <w:ind w:right="2563"/>
              <w:jc w:val="center"/>
              <w:rPr>
                <w:rFonts w:hint="eastAsia"/>
                <w:sz w:val="21"/>
                <w:highlight w:val="none"/>
              </w:rPr>
            </w:pPr>
            <w:r>
              <w:rPr>
                <w:rFonts w:hint="eastAsia"/>
                <w:sz w:val="21"/>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09" w:type="dxa"/>
            <w:vMerge w:val="restart"/>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47"/>
              <w:ind w:left="148"/>
              <w:rPr>
                <w:sz w:val="21"/>
                <w:highlight w:val="none"/>
              </w:rPr>
            </w:pPr>
            <w:r>
              <w:rPr>
                <w:sz w:val="21"/>
                <w:highlight w:val="none"/>
              </w:rPr>
              <w:t>2.</w:t>
            </w:r>
          </w:p>
          <w:p>
            <w:pPr>
              <w:pStyle w:val="10"/>
              <w:spacing w:before="4"/>
              <w:ind w:left="148"/>
              <w:rPr>
                <w:sz w:val="21"/>
                <w:highlight w:val="none"/>
              </w:rPr>
            </w:pPr>
            <w:r>
              <w:rPr>
                <w:sz w:val="21"/>
                <w:highlight w:val="none"/>
              </w:rPr>
              <w:t>1.</w:t>
            </w:r>
          </w:p>
          <w:p>
            <w:pPr>
              <w:pStyle w:val="10"/>
              <w:spacing w:before="2"/>
              <w:ind w:left="201"/>
              <w:rPr>
                <w:sz w:val="21"/>
                <w:highlight w:val="none"/>
              </w:rPr>
            </w:pPr>
            <w:r>
              <w:rPr>
                <w:sz w:val="21"/>
                <w:highlight w:val="none"/>
              </w:rPr>
              <w:t xml:space="preserve">1 </w:t>
            </w:r>
          </w:p>
        </w:tc>
        <w:tc>
          <w:tcPr>
            <w:tcW w:w="511" w:type="dxa"/>
            <w:vMerge w:val="restart"/>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65" w:line="242" w:lineRule="auto"/>
              <w:ind w:left="148" w:right="38"/>
              <w:jc w:val="both"/>
              <w:rPr>
                <w:sz w:val="21"/>
                <w:highlight w:val="none"/>
              </w:rPr>
            </w:pPr>
            <w:r>
              <w:rPr>
                <w:sz w:val="21"/>
                <w:highlight w:val="none"/>
              </w:rPr>
              <w:t xml:space="preserve">第一信封 </w:t>
            </w:r>
          </w:p>
          <w:p>
            <w:pPr>
              <w:pStyle w:val="10"/>
              <w:spacing w:before="3" w:line="242" w:lineRule="auto"/>
              <w:ind w:left="148" w:right="38"/>
              <w:rPr>
                <w:sz w:val="21"/>
                <w:highlight w:val="none"/>
              </w:rPr>
            </w:pPr>
            <w:r>
              <w:rPr>
                <w:sz w:val="21"/>
                <w:highlight w:val="none"/>
              </w:rPr>
              <w:t>（ 商务及技术文件</w:t>
            </w:r>
          </w:p>
          <w:p>
            <w:pPr>
              <w:pStyle w:val="10"/>
              <w:spacing w:before="6"/>
              <w:ind w:left="148"/>
              <w:rPr>
                <w:sz w:val="21"/>
                <w:highlight w:val="none"/>
              </w:rPr>
            </w:pPr>
            <w:r>
              <w:rPr>
                <w:sz w:val="21"/>
                <w:highlight w:val="none"/>
              </w:rPr>
              <w:t xml:space="preserve">） </w:t>
            </w:r>
          </w:p>
        </w:tc>
        <w:tc>
          <w:tcPr>
            <w:tcW w:w="763" w:type="dxa"/>
            <w:vMerge w:val="restart"/>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57" w:line="242" w:lineRule="auto"/>
              <w:ind w:left="0" w:leftChars="0" w:right="57" w:firstLine="0" w:firstLineChars="0"/>
              <w:rPr>
                <w:sz w:val="21"/>
                <w:highlight w:val="none"/>
              </w:rPr>
            </w:pPr>
            <w:r>
              <w:rPr>
                <w:sz w:val="21"/>
                <w:highlight w:val="none"/>
              </w:rPr>
              <w:t>形式</w:t>
            </w:r>
            <w:r>
              <w:rPr>
                <w:spacing w:val="-2"/>
                <w:sz w:val="21"/>
                <w:highlight w:val="none"/>
              </w:rPr>
              <w:t>评审</w:t>
            </w:r>
            <w:r>
              <w:rPr>
                <w:sz w:val="21"/>
                <w:highlight w:val="none"/>
              </w:rPr>
              <w:t xml:space="preserve"> 、资格评审  及响</w:t>
            </w:r>
            <w:r>
              <w:rPr>
                <w:spacing w:val="-2"/>
                <w:sz w:val="21"/>
                <w:highlight w:val="none"/>
              </w:rPr>
              <w:t>应性评审</w:t>
            </w:r>
            <w:r>
              <w:rPr>
                <w:sz w:val="21"/>
                <w:highlight w:val="none"/>
              </w:rPr>
              <w:t xml:space="preserve"> </w:t>
            </w:r>
          </w:p>
        </w:tc>
        <w:tc>
          <w:tcPr>
            <w:tcW w:w="1762" w:type="dxa"/>
            <w:noWrap w:val="0"/>
            <w:vAlign w:val="top"/>
          </w:tcPr>
          <w:p>
            <w:pPr>
              <w:pStyle w:val="10"/>
              <w:spacing w:before="102" w:line="244" w:lineRule="auto"/>
              <w:ind w:left="0" w:leftChars="0" w:right="103" w:firstLine="0" w:firstLineChars="0"/>
              <w:jc w:val="both"/>
              <w:rPr>
                <w:sz w:val="21"/>
                <w:highlight w:val="none"/>
              </w:rPr>
            </w:pPr>
            <w:r>
              <w:rPr>
                <w:sz w:val="21"/>
                <w:highlight w:val="none"/>
              </w:rPr>
              <w:t>文件签字盖章</w:t>
            </w:r>
          </w:p>
        </w:tc>
        <w:tc>
          <w:tcPr>
            <w:tcW w:w="5760" w:type="dxa"/>
            <w:noWrap w:val="0"/>
            <w:vAlign w:val="top"/>
          </w:tcPr>
          <w:p>
            <w:pPr>
              <w:pStyle w:val="10"/>
              <w:spacing w:before="8"/>
              <w:rPr>
                <w:rFonts w:ascii="Times New Roman"/>
                <w:sz w:val="20"/>
                <w:highlight w:val="none"/>
              </w:rPr>
            </w:pPr>
          </w:p>
          <w:p>
            <w:pPr>
              <w:pStyle w:val="10"/>
              <w:ind w:left="108"/>
              <w:rPr>
                <w:sz w:val="21"/>
                <w:highlight w:val="none"/>
              </w:rPr>
            </w:pPr>
            <w:r>
              <w:rPr>
                <w:sz w:val="21"/>
                <w:highlight w:val="none"/>
              </w:rPr>
              <w:t xml:space="preserve">符合第二章“投标人须知”第 3.7.3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line="242" w:lineRule="auto"/>
              <w:ind w:left="0" w:leftChars="0" w:right="103" w:firstLine="0" w:firstLineChars="0"/>
              <w:jc w:val="both"/>
              <w:rPr>
                <w:sz w:val="21"/>
                <w:highlight w:val="none"/>
              </w:rPr>
            </w:pPr>
            <w:r>
              <w:rPr>
                <w:sz w:val="21"/>
                <w:highlight w:val="none"/>
              </w:rPr>
              <w:t>文件填写及组成</w:t>
            </w:r>
          </w:p>
        </w:tc>
        <w:tc>
          <w:tcPr>
            <w:tcW w:w="5760"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组成齐全，没有缺项或缺页，内容均按招标文件规定填写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投标保证金</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3.4.1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line="242" w:lineRule="auto"/>
              <w:ind w:right="103"/>
              <w:jc w:val="center"/>
              <w:rPr>
                <w:sz w:val="21"/>
                <w:highlight w:val="none"/>
              </w:rPr>
            </w:pPr>
            <w:r>
              <w:rPr>
                <w:sz w:val="21"/>
                <w:highlight w:val="none"/>
              </w:rPr>
              <w:t>优先选择次序</w:t>
            </w:r>
          </w:p>
        </w:tc>
        <w:tc>
          <w:tcPr>
            <w:tcW w:w="5760" w:type="dxa"/>
            <w:noWrap w:val="0"/>
            <w:vAlign w:val="top"/>
          </w:tcPr>
          <w:p>
            <w:pPr>
              <w:pStyle w:val="10"/>
              <w:spacing w:before="102" w:line="242" w:lineRule="auto"/>
              <w:ind w:left="108" w:right="118"/>
              <w:rPr>
                <w:sz w:val="21"/>
                <w:highlight w:val="none"/>
              </w:rPr>
            </w:pPr>
            <w:r>
              <w:rPr>
                <w:sz w:val="21"/>
                <w:highlight w:val="none"/>
              </w:rPr>
              <w:t xml:space="preserve">投多个类别的投标人各类别投标文件填写的优先选择次序内容一致，子类别和标段名称符合招标文件规定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8"/>
              <w:jc w:val="center"/>
              <w:rPr>
                <w:rFonts w:ascii="Times New Roman"/>
                <w:sz w:val="20"/>
                <w:highlight w:val="none"/>
              </w:rPr>
            </w:pPr>
          </w:p>
          <w:p>
            <w:pPr>
              <w:pStyle w:val="10"/>
              <w:jc w:val="center"/>
              <w:rPr>
                <w:sz w:val="21"/>
                <w:highlight w:val="none"/>
              </w:rPr>
            </w:pPr>
            <w:r>
              <w:rPr>
                <w:sz w:val="21"/>
                <w:highlight w:val="none"/>
              </w:rPr>
              <w:t>投标函填写</w:t>
            </w:r>
          </w:p>
        </w:tc>
        <w:tc>
          <w:tcPr>
            <w:tcW w:w="5760" w:type="dxa"/>
            <w:noWrap w:val="0"/>
            <w:vAlign w:val="top"/>
          </w:tcPr>
          <w:p>
            <w:pPr>
              <w:pStyle w:val="10"/>
              <w:spacing w:before="102" w:line="244" w:lineRule="auto"/>
              <w:ind w:left="108" w:right="118"/>
              <w:rPr>
                <w:sz w:val="21"/>
                <w:highlight w:val="none"/>
              </w:rPr>
            </w:pPr>
            <w:r>
              <w:rPr>
                <w:rFonts w:hint="eastAsia"/>
                <w:sz w:val="21"/>
                <w:highlight w:val="none"/>
              </w:rPr>
              <w:t>按招标文件规定填报了正确的项目名称、类别名称和补遗书编号（如有）、工期、工程质量要求</w:t>
            </w:r>
            <w:bookmarkStart w:id="1" w:name="_GoBack"/>
            <w:bookmarkEnd w:id="1"/>
            <w:r>
              <w:rPr>
                <w:rFonts w:hint="eastAsia"/>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center"/>
          </w:tcPr>
          <w:p>
            <w:pPr>
              <w:jc w:val="center"/>
              <w:rPr>
                <w:sz w:val="21"/>
                <w:highlight w:val="none"/>
              </w:rPr>
            </w:pPr>
            <w:r>
              <w:rPr>
                <w:rFonts w:hint="eastAsia"/>
                <w:sz w:val="21"/>
                <w:highlight w:val="none"/>
              </w:rPr>
              <w:t>营业执照</w:t>
            </w:r>
          </w:p>
        </w:tc>
        <w:tc>
          <w:tcPr>
            <w:tcW w:w="5760" w:type="dxa"/>
            <w:noWrap w:val="0"/>
            <w:vAlign w:val="center"/>
          </w:tcPr>
          <w:p>
            <w:pPr>
              <w:rPr>
                <w:sz w:val="21"/>
                <w:highlight w:val="none"/>
              </w:rPr>
            </w:pPr>
            <w:r>
              <w:rPr>
                <w:rFonts w:hint="eastAsia"/>
                <w:sz w:val="21"/>
                <w:highlight w:val="none"/>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center"/>
          </w:tcPr>
          <w:p>
            <w:pPr>
              <w:ind w:left="0" w:leftChars="0" w:firstLine="0" w:firstLineChars="0"/>
              <w:jc w:val="both"/>
              <w:rPr>
                <w:sz w:val="21"/>
                <w:highlight w:val="none"/>
              </w:rPr>
            </w:pPr>
            <w:r>
              <w:rPr>
                <w:sz w:val="21"/>
                <w:highlight w:val="none"/>
              </w:rPr>
              <w:t>安全生产许可证</w:t>
            </w:r>
          </w:p>
        </w:tc>
        <w:tc>
          <w:tcPr>
            <w:tcW w:w="5760" w:type="dxa"/>
            <w:noWrap w:val="0"/>
            <w:vAlign w:val="center"/>
          </w:tcPr>
          <w:p>
            <w:pPr>
              <w:rPr>
                <w:sz w:val="21"/>
                <w:highlight w:val="none"/>
              </w:rPr>
            </w:pPr>
            <w:r>
              <w:rPr>
                <w:sz w:val="21"/>
                <w:highlight w:val="none"/>
              </w:rPr>
              <w:t>具备有效的安全生产许可证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资质等级</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财务状况</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line="242" w:lineRule="auto"/>
              <w:ind w:left="0" w:leftChars="0" w:right="103" w:firstLine="0" w:firstLineChars="0"/>
              <w:jc w:val="center"/>
              <w:rPr>
                <w:sz w:val="21"/>
                <w:highlight w:val="none"/>
              </w:rPr>
            </w:pPr>
            <w:r>
              <w:rPr>
                <w:sz w:val="21"/>
                <w:highlight w:val="none"/>
              </w:rPr>
              <w:t>类似项目业绩</w:t>
            </w:r>
          </w:p>
        </w:tc>
        <w:tc>
          <w:tcPr>
            <w:tcW w:w="5760"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信誉</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line="242" w:lineRule="auto"/>
              <w:ind w:right="103"/>
              <w:jc w:val="center"/>
              <w:rPr>
                <w:sz w:val="21"/>
                <w:highlight w:val="none"/>
              </w:rPr>
            </w:pPr>
            <w:r>
              <w:rPr>
                <w:sz w:val="21"/>
                <w:highlight w:val="none"/>
              </w:rPr>
              <w:t>项目经理和总工</w:t>
            </w:r>
          </w:p>
        </w:tc>
        <w:tc>
          <w:tcPr>
            <w:tcW w:w="5760" w:type="dxa"/>
            <w:noWrap w:val="0"/>
            <w:vAlign w:val="top"/>
          </w:tcPr>
          <w:p>
            <w:pPr>
              <w:pStyle w:val="10"/>
              <w:spacing w:before="8"/>
              <w:rPr>
                <w:rFonts w:ascii="Times New Roman"/>
                <w:sz w:val="20"/>
                <w:highlight w:val="none"/>
              </w:rPr>
            </w:pPr>
          </w:p>
          <w:p>
            <w:pPr>
              <w:pStyle w:val="10"/>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99"/>
              <w:jc w:val="center"/>
              <w:rPr>
                <w:sz w:val="21"/>
                <w:highlight w:val="none"/>
              </w:rPr>
            </w:pPr>
            <w:r>
              <w:rPr>
                <w:spacing w:val="-1"/>
                <w:sz w:val="21"/>
                <w:highlight w:val="none"/>
              </w:rPr>
              <w:t>其他要求</w:t>
            </w:r>
          </w:p>
          <w:p>
            <w:pPr>
              <w:pStyle w:val="10"/>
              <w:spacing w:before="5"/>
              <w:jc w:val="center"/>
              <w:rPr>
                <w:sz w:val="21"/>
                <w:highlight w:val="none"/>
              </w:rPr>
            </w:pPr>
            <w:r>
              <w:rPr>
                <w:spacing w:val="-1"/>
                <w:sz w:val="21"/>
                <w:highlight w:val="none"/>
              </w:rPr>
              <w:t>（</w:t>
            </w:r>
            <w:r>
              <w:rPr>
                <w:spacing w:val="-2"/>
                <w:sz w:val="21"/>
                <w:highlight w:val="none"/>
              </w:rPr>
              <w:t>如有</w:t>
            </w:r>
            <w:r>
              <w:rPr>
                <w:sz w:val="21"/>
                <w:highlight w:val="none"/>
              </w:rPr>
              <w:t>）</w:t>
            </w:r>
          </w:p>
        </w:tc>
        <w:tc>
          <w:tcPr>
            <w:tcW w:w="5760"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99"/>
              <w:jc w:val="center"/>
              <w:rPr>
                <w:spacing w:val="-1"/>
                <w:sz w:val="21"/>
                <w:highlight w:val="none"/>
              </w:rPr>
            </w:pPr>
            <w:r>
              <w:rPr>
                <w:spacing w:val="-1"/>
                <w:sz w:val="21"/>
                <w:highlight w:val="none"/>
              </w:rPr>
              <w:t xml:space="preserve">投标人不得存在的情形 </w:t>
            </w:r>
          </w:p>
        </w:tc>
        <w:tc>
          <w:tcPr>
            <w:tcW w:w="5760" w:type="dxa"/>
            <w:noWrap w:val="0"/>
            <w:vAlign w:val="top"/>
          </w:tcPr>
          <w:p>
            <w:pPr>
              <w:pStyle w:val="10"/>
              <w:spacing w:before="99"/>
              <w:jc w:val="left"/>
              <w:rPr>
                <w:spacing w:val="-1"/>
                <w:sz w:val="21"/>
                <w:highlight w:val="none"/>
              </w:rPr>
            </w:pPr>
            <w:r>
              <w:rPr>
                <w:spacing w:val="-1"/>
                <w:sz w:val="21"/>
                <w:highlight w:val="none"/>
              </w:rPr>
              <w:t xml:space="preserve">投标人不得存在第二章“投标人须知”第 1.4.3 项规定的任何一种情形。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工期目标</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1.3.2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jc w:val="center"/>
              <w:rPr>
                <w:sz w:val="21"/>
                <w:highlight w:val="none"/>
              </w:rPr>
            </w:pPr>
            <w:r>
              <w:rPr>
                <w:sz w:val="21"/>
                <w:highlight w:val="none"/>
              </w:rPr>
              <w:t>质量目标</w:t>
            </w:r>
          </w:p>
        </w:tc>
        <w:tc>
          <w:tcPr>
            <w:tcW w:w="5760" w:type="dxa"/>
            <w:noWrap w:val="0"/>
            <w:vAlign w:val="top"/>
          </w:tcPr>
          <w:p>
            <w:pPr>
              <w:pStyle w:val="10"/>
              <w:spacing w:before="102"/>
              <w:ind w:left="108"/>
              <w:rPr>
                <w:sz w:val="21"/>
                <w:highlight w:val="none"/>
              </w:rPr>
            </w:pPr>
            <w:r>
              <w:rPr>
                <w:sz w:val="21"/>
                <w:highlight w:val="none"/>
              </w:rPr>
              <w:t xml:space="preserve">符合第二章“投标人须知”第 1.3.3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99"/>
              <w:jc w:val="center"/>
              <w:rPr>
                <w:sz w:val="21"/>
                <w:highlight w:val="none"/>
              </w:rPr>
            </w:pPr>
            <w:r>
              <w:rPr>
                <w:rFonts w:hint="eastAsia"/>
                <w:sz w:val="21"/>
                <w:highlight w:val="none"/>
              </w:rPr>
              <w:t>安全目标</w:t>
            </w:r>
          </w:p>
        </w:tc>
        <w:tc>
          <w:tcPr>
            <w:tcW w:w="5760" w:type="dxa"/>
            <w:noWrap w:val="0"/>
            <w:vAlign w:val="top"/>
          </w:tcPr>
          <w:p>
            <w:pPr>
              <w:pStyle w:val="10"/>
              <w:spacing w:before="99"/>
              <w:ind w:left="108" w:leftChars="0"/>
              <w:rPr>
                <w:sz w:val="21"/>
                <w:highlight w:val="none"/>
              </w:rPr>
            </w:pPr>
            <w:r>
              <w:rPr>
                <w:sz w:val="21"/>
                <w:highlight w:val="none"/>
              </w:rPr>
              <w:t xml:space="preserve">符合第二章“投标人须知”第 </w:t>
            </w:r>
            <w:r>
              <w:rPr>
                <w:rFonts w:hint="eastAsia"/>
                <w:sz w:val="21"/>
                <w:highlight w:val="none"/>
                <w:lang w:val="en-US"/>
              </w:rPr>
              <w:t>1.3.4</w:t>
            </w:r>
            <w:r>
              <w:rPr>
                <w:sz w:val="21"/>
                <w:highlight w:val="none"/>
              </w:rPr>
              <w:t xml:space="preserve">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0" w:line="244" w:lineRule="auto"/>
              <w:ind w:right="103"/>
              <w:jc w:val="center"/>
              <w:rPr>
                <w:sz w:val="21"/>
                <w:highlight w:val="none"/>
              </w:rPr>
            </w:pPr>
            <w:r>
              <w:rPr>
                <w:sz w:val="21"/>
                <w:highlight w:val="none"/>
              </w:rPr>
              <w:t>投标函附录数据</w:t>
            </w:r>
          </w:p>
        </w:tc>
        <w:tc>
          <w:tcPr>
            <w:tcW w:w="5760" w:type="dxa"/>
            <w:noWrap w:val="0"/>
            <w:vAlign w:val="top"/>
          </w:tcPr>
          <w:p>
            <w:pPr>
              <w:pStyle w:val="10"/>
              <w:spacing w:before="6"/>
              <w:rPr>
                <w:rFonts w:ascii="Times New Roman"/>
                <w:sz w:val="20"/>
                <w:highlight w:val="none"/>
              </w:rPr>
            </w:pPr>
          </w:p>
          <w:p>
            <w:pPr>
              <w:pStyle w:val="10"/>
              <w:spacing w:before="1"/>
              <w:ind w:left="108"/>
              <w:rPr>
                <w:sz w:val="21"/>
                <w:highlight w:val="none"/>
              </w:rPr>
            </w:pPr>
            <w:r>
              <w:rPr>
                <w:sz w:val="21"/>
                <w:highlight w:val="none"/>
              </w:rPr>
              <w:t xml:space="preserve">符合招标文件规定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center"/>
          </w:tcPr>
          <w:p>
            <w:pPr>
              <w:jc w:val="both"/>
              <w:rPr>
                <w:sz w:val="21"/>
                <w:highlight w:val="none"/>
              </w:rPr>
            </w:pPr>
            <w:r>
              <w:rPr>
                <w:rFonts w:hint="eastAsia"/>
                <w:sz w:val="21"/>
                <w:szCs w:val="21"/>
                <w:highlight w:val="none"/>
              </w:rPr>
              <w:t>项目经理和项目总工人员选择</w:t>
            </w:r>
          </w:p>
        </w:tc>
        <w:tc>
          <w:tcPr>
            <w:tcW w:w="5760" w:type="dxa"/>
            <w:noWrap w:val="0"/>
            <w:vAlign w:val="center"/>
          </w:tcPr>
          <w:p>
            <w:pPr>
              <w:rPr>
                <w:sz w:val="21"/>
                <w:highlight w:val="none"/>
              </w:rPr>
            </w:pPr>
            <w:r>
              <w:rPr>
                <w:sz w:val="21"/>
                <w:highlight w:val="none"/>
              </w:rPr>
              <w:t xml:space="preserve">符合第二章“投标人须知”第 3.5.10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center"/>
          </w:tcPr>
          <w:p>
            <w:pPr>
              <w:jc w:val="center"/>
              <w:rPr>
                <w:sz w:val="21"/>
                <w:highlight w:val="none"/>
              </w:rPr>
            </w:pPr>
            <w:r>
              <w:rPr>
                <w:rFonts w:hint="eastAsia"/>
                <w:szCs w:val="21"/>
                <w:highlight w:val="none"/>
              </w:rPr>
              <w:t>分包</w:t>
            </w:r>
          </w:p>
        </w:tc>
        <w:tc>
          <w:tcPr>
            <w:tcW w:w="5760" w:type="dxa"/>
            <w:noWrap w:val="0"/>
            <w:vAlign w:val="center"/>
          </w:tcPr>
          <w:p>
            <w:pPr>
              <w:rPr>
                <w:sz w:val="21"/>
                <w:highlight w:val="none"/>
              </w:rPr>
            </w:pPr>
            <w:r>
              <w:rPr>
                <w:spacing w:val="-5"/>
                <w:sz w:val="21"/>
                <w:highlight w:val="none"/>
              </w:rPr>
              <w:t xml:space="preserve">如有分包计划，符合第二章“投标人须知”第 </w:t>
            </w:r>
            <w:r>
              <w:rPr>
                <w:sz w:val="21"/>
                <w:highlight w:val="none"/>
              </w:rPr>
              <w:t>1.11</w:t>
            </w:r>
            <w:r>
              <w:rPr>
                <w:spacing w:val="-15"/>
                <w:sz w:val="21"/>
                <w:highlight w:val="none"/>
              </w:rPr>
              <w:t xml:space="preserve"> 款规</w:t>
            </w:r>
            <w:r>
              <w:rPr>
                <w:spacing w:val="-7"/>
                <w:sz w:val="21"/>
                <w:highlight w:val="none"/>
              </w:rPr>
              <w:t>定，且按第九章“投标文件格式”的要求填写了“拟分</w:t>
            </w:r>
            <w:r>
              <w:rPr>
                <w:spacing w:val="-5"/>
                <w:sz w:val="21"/>
                <w:highlight w:val="none"/>
              </w:rPr>
              <w:t xml:space="preserve">包项目情况表”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99"/>
              <w:jc w:val="center"/>
              <w:rPr>
                <w:rFonts w:hint="eastAsia"/>
                <w:szCs w:val="21"/>
                <w:highlight w:val="none"/>
              </w:rPr>
            </w:pPr>
            <w:r>
              <w:rPr>
                <w:sz w:val="21"/>
                <w:highlight w:val="none"/>
              </w:rPr>
              <w:t>承诺函</w:t>
            </w:r>
          </w:p>
        </w:tc>
        <w:tc>
          <w:tcPr>
            <w:tcW w:w="5760" w:type="dxa"/>
            <w:noWrap w:val="0"/>
            <w:vAlign w:val="top"/>
          </w:tcPr>
          <w:p>
            <w:pPr>
              <w:pStyle w:val="10"/>
              <w:spacing w:before="99"/>
              <w:ind w:left="108"/>
              <w:rPr>
                <w:rFonts w:hint="eastAsia"/>
                <w:szCs w:val="21"/>
                <w:highlight w:val="none"/>
              </w:rPr>
            </w:pPr>
            <w:r>
              <w:rPr>
                <w:sz w:val="21"/>
                <w:highlight w:val="none"/>
              </w:rPr>
              <w:t xml:space="preserve">未对招标文件的承诺函文字说明修改或删除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spacing w:before="102"/>
              <w:ind w:left="136" w:leftChars="0" w:right="29" w:rightChars="0"/>
              <w:jc w:val="center"/>
              <w:rPr>
                <w:sz w:val="21"/>
                <w:highlight w:val="none"/>
              </w:rPr>
            </w:pPr>
            <w:r>
              <w:rPr>
                <w:sz w:val="21"/>
                <w:highlight w:val="none"/>
              </w:rPr>
              <w:t xml:space="preserve">投标报价 </w:t>
            </w:r>
          </w:p>
        </w:tc>
        <w:tc>
          <w:tcPr>
            <w:tcW w:w="5760" w:type="dxa"/>
            <w:noWrap w:val="0"/>
            <w:vAlign w:val="top"/>
          </w:tcPr>
          <w:p>
            <w:pPr>
              <w:pStyle w:val="10"/>
              <w:spacing w:before="102"/>
              <w:ind w:left="108" w:leftChars="0"/>
              <w:rPr>
                <w:sz w:val="21"/>
                <w:highlight w:val="none"/>
              </w:rPr>
            </w:pPr>
            <w:r>
              <w:rPr>
                <w:sz w:val="21"/>
                <w:highlight w:val="none"/>
              </w:rPr>
              <w:t xml:space="preserve">未出现有关投标报价的内容。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2" w:type="dxa"/>
            <w:noWrap w:val="0"/>
            <w:vAlign w:val="top"/>
          </w:tcPr>
          <w:p>
            <w:pPr>
              <w:pStyle w:val="10"/>
              <w:keepNext w:val="0"/>
              <w:keepLines w:val="0"/>
              <w:pageBreakBefore w:val="0"/>
              <w:widowControl w:val="0"/>
              <w:kinsoku/>
              <w:wordWrap/>
              <w:overflowPunct/>
              <w:topLinePunct w:val="0"/>
              <w:autoSpaceDE w:val="0"/>
              <w:autoSpaceDN w:val="0"/>
              <w:bidi w:val="0"/>
              <w:adjustRightInd/>
              <w:snapToGrid/>
              <w:spacing w:line="243" w:lineRule="auto"/>
              <w:ind w:left="210" w:leftChars="0" w:right="0" w:rightChars="0" w:hanging="210" w:firstLineChars="0"/>
              <w:textAlignment w:val="auto"/>
              <w:rPr>
                <w:rFonts w:hint="eastAsia"/>
                <w:sz w:val="21"/>
                <w:highlight w:val="none"/>
              </w:rPr>
            </w:pPr>
            <w:r>
              <w:rPr>
                <w:sz w:val="21"/>
                <w:highlight w:val="none"/>
              </w:rPr>
              <w:t xml:space="preserve">投标函中其他补充说明内容 </w:t>
            </w:r>
          </w:p>
        </w:tc>
        <w:tc>
          <w:tcPr>
            <w:tcW w:w="5760" w:type="dxa"/>
            <w:noWrap w:val="0"/>
            <w:vAlign w:val="top"/>
          </w:tcPr>
          <w:p>
            <w:pPr>
              <w:pStyle w:val="10"/>
              <w:spacing w:before="5"/>
              <w:rPr>
                <w:rFonts w:ascii="黑体"/>
                <w:sz w:val="18"/>
                <w:highlight w:val="none"/>
              </w:rPr>
            </w:pPr>
          </w:p>
          <w:p>
            <w:pPr>
              <w:pStyle w:val="10"/>
              <w:ind w:left="108" w:leftChars="0"/>
              <w:rPr>
                <w:sz w:val="21"/>
                <w:highlight w:val="none"/>
              </w:rPr>
            </w:pPr>
            <w:r>
              <w:rPr>
                <w:sz w:val="21"/>
                <w:highlight w:val="none"/>
              </w:rPr>
              <w:t xml:space="preserve">无招标人不能接受的条件。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9" w:type="dxa"/>
            <w:vMerge w:val="continue"/>
            <w:tcBorders>
              <w:top w:val="nil"/>
              <w:bottom w:val="nil"/>
            </w:tcBorders>
            <w:noWrap w:val="0"/>
            <w:vAlign w:val="top"/>
          </w:tcPr>
          <w:p>
            <w:pPr>
              <w:rPr>
                <w:sz w:val="2"/>
                <w:szCs w:val="2"/>
                <w:highlight w:val="none"/>
              </w:rPr>
            </w:pPr>
          </w:p>
        </w:tc>
        <w:tc>
          <w:tcPr>
            <w:tcW w:w="511" w:type="dxa"/>
            <w:vMerge w:val="continue"/>
            <w:tcBorders>
              <w:top w:val="nil"/>
              <w:bottom w:val="nil"/>
            </w:tcBorders>
            <w:noWrap w:val="0"/>
            <w:vAlign w:val="top"/>
          </w:tcPr>
          <w:p>
            <w:pPr>
              <w:rPr>
                <w:sz w:val="2"/>
                <w:szCs w:val="2"/>
                <w:highlight w:val="none"/>
              </w:rPr>
            </w:pPr>
          </w:p>
        </w:tc>
        <w:tc>
          <w:tcPr>
            <w:tcW w:w="763" w:type="dxa"/>
            <w:vMerge w:val="continue"/>
            <w:tcBorders>
              <w:top w:val="nil"/>
              <w:bottom w:val="nil"/>
            </w:tcBorders>
            <w:noWrap w:val="0"/>
            <w:vAlign w:val="top"/>
          </w:tcPr>
          <w:p>
            <w:pPr>
              <w:rPr>
                <w:sz w:val="2"/>
                <w:szCs w:val="2"/>
                <w:highlight w:val="none"/>
              </w:rPr>
            </w:pPr>
          </w:p>
        </w:tc>
        <w:tc>
          <w:tcPr>
            <w:tcW w:w="1762" w:type="dxa"/>
            <w:vMerge w:val="restart"/>
            <w:noWrap w:val="0"/>
            <w:vAlign w:val="center"/>
          </w:tcPr>
          <w:p>
            <w:pPr>
              <w:jc w:val="center"/>
              <w:rPr>
                <w:sz w:val="21"/>
                <w:szCs w:val="21"/>
                <w:highlight w:val="none"/>
              </w:rPr>
            </w:pPr>
            <w:r>
              <w:rPr>
                <w:sz w:val="21"/>
                <w:szCs w:val="21"/>
                <w:highlight w:val="none"/>
              </w:rPr>
              <w:t>权利义务</w:t>
            </w:r>
          </w:p>
          <w:p>
            <w:pPr>
              <w:ind w:left="120" w:leftChars="50"/>
              <w:jc w:val="center"/>
              <w:rPr>
                <w:sz w:val="21"/>
                <w:szCs w:val="21"/>
                <w:highlight w:val="none"/>
              </w:rPr>
            </w:pPr>
            <w:r>
              <w:rPr>
                <w:sz w:val="21"/>
                <w:szCs w:val="21"/>
                <w:highlight w:val="none"/>
              </w:rPr>
              <w:t>符合</w:t>
            </w:r>
            <w:r>
              <w:rPr>
                <w:rFonts w:hint="eastAsia"/>
                <w:sz w:val="21"/>
                <w:szCs w:val="21"/>
                <w:highlight w:val="none"/>
              </w:rPr>
              <w:t>招标文件</w:t>
            </w:r>
            <w:r>
              <w:rPr>
                <w:sz w:val="21"/>
                <w:szCs w:val="21"/>
                <w:highlight w:val="none"/>
              </w:rPr>
              <w:t>规定</w:t>
            </w:r>
          </w:p>
        </w:tc>
        <w:tc>
          <w:tcPr>
            <w:tcW w:w="5760" w:type="dxa"/>
            <w:noWrap w:val="0"/>
            <w:vAlign w:val="center"/>
          </w:tcPr>
          <w:p>
            <w:pPr>
              <w:ind w:left="242" w:leftChars="101"/>
              <w:rPr>
                <w:sz w:val="21"/>
                <w:szCs w:val="21"/>
                <w:highlight w:val="none"/>
              </w:rPr>
            </w:pPr>
            <w:r>
              <w:rPr>
                <w:sz w:val="21"/>
                <w:szCs w:val="21"/>
                <w:highlight w:val="none"/>
              </w:rPr>
              <w:t>a.投标人应接受招标文件规定的风险划分原则，未提出新的风险划分办法；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9" w:type="dxa"/>
            <w:tcBorders>
              <w:top w:val="nil"/>
              <w:bottom w:val="nil"/>
            </w:tcBorders>
            <w:noWrap w:val="0"/>
            <w:vAlign w:val="top"/>
          </w:tcPr>
          <w:p>
            <w:pPr>
              <w:rPr>
                <w:sz w:val="2"/>
                <w:szCs w:val="2"/>
                <w:highlight w:val="none"/>
              </w:rPr>
            </w:pPr>
          </w:p>
        </w:tc>
        <w:tc>
          <w:tcPr>
            <w:tcW w:w="511" w:type="dxa"/>
            <w:tcBorders>
              <w:top w:val="nil"/>
              <w:bottom w:val="nil"/>
            </w:tcBorders>
            <w:noWrap w:val="0"/>
            <w:vAlign w:val="top"/>
          </w:tcPr>
          <w:p>
            <w:pPr>
              <w:rPr>
                <w:sz w:val="2"/>
                <w:szCs w:val="2"/>
                <w:highlight w:val="none"/>
              </w:rPr>
            </w:pPr>
          </w:p>
        </w:tc>
        <w:tc>
          <w:tcPr>
            <w:tcW w:w="763" w:type="dxa"/>
            <w:tcBorders>
              <w:top w:val="nil"/>
              <w:bottom w:val="nil"/>
            </w:tcBorders>
            <w:noWrap w:val="0"/>
            <w:vAlign w:val="top"/>
          </w:tcPr>
          <w:p>
            <w:pPr>
              <w:rPr>
                <w:sz w:val="2"/>
                <w:szCs w:val="2"/>
                <w:highlight w:val="none"/>
              </w:rPr>
            </w:pPr>
          </w:p>
        </w:tc>
        <w:tc>
          <w:tcPr>
            <w:tcW w:w="1762" w:type="dxa"/>
            <w:vMerge w:val="continue"/>
            <w:noWrap w:val="0"/>
            <w:vAlign w:val="center"/>
          </w:tcPr>
          <w:p>
            <w:pPr>
              <w:ind w:left="120" w:leftChars="50"/>
              <w:jc w:val="center"/>
              <w:rPr>
                <w:sz w:val="21"/>
                <w:szCs w:val="21"/>
                <w:highlight w:val="none"/>
              </w:rPr>
            </w:pPr>
          </w:p>
        </w:tc>
        <w:tc>
          <w:tcPr>
            <w:tcW w:w="5760" w:type="dxa"/>
            <w:noWrap w:val="0"/>
            <w:vAlign w:val="center"/>
          </w:tcPr>
          <w:p>
            <w:pPr>
              <w:ind w:left="242" w:leftChars="101"/>
              <w:rPr>
                <w:sz w:val="21"/>
                <w:szCs w:val="21"/>
                <w:highlight w:val="none"/>
              </w:rPr>
            </w:pPr>
            <w:r>
              <w:rPr>
                <w:spacing w:val="-10"/>
                <w:sz w:val="21"/>
                <w:szCs w:val="21"/>
                <w:highlight w:val="none"/>
              </w:rPr>
              <w:t>b.投标人未增加发包人的责任范围，或减少投标人义务；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9" w:type="dxa"/>
            <w:tcBorders>
              <w:top w:val="nil"/>
              <w:bottom w:val="nil"/>
            </w:tcBorders>
            <w:noWrap w:val="0"/>
            <w:vAlign w:val="top"/>
          </w:tcPr>
          <w:p>
            <w:pPr>
              <w:rPr>
                <w:sz w:val="2"/>
                <w:szCs w:val="2"/>
                <w:highlight w:val="none"/>
              </w:rPr>
            </w:pPr>
          </w:p>
        </w:tc>
        <w:tc>
          <w:tcPr>
            <w:tcW w:w="511" w:type="dxa"/>
            <w:tcBorders>
              <w:top w:val="nil"/>
              <w:bottom w:val="nil"/>
            </w:tcBorders>
            <w:noWrap w:val="0"/>
            <w:vAlign w:val="top"/>
          </w:tcPr>
          <w:p>
            <w:pPr>
              <w:rPr>
                <w:sz w:val="2"/>
                <w:szCs w:val="2"/>
                <w:highlight w:val="none"/>
              </w:rPr>
            </w:pPr>
          </w:p>
        </w:tc>
        <w:tc>
          <w:tcPr>
            <w:tcW w:w="763" w:type="dxa"/>
            <w:tcBorders>
              <w:top w:val="nil"/>
              <w:bottom w:val="nil"/>
            </w:tcBorders>
            <w:noWrap w:val="0"/>
            <w:vAlign w:val="top"/>
          </w:tcPr>
          <w:p>
            <w:pPr>
              <w:rPr>
                <w:sz w:val="2"/>
                <w:szCs w:val="2"/>
                <w:highlight w:val="none"/>
              </w:rPr>
            </w:pPr>
          </w:p>
        </w:tc>
        <w:tc>
          <w:tcPr>
            <w:tcW w:w="1762" w:type="dxa"/>
            <w:vMerge w:val="continue"/>
            <w:noWrap w:val="0"/>
            <w:vAlign w:val="center"/>
          </w:tcPr>
          <w:p>
            <w:pPr>
              <w:spacing w:line="480" w:lineRule="exact"/>
              <w:ind w:left="120" w:leftChars="50"/>
              <w:jc w:val="center"/>
              <w:rPr>
                <w:sz w:val="21"/>
                <w:szCs w:val="21"/>
                <w:highlight w:val="none"/>
              </w:rPr>
            </w:pPr>
          </w:p>
        </w:tc>
        <w:tc>
          <w:tcPr>
            <w:tcW w:w="5760" w:type="dxa"/>
            <w:noWrap w:val="0"/>
            <w:vAlign w:val="center"/>
          </w:tcPr>
          <w:p>
            <w:pPr>
              <w:spacing w:line="480" w:lineRule="exact"/>
              <w:ind w:left="242" w:leftChars="101"/>
              <w:rPr>
                <w:sz w:val="21"/>
                <w:szCs w:val="21"/>
                <w:highlight w:val="none"/>
              </w:rPr>
            </w:pPr>
            <w:r>
              <w:rPr>
                <w:sz w:val="21"/>
                <w:szCs w:val="21"/>
                <w:highlight w:val="none"/>
              </w:rPr>
              <w:t>c.投标人未提出不同的工程验收、计量、支付办法；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09" w:type="dxa"/>
            <w:tcBorders>
              <w:top w:val="nil"/>
              <w:bottom w:val="nil"/>
            </w:tcBorders>
            <w:noWrap w:val="0"/>
            <w:vAlign w:val="top"/>
          </w:tcPr>
          <w:p>
            <w:pPr>
              <w:rPr>
                <w:sz w:val="2"/>
                <w:szCs w:val="2"/>
                <w:highlight w:val="none"/>
              </w:rPr>
            </w:pPr>
          </w:p>
        </w:tc>
        <w:tc>
          <w:tcPr>
            <w:tcW w:w="511" w:type="dxa"/>
            <w:tcBorders>
              <w:top w:val="nil"/>
              <w:bottom w:val="nil"/>
            </w:tcBorders>
            <w:noWrap w:val="0"/>
            <w:vAlign w:val="top"/>
          </w:tcPr>
          <w:p>
            <w:pPr>
              <w:rPr>
                <w:sz w:val="2"/>
                <w:szCs w:val="2"/>
                <w:highlight w:val="none"/>
              </w:rPr>
            </w:pPr>
          </w:p>
        </w:tc>
        <w:tc>
          <w:tcPr>
            <w:tcW w:w="763" w:type="dxa"/>
            <w:tcBorders>
              <w:top w:val="nil"/>
              <w:bottom w:val="nil"/>
            </w:tcBorders>
            <w:noWrap w:val="0"/>
            <w:vAlign w:val="top"/>
          </w:tcPr>
          <w:p>
            <w:pPr>
              <w:rPr>
                <w:sz w:val="2"/>
                <w:szCs w:val="2"/>
                <w:highlight w:val="none"/>
              </w:rPr>
            </w:pPr>
          </w:p>
        </w:tc>
        <w:tc>
          <w:tcPr>
            <w:tcW w:w="1762" w:type="dxa"/>
            <w:vMerge w:val="continue"/>
            <w:noWrap w:val="0"/>
            <w:vAlign w:val="center"/>
          </w:tcPr>
          <w:p>
            <w:pPr>
              <w:spacing w:line="480" w:lineRule="exact"/>
              <w:ind w:left="120" w:leftChars="50"/>
              <w:jc w:val="center"/>
              <w:rPr>
                <w:sz w:val="21"/>
                <w:szCs w:val="21"/>
                <w:highlight w:val="none"/>
              </w:rPr>
            </w:pPr>
          </w:p>
        </w:tc>
        <w:tc>
          <w:tcPr>
            <w:tcW w:w="5760" w:type="dxa"/>
            <w:noWrap w:val="0"/>
            <w:vAlign w:val="center"/>
          </w:tcPr>
          <w:p>
            <w:pPr>
              <w:spacing w:line="480" w:lineRule="exact"/>
              <w:ind w:left="242" w:leftChars="101"/>
              <w:rPr>
                <w:sz w:val="21"/>
                <w:szCs w:val="21"/>
                <w:highlight w:val="none"/>
              </w:rPr>
            </w:pPr>
            <w:r>
              <w:rPr>
                <w:sz w:val="21"/>
                <w:szCs w:val="21"/>
                <w:highlight w:val="none"/>
              </w:rPr>
              <w:t>d.投标人对合同纠纷、事故处理办法未提出异议；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09" w:type="dxa"/>
            <w:tcBorders>
              <w:top w:val="nil"/>
              <w:bottom w:val="nil"/>
            </w:tcBorders>
            <w:noWrap w:val="0"/>
            <w:vAlign w:val="top"/>
          </w:tcPr>
          <w:p>
            <w:pPr>
              <w:rPr>
                <w:sz w:val="2"/>
                <w:szCs w:val="2"/>
                <w:highlight w:val="none"/>
              </w:rPr>
            </w:pPr>
          </w:p>
        </w:tc>
        <w:tc>
          <w:tcPr>
            <w:tcW w:w="511" w:type="dxa"/>
            <w:tcBorders>
              <w:top w:val="nil"/>
              <w:bottom w:val="nil"/>
            </w:tcBorders>
            <w:noWrap w:val="0"/>
            <w:vAlign w:val="top"/>
          </w:tcPr>
          <w:p>
            <w:pPr>
              <w:rPr>
                <w:sz w:val="2"/>
                <w:szCs w:val="2"/>
                <w:highlight w:val="none"/>
              </w:rPr>
            </w:pPr>
          </w:p>
        </w:tc>
        <w:tc>
          <w:tcPr>
            <w:tcW w:w="763" w:type="dxa"/>
            <w:tcBorders>
              <w:top w:val="nil"/>
              <w:bottom w:val="nil"/>
            </w:tcBorders>
            <w:noWrap w:val="0"/>
            <w:vAlign w:val="top"/>
          </w:tcPr>
          <w:p>
            <w:pPr>
              <w:rPr>
                <w:sz w:val="2"/>
                <w:szCs w:val="2"/>
                <w:highlight w:val="none"/>
              </w:rPr>
            </w:pPr>
          </w:p>
        </w:tc>
        <w:tc>
          <w:tcPr>
            <w:tcW w:w="1762" w:type="dxa"/>
            <w:vMerge w:val="continue"/>
            <w:noWrap w:val="0"/>
            <w:vAlign w:val="center"/>
          </w:tcPr>
          <w:p>
            <w:pPr>
              <w:spacing w:line="480" w:lineRule="exact"/>
              <w:ind w:left="120" w:leftChars="50"/>
              <w:jc w:val="center"/>
              <w:rPr>
                <w:sz w:val="21"/>
                <w:szCs w:val="21"/>
                <w:highlight w:val="none"/>
              </w:rPr>
            </w:pPr>
          </w:p>
        </w:tc>
        <w:tc>
          <w:tcPr>
            <w:tcW w:w="5760" w:type="dxa"/>
            <w:noWrap w:val="0"/>
            <w:vAlign w:val="center"/>
          </w:tcPr>
          <w:p>
            <w:pPr>
              <w:spacing w:line="480" w:lineRule="exact"/>
              <w:ind w:left="242" w:leftChars="101"/>
              <w:rPr>
                <w:sz w:val="21"/>
                <w:szCs w:val="21"/>
                <w:highlight w:val="none"/>
              </w:rPr>
            </w:pPr>
            <w:r>
              <w:rPr>
                <w:sz w:val="21"/>
                <w:szCs w:val="21"/>
                <w:highlight w:val="none"/>
              </w:rPr>
              <w:t>e.投标人在投标活动中无欺诈行为；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09" w:type="dxa"/>
            <w:tcBorders>
              <w:top w:val="nil"/>
              <w:bottom w:val="nil"/>
            </w:tcBorders>
            <w:noWrap w:val="0"/>
            <w:vAlign w:val="top"/>
          </w:tcPr>
          <w:p>
            <w:pPr>
              <w:rPr>
                <w:sz w:val="2"/>
                <w:szCs w:val="2"/>
                <w:highlight w:val="none"/>
              </w:rPr>
            </w:pPr>
          </w:p>
        </w:tc>
        <w:tc>
          <w:tcPr>
            <w:tcW w:w="511" w:type="dxa"/>
            <w:tcBorders>
              <w:top w:val="nil"/>
              <w:bottom w:val="nil"/>
            </w:tcBorders>
            <w:noWrap w:val="0"/>
            <w:vAlign w:val="top"/>
          </w:tcPr>
          <w:p>
            <w:pPr>
              <w:rPr>
                <w:sz w:val="2"/>
                <w:szCs w:val="2"/>
                <w:highlight w:val="none"/>
              </w:rPr>
            </w:pPr>
          </w:p>
        </w:tc>
        <w:tc>
          <w:tcPr>
            <w:tcW w:w="763" w:type="dxa"/>
            <w:tcBorders>
              <w:top w:val="nil"/>
              <w:bottom w:val="nil"/>
            </w:tcBorders>
            <w:noWrap w:val="0"/>
            <w:vAlign w:val="top"/>
          </w:tcPr>
          <w:p>
            <w:pPr>
              <w:rPr>
                <w:sz w:val="2"/>
                <w:szCs w:val="2"/>
                <w:highlight w:val="none"/>
              </w:rPr>
            </w:pPr>
          </w:p>
        </w:tc>
        <w:tc>
          <w:tcPr>
            <w:tcW w:w="1762" w:type="dxa"/>
            <w:vMerge w:val="continue"/>
            <w:noWrap w:val="0"/>
            <w:vAlign w:val="center"/>
          </w:tcPr>
          <w:p>
            <w:pPr>
              <w:spacing w:line="480" w:lineRule="exact"/>
              <w:ind w:left="120" w:leftChars="50"/>
              <w:jc w:val="center"/>
              <w:rPr>
                <w:sz w:val="21"/>
                <w:szCs w:val="21"/>
                <w:highlight w:val="none"/>
              </w:rPr>
            </w:pPr>
          </w:p>
        </w:tc>
        <w:tc>
          <w:tcPr>
            <w:tcW w:w="5760" w:type="dxa"/>
            <w:noWrap w:val="0"/>
            <w:vAlign w:val="center"/>
          </w:tcPr>
          <w:p>
            <w:pPr>
              <w:spacing w:line="480" w:lineRule="exact"/>
              <w:ind w:left="242" w:leftChars="101"/>
              <w:rPr>
                <w:sz w:val="21"/>
                <w:szCs w:val="21"/>
                <w:highlight w:val="none"/>
              </w:rPr>
            </w:pPr>
            <w:r>
              <w:rPr>
                <w:sz w:val="21"/>
                <w:szCs w:val="21"/>
                <w:highlight w:val="none"/>
              </w:rPr>
              <w:t>f.投标人未对合同条款有重要保留</w:t>
            </w:r>
            <w:r>
              <w:rPr>
                <w:rFonts w:hint="eastAsia"/>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09" w:type="dxa"/>
            <w:tcBorders>
              <w:top w:val="nil"/>
            </w:tcBorders>
            <w:noWrap w:val="0"/>
            <w:vAlign w:val="top"/>
          </w:tcPr>
          <w:p>
            <w:pPr>
              <w:rPr>
                <w:sz w:val="2"/>
                <w:szCs w:val="2"/>
                <w:highlight w:val="none"/>
              </w:rPr>
            </w:pPr>
          </w:p>
        </w:tc>
        <w:tc>
          <w:tcPr>
            <w:tcW w:w="511" w:type="dxa"/>
            <w:tcBorders>
              <w:top w:val="nil"/>
            </w:tcBorders>
            <w:noWrap w:val="0"/>
            <w:vAlign w:val="top"/>
          </w:tcPr>
          <w:p>
            <w:pPr>
              <w:rPr>
                <w:sz w:val="2"/>
                <w:szCs w:val="2"/>
                <w:highlight w:val="none"/>
              </w:rPr>
            </w:pPr>
          </w:p>
        </w:tc>
        <w:tc>
          <w:tcPr>
            <w:tcW w:w="763" w:type="dxa"/>
            <w:tcBorders>
              <w:top w:val="nil"/>
            </w:tcBorders>
            <w:noWrap w:val="0"/>
            <w:vAlign w:val="top"/>
          </w:tcPr>
          <w:p>
            <w:pPr>
              <w:rPr>
                <w:sz w:val="2"/>
                <w:szCs w:val="2"/>
                <w:highlight w:val="none"/>
              </w:rPr>
            </w:pPr>
          </w:p>
        </w:tc>
        <w:tc>
          <w:tcPr>
            <w:tcW w:w="1762" w:type="dxa"/>
            <w:noWrap w:val="0"/>
            <w:vAlign w:val="top"/>
          </w:tcPr>
          <w:p>
            <w:pPr>
              <w:pStyle w:val="10"/>
              <w:spacing w:before="99"/>
              <w:ind w:left="110" w:leftChars="0"/>
              <w:rPr>
                <w:sz w:val="21"/>
                <w:szCs w:val="21"/>
                <w:highlight w:val="none"/>
              </w:rPr>
            </w:pPr>
            <w:r>
              <w:rPr>
                <w:sz w:val="21"/>
                <w:highlight w:val="none"/>
              </w:rPr>
              <w:t xml:space="preserve">其他 </w:t>
            </w:r>
          </w:p>
        </w:tc>
        <w:tc>
          <w:tcPr>
            <w:tcW w:w="5760" w:type="dxa"/>
            <w:noWrap w:val="0"/>
            <w:vAlign w:val="top"/>
          </w:tcPr>
          <w:p>
            <w:pPr>
              <w:pStyle w:val="10"/>
              <w:spacing w:before="99"/>
              <w:ind w:left="108" w:leftChars="0"/>
              <w:rPr>
                <w:sz w:val="21"/>
                <w:szCs w:val="21"/>
                <w:highlight w:val="none"/>
              </w:rPr>
            </w:pPr>
            <w:r>
              <w:rPr>
                <w:sz w:val="21"/>
                <w:highlight w:val="none"/>
              </w:rPr>
              <w:t xml:space="preserve">投标文件未附有招标人不能接受的条件 </w:t>
            </w:r>
          </w:p>
        </w:tc>
      </w:tr>
    </w:tbl>
    <w:p>
      <w:pPr>
        <w:pStyle w:val="5"/>
        <w:spacing w:before="9"/>
        <w:rPr>
          <w:rFonts w:ascii="Times New Roman"/>
          <w:sz w:val="8"/>
          <w:highlight w:val="none"/>
        </w:rPr>
      </w:pPr>
    </w:p>
    <w:tbl>
      <w:tblPr>
        <w:tblStyle w:val="7"/>
        <w:tblW w:w="0" w:type="auto"/>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511"/>
        <w:gridCol w:w="763"/>
        <w:gridCol w:w="1768"/>
        <w:gridCol w:w="5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09" w:type="dxa"/>
            <w:vMerge w:val="restart"/>
            <w:noWrap w:val="0"/>
            <w:vAlign w:val="top"/>
          </w:tcPr>
          <w:p>
            <w:pPr>
              <w:pStyle w:val="10"/>
              <w:spacing w:before="10"/>
              <w:ind w:left="0" w:leftChars="0" w:firstLine="0" w:firstLineChars="0"/>
              <w:rPr>
                <w:rFonts w:ascii="Times New Roman"/>
                <w:sz w:val="20"/>
                <w:highlight w:val="none"/>
              </w:rPr>
            </w:pPr>
          </w:p>
          <w:p>
            <w:pPr>
              <w:pStyle w:val="10"/>
              <w:spacing w:before="2"/>
              <w:ind w:left="148"/>
              <w:rPr>
                <w:sz w:val="21"/>
                <w:highlight w:val="none"/>
              </w:rPr>
            </w:pPr>
            <w:r>
              <w:rPr>
                <w:sz w:val="21"/>
                <w:highlight w:val="none"/>
              </w:rPr>
              <w:t>2</w:t>
            </w:r>
          </w:p>
          <w:p>
            <w:pPr>
              <w:pStyle w:val="10"/>
              <w:spacing w:before="5"/>
              <w:ind w:left="201"/>
              <w:rPr>
                <w:sz w:val="21"/>
                <w:highlight w:val="none"/>
              </w:rPr>
            </w:pPr>
            <w:r>
              <w:rPr>
                <w:sz w:val="21"/>
                <w:highlight w:val="none"/>
              </w:rPr>
              <w:t xml:space="preserve">2 </w:t>
            </w:r>
          </w:p>
        </w:tc>
        <w:tc>
          <w:tcPr>
            <w:tcW w:w="511" w:type="dxa"/>
            <w:vMerge w:val="restart"/>
            <w:noWrap w:val="0"/>
            <w:vAlign w:val="top"/>
          </w:tcPr>
          <w:p>
            <w:pPr>
              <w:pStyle w:val="10"/>
              <w:rPr>
                <w:rFonts w:ascii="Times New Roman"/>
                <w:sz w:val="20"/>
                <w:highlight w:val="none"/>
              </w:rPr>
            </w:pPr>
          </w:p>
          <w:p>
            <w:pPr>
              <w:pStyle w:val="10"/>
              <w:jc w:val="center"/>
              <w:rPr>
                <w:rFonts w:ascii="Times New Roman"/>
                <w:sz w:val="20"/>
                <w:highlight w:val="none"/>
              </w:rPr>
            </w:pPr>
          </w:p>
          <w:p>
            <w:pPr>
              <w:pStyle w:val="10"/>
              <w:ind w:left="0" w:leftChars="0" w:firstLine="0" w:firstLineChars="0"/>
              <w:jc w:val="both"/>
              <w:rPr>
                <w:rFonts w:ascii="Times New Roman"/>
                <w:sz w:val="20"/>
                <w:highlight w:val="none"/>
              </w:rPr>
            </w:pPr>
          </w:p>
          <w:p>
            <w:pPr>
              <w:pStyle w:val="10"/>
              <w:jc w:val="center"/>
              <w:rPr>
                <w:rFonts w:ascii="Times New Roman"/>
                <w:sz w:val="20"/>
                <w:highlight w:val="none"/>
              </w:rPr>
            </w:pPr>
          </w:p>
          <w:p>
            <w:pPr>
              <w:pStyle w:val="10"/>
              <w:spacing w:before="11"/>
              <w:jc w:val="center"/>
              <w:rPr>
                <w:rFonts w:ascii="Times New Roman"/>
                <w:sz w:val="17"/>
                <w:highlight w:val="none"/>
              </w:rPr>
            </w:pPr>
          </w:p>
          <w:p>
            <w:pPr>
              <w:pStyle w:val="10"/>
              <w:spacing w:line="242" w:lineRule="auto"/>
              <w:ind w:left="148" w:right="38"/>
              <w:jc w:val="center"/>
              <w:rPr>
                <w:sz w:val="21"/>
                <w:highlight w:val="none"/>
              </w:rPr>
            </w:pPr>
            <w:r>
              <w:rPr>
                <w:sz w:val="21"/>
                <w:highlight w:val="none"/>
              </w:rPr>
              <w:t>第</w:t>
            </w:r>
            <w:r>
              <w:rPr>
                <w:rFonts w:hint="eastAsia"/>
                <w:sz w:val="21"/>
                <w:highlight w:val="none"/>
                <w:lang w:eastAsia="zh-CN"/>
              </w:rPr>
              <w:t>第</w:t>
            </w:r>
            <w:r>
              <w:rPr>
                <w:sz w:val="21"/>
                <w:highlight w:val="none"/>
              </w:rPr>
              <w:t>二信封</w:t>
            </w:r>
          </w:p>
          <w:p>
            <w:pPr>
              <w:pStyle w:val="10"/>
              <w:spacing w:before="3" w:line="242" w:lineRule="auto"/>
              <w:ind w:left="148" w:right="38"/>
              <w:jc w:val="center"/>
              <w:rPr>
                <w:sz w:val="21"/>
                <w:highlight w:val="none"/>
              </w:rPr>
            </w:pPr>
            <w:r>
              <w:rPr>
                <w:sz w:val="21"/>
                <w:highlight w:val="none"/>
              </w:rPr>
              <w:t>（ 报价文件</w:t>
            </w:r>
          </w:p>
          <w:p>
            <w:pPr>
              <w:pStyle w:val="10"/>
              <w:spacing w:before="2"/>
              <w:ind w:left="148"/>
              <w:rPr>
                <w:sz w:val="21"/>
                <w:highlight w:val="none"/>
              </w:rPr>
            </w:pPr>
            <w:r>
              <w:rPr>
                <w:sz w:val="21"/>
                <w:highlight w:val="none"/>
              </w:rPr>
              <w:t xml:space="preserve">） </w:t>
            </w:r>
          </w:p>
        </w:tc>
        <w:tc>
          <w:tcPr>
            <w:tcW w:w="763" w:type="dxa"/>
            <w:vMerge w:val="restart"/>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47" w:line="242" w:lineRule="auto"/>
              <w:ind w:left="0" w:leftChars="0" w:right="57" w:firstLine="210" w:firstLineChars="100"/>
              <w:rPr>
                <w:sz w:val="21"/>
                <w:highlight w:val="none"/>
              </w:rPr>
            </w:pPr>
            <w:r>
              <w:rPr>
                <w:sz w:val="21"/>
                <w:highlight w:val="none"/>
              </w:rPr>
              <w:t xml:space="preserve">初步评审 </w:t>
            </w:r>
          </w:p>
        </w:tc>
        <w:tc>
          <w:tcPr>
            <w:tcW w:w="1768" w:type="dxa"/>
            <w:noWrap w:val="0"/>
            <w:vAlign w:val="top"/>
          </w:tcPr>
          <w:p>
            <w:pPr>
              <w:pStyle w:val="10"/>
              <w:spacing w:before="102" w:line="244" w:lineRule="auto"/>
              <w:ind w:left="110" w:right="103"/>
              <w:rPr>
                <w:sz w:val="21"/>
                <w:highlight w:val="none"/>
              </w:rPr>
            </w:pPr>
            <w:r>
              <w:rPr>
                <w:sz w:val="21"/>
                <w:highlight w:val="none"/>
              </w:rPr>
              <w:t xml:space="preserve">文件签字盖章 </w:t>
            </w:r>
          </w:p>
        </w:tc>
        <w:tc>
          <w:tcPr>
            <w:tcW w:w="5754" w:type="dxa"/>
            <w:noWrap w:val="0"/>
            <w:vAlign w:val="top"/>
          </w:tcPr>
          <w:p>
            <w:pPr>
              <w:pStyle w:val="10"/>
              <w:spacing w:before="8"/>
              <w:rPr>
                <w:rFonts w:ascii="Times New Roman"/>
                <w:sz w:val="20"/>
                <w:highlight w:val="none"/>
              </w:rPr>
            </w:pPr>
          </w:p>
          <w:p>
            <w:pPr>
              <w:pStyle w:val="10"/>
              <w:ind w:left="108"/>
              <w:rPr>
                <w:sz w:val="21"/>
                <w:highlight w:val="none"/>
              </w:rPr>
            </w:pPr>
            <w:r>
              <w:rPr>
                <w:sz w:val="21"/>
                <w:highlight w:val="none"/>
              </w:rPr>
              <w:t xml:space="preserve">符合第二章“投标人须知”第 3.7.3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102" w:line="242" w:lineRule="auto"/>
              <w:ind w:left="110" w:right="103"/>
              <w:rPr>
                <w:sz w:val="21"/>
                <w:highlight w:val="none"/>
              </w:rPr>
            </w:pPr>
            <w:r>
              <w:rPr>
                <w:sz w:val="21"/>
                <w:highlight w:val="none"/>
              </w:rPr>
              <w:t xml:space="preserve">文件填写及组成 </w:t>
            </w:r>
          </w:p>
        </w:tc>
        <w:tc>
          <w:tcPr>
            <w:tcW w:w="5754"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组成齐全，没有缺项或缺页，内容均按招标文件规定填写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102"/>
              <w:ind w:left="110"/>
              <w:rPr>
                <w:sz w:val="21"/>
                <w:highlight w:val="none"/>
              </w:rPr>
            </w:pPr>
            <w:r>
              <w:rPr>
                <w:sz w:val="21"/>
                <w:highlight w:val="none"/>
              </w:rPr>
              <w:t xml:space="preserve">报价函填写 </w:t>
            </w:r>
          </w:p>
        </w:tc>
        <w:tc>
          <w:tcPr>
            <w:tcW w:w="5754" w:type="dxa"/>
            <w:noWrap w:val="0"/>
            <w:vAlign w:val="top"/>
          </w:tcPr>
          <w:p>
            <w:pPr>
              <w:pStyle w:val="10"/>
              <w:spacing w:before="102"/>
              <w:ind w:left="108"/>
              <w:rPr>
                <w:sz w:val="21"/>
                <w:highlight w:val="none"/>
              </w:rPr>
            </w:pPr>
            <w:r>
              <w:rPr>
                <w:sz w:val="21"/>
                <w:highlight w:val="none"/>
              </w:rPr>
              <w:t xml:space="preserve">按招标文件规定填报了正确的招标人名称、项目名称、标段名称、补遗书编号（如有）、投标报价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99" w:line="244" w:lineRule="auto"/>
              <w:ind w:left="417" w:leftChars="0" w:right="199" w:rightChars="0" w:hanging="209" w:firstLineChars="0"/>
              <w:rPr>
                <w:sz w:val="21"/>
                <w:highlight w:val="none"/>
              </w:rPr>
            </w:pPr>
            <w:r>
              <w:rPr>
                <w:sz w:val="21"/>
                <w:highlight w:val="none"/>
              </w:rPr>
              <w:t xml:space="preserve">已标价工程量清单文字说明 </w:t>
            </w:r>
          </w:p>
        </w:tc>
        <w:tc>
          <w:tcPr>
            <w:tcW w:w="5754" w:type="dxa"/>
            <w:noWrap w:val="0"/>
            <w:vAlign w:val="top"/>
          </w:tcPr>
          <w:p>
            <w:pPr>
              <w:pStyle w:val="10"/>
              <w:spacing w:before="99" w:line="244" w:lineRule="auto"/>
              <w:ind w:left="108" w:leftChars="0" w:right="237" w:rightChars="0"/>
              <w:rPr>
                <w:sz w:val="21"/>
                <w:highlight w:val="none"/>
              </w:rPr>
            </w:pPr>
            <w:r>
              <w:rPr>
                <w:sz w:val="21"/>
                <w:highlight w:val="none"/>
              </w:rPr>
              <w:t xml:space="preserve">已标价工程量清单文字说明与招标文件规定一致，未进行修改或删除。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102" w:line="244" w:lineRule="auto"/>
              <w:ind w:left="110" w:right="103"/>
              <w:rPr>
                <w:sz w:val="21"/>
                <w:highlight w:val="none"/>
              </w:rPr>
            </w:pPr>
            <w:r>
              <w:rPr>
                <w:sz w:val="21"/>
                <w:highlight w:val="none"/>
              </w:rPr>
              <w:t xml:space="preserve">已标价工程量清单 </w:t>
            </w:r>
          </w:p>
        </w:tc>
        <w:tc>
          <w:tcPr>
            <w:tcW w:w="5754" w:type="dxa"/>
            <w:noWrap w:val="0"/>
            <w:vAlign w:val="top"/>
          </w:tcPr>
          <w:p>
            <w:pPr>
              <w:pStyle w:val="10"/>
              <w:spacing w:before="102" w:line="244" w:lineRule="auto"/>
              <w:ind w:left="108" w:right="118"/>
              <w:rPr>
                <w:sz w:val="21"/>
                <w:highlight w:val="none"/>
              </w:rPr>
            </w:pPr>
            <w:r>
              <w:rPr>
                <w:sz w:val="21"/>
                <w:highlight w:val="none"/>
              </w:rPr>
              <w:t xml:space="preserve">未对工程量固化清单电子文件中的数据、格式和运算定义进行修改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102" w:line="242" w:lineRule="auto"/>
              <w:ind w:left="110" w:right="103"/>
              <w:rPr>
                <w:sz w:val="21"/>
                <w:highlight w:val="none"/>
              </w:rPr>
            </w:pPr>
            <w:r>
              <w:rPr>
                <w:sz w:val="21"/>
                <w:highlight w:val="none"/>
              </w:rPr>
              <w:t>价格指数和权重指数</w:t>
            </w:r>
          </w:p>
          <w:p>
            <w:pPr>
              <w:pStyle w:val="10"/>
              <w:spacing w:before="1"/>
              <w:ind w:left="110"/>
              <w:rPr>
                <w:sz w:val="21"/>
                <w:highlight w:val="none"/>
              </w:rPr>
            </w:pPr>
            <w:r>
              <w:rPr>
                <w:sz w:val="21"/>
                <w:highlight w:val="none"/>
              </w:rPr>
              <w:t xml:space="preserve">(如有) </w:t>
            </w:r>
          </w:p>
        </w:tc>
        <w:tc>
          <w:tcPr>
            <w:tcW w:w="5754" w:type="dxa"/>
            <w:noWrap w:val="0"/>
            <w:vAlign w:val="top"/>
          </w:tcPr>
          <w:p>
            <w:pPr>
              <w:pStyle w:val="10"/>
              <w:rPr>
                <w:rFonts w:ascii="Times New Roman"/>
                <w:sz w:val="20"/>
                <w:highlight w:val="none"/>
              </w:rPr>
            </w:pPr>
          </w:p>
          <w:p>
            <w:pPr>
              <w:pStyle w:val="10"/>
              <w:spacing w:before="143"/>
              <w:ind w:left="108"/>
              <w:rPr>
                <w:sz w:val="21"/>
                <w:highlight w:val="none"/>
              </w:rPr>
            </w:pPr>
            <w:r>
              <w:rPr>
                <w:sz w:val="21"/>
                <w:highlight w:val="none"/>
              </w:rPr>
              <w:t xml:space="preserve">填写符合招标文件规定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Merge w:val="continue"/>
            <w:tcBorders>
              <w:top w:val="nil"/>
            </w:tcBorders>
            <w:noWrap w:val="0"/>
            <w:vAlign w:val="top"/>
          </w:tcPr>
          <w:p>
            <w:pPr>
              <w:rPr>
                <w:sz w:val="2"/>
                <w:szCs w:val="2"/>
                <w:highlight w:val="none"/>
              </w:rPr>
            </w:pPr>
          </w:p>
        </w:tc>
        <w:tc>
          <w:tcPr>
            <w:tcW w:w="511" w:type="dxa"/>
            <w:vMerge w:val="continue"/>
            <w:tcBorders>
              <w:top w:val="nil"/>
            </w:tcBorders>
            <w:noWrap w:val="0"/>
            <w:vAlign w:val="top"/>
          </w:tcPr>
          <w:p>
            <w:pPr>
              <w:rPr>
                <w:sz w:val="2"/>
                <w:szCs w:val="2"/>
                <w:highlight w:val="none"/>
              </w:rPr>
            </w:pPr>
          </w:p>
        </w:tc>
        <w:tc>
          <w:tcPr>
            <w:tcW w:w="763" w:type="dxa"/>
            <w:vMerge w:val="continue"/>
            <w:tcBorders>
              <w:top w:val="nil"/>
            </w:tcBorders>
            <w:noWrap w:val="0"/>
            <w:vAlign w:val="top"/>
          </w:tcPr>
          <w:p>
            <w:pPr>
              <w:rPr>
                <w:sz w:val="2"/>
                <w:szCs w:val="2"/>
                <w:highlight w:val="none"/>
              </w:rPr>
            </w:pPr>
          </w:p>
        </w:tc>
        <w:tc>
          <w:tcPr>
            <w:tcW w:w="1768" w:type="dxa"/>
            <w:noWrap w:val="0"/>
            <w:vAlign w:val="top"/>
          </w:tcPr>
          <w:p>
            <w:pPr>
              <w:pStyle w:val="10"/>
              <w:spacing w:before="99"/>
              <w:ind w:left="110"/>
              <w:rPr>
                <w:sz w:val="21"/>
                <w:highlight w:val="none"/>
              </w:rPr>
            </w:pPr>
            <w:r>
              <w:rPr>
                <w:sz w:val="21"/>
                <w:highlight w:val="none"/>
              </w:rPr>
              <w:t xml:space="preserve">投标报价 </w:t>
            </w:r>
          </w:p>
        </w:tc>
        <w:tc>
          <w:tcPr>
            <w:tcW w:w="5754" w:type="dxa"/>
            <w:noWrap w:val="0"/>
            <w:vAlign w:val="top"/>
          </w:tcPr>
          <w:p>
            <w:pPr>
              <w:pStyle w:val="10"/>
              <w:spacing w:before="99"/>
              <w:ind w:left="108"/>
              <w:rPr>
                <w:sz w:val="21"/>
                <w:highlight w:val="none"/>
              </w:rPr>
            </w:pPr>
            <w:r>
              <w:rPr>
                <w:sz w:val="21"/>
                <w:highlight w:val="none"/>
              </w:rPr>
              <w:t xml:space="preserve">未超过招标人公布的最高投标限价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tcBorders>
              <w:top w:val="nil"/>
            </w:tcBorders>
            <w:noWrap w:val="0"/>
            <w:vAlign w:val="top"/>
          </w:tcPr>
          <w:p>
            <w:pPr>
              <w:rPr>
                <w:sz w:val="2"/>
                <w:szCs w:val="2"/>
                <w:highlight w:val="none"/>
              </w:rPr>
            </w:pPr>
          </w:p>
        </w:tc>
        <w:tc>
          <w:tcPr>
            <w:tcW w:w="511" w:type="dxa"/>
            <w:tcBorders>
              <w:top w:val="nil"/>
            </w:tcBorders>
            <w:noWrap w:val="0"/>
            <w:vAlign w:val="top"/>
          </w:tcPr>
          <w:p>
            <w:pPr>
              <w:rPr>
                <w:sz w:val="2"/>
                <w:szCs w:val="2"/>
                <w:highlight w:val="none"/>
              </w:rPr>
            </w:pPr>
          </w:p>
        </w:tc>
        <w:tc>
          <w:tcPr>
            <w:tcW w:w="763" w:type="dxa"/>
            <w:tcBorders>
              <w:top w:val="nil"/>
            </w:tcBorders>
            <w:noWrap w:val="0"/>
            <w:vAlign w:val="top"/>
          </w:tcPr>
          <w:p>
            <w:pPr>
              <w:rPr>
                <w:sz w:val="2"/>
                <w:szCs w:val="2"/>
                <w:highlight w:val="none"/>
              </w:rPr>
            </w:pPr>
          </w:p>
        </w:tc>
        <w:tc>
          <w:tcPr>
            <w:tcW w:w="1768" w:type="dxa"/>
            <w:noWrap w:val="0"/>
            <w:vAlign w:val="top"/>
          </w:tcPr>
          <w:p>
            <w:pPr>
              <w:pStyle w:val="10"/>
              <w:spacing w:before="99" w:line="244" w:lineRule="auto"/>
              <w:ind w:left="417" w:leftChars="0" w:right="57" w:rightChars="0" w:hanging="310" w:firstLineChars="0"/>
              <w:rPr>
                <w:sz w:val="21"/>
                <w:highlight w:val="none"/>
              </w:rPr>
            </w:pPr>
            <w:r>
              <w:rPr>
                <w:sz w:val="21"/>
                <w:highlight w:val="none"/>
              </w:rPr>
              <w:t xml:space="preserve">第二个信封（报价文件）递交 </w:t>
            </w:r>
          </w:p>
        </w:tc>
        <w:tc>
          <w:tcPr>
            <w:tcW w:w="5754" w:type="dxa"/>
            <w:noWrap w:val="0"/>
            <w:vAlign w:val="top"/>
          </w:tcPr>
          <w:p>
            <w:pPr>
              <w:pStyle w:val="10"/>
              <w:spacing w:before="99" w:line="244" w:lineRule="auto"/>
              <w:ind w:left="108" w:leftChars="0" w:right="26" w:rightChars="0"/>
              <w:rPr>
                <w:sz w:val="21"/>
                <w:highlight w:val="none"/>
              </w:rPr>
            </w:pPr>
            <w:r>
              <w:rPr>
                <w:sz w:val="21"/>
                <w:highlight w:val="none"/>
              </w:rPr>
              <w:t xml:space="preserve">第二个信封（报价文件）的递交符合第一章“招标公告” 第 5.2 款的要求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20" w:type="dxa"/>
            <w:gridSpan w:val="2"/>
            <w:noWrap w:val="0"/>
            <w:vAlign w:val="top"/>
          </w:tcPr>
          <w:p>
            <w:pPr>
              <w:pStyle w:val="10"/>
              <w:spacing w:before="6"/>
              <w:rPr>
                <w:rFonts w:ascii="Times New Roman"/>
                <w:sz w:val="20"/>
                <w:highlight w:val="none"/>
              </w:rPr>
            </w:pPr>
          </w:p>
          <w:p>
            <w:pPr>
              <w:pStyle w:val="10"/>
              <w:ind w:left="0" w:leftChars="0" w:firstLine="0" w:firstLineChars="0"/>
              <w:rPr>
                <w:sz w:val="21"/>
                <w:highlight w:val="none"/>
              </w:rPr>
            </w:pPr>
            <w:r>
              <w:rPr>
                <w:sz w:val="21"/>
                <w:highlight w:val="none"/>
              </w:rPr>
              <w:t xml:space="preserve">2.2.1 </w:t>
            </w:r>
          </w:p>
        </w:tc>
        <w:tc>
          <w:tcPr>
            <w:tcW w:w="2531" w:type="dxa"/>
            <w:gridSpan w:val="2"/>
            <w:noWrap w:val="0"/>
            <w:vAlign w:val="top"/>
          </w:tcPr>
          <w:p>
            <w:pPr>
              <w:pStyle w:val="10"/>
              <w:spacing w:before="100" w:line="244" w:lineRule="auto"/>
              <w:ind w:right="78"/>
              <w:rPr>
                <w:sz w:val="21"/>
                <w:highlight w:val="none"/>
              </w:rPr>
            </w:pPr>
            <w:r>
              <w:rPr>
                <w:sz w:val="21"/>
                <w:highlight w:val="none"/>
              </w:rPr>
              <w:t xml:space="preserve">分值构成(总分 100 分) </w:t>
            </w:r>
          </w:p>
        </w:tc>
        <w:tc>
          <w:tcPr>
            <w:tcW w:w="5754" w:type="dxa"/>
            <w:noWrap w:val="0"/>
            <w:vAlign w:val="top"/>
          </w:tcPr>
          <w:p>
            <w:pPr>
              <w:pStyle w:val="10"/>
              <w:spacing w:before="100"/>
              <w:ind w:left="108"/>
              <w:rPr>
                <w:sz w:val="21"/>
                <w:highlight w:val="none"/>
              </w:rPr>
            </w:pPr>
            <w:r>
              <w:rPr>
                <w:sz w:val="21"/>
                <w:highlight w:val="none"/>
              </w:rPr>
              <w:t xml:space="preserve">评标价：100.0 分 </w:t>
            </w:r>
          </w:p>
          <w:p>
            <w:pPr>
              <w:pStyle w:val="10"/>
              <w:spacing w:before="4"/>
              <w:ind w:left="108"/>
              <w:rPr>
                <w:sz w:val="21"/>
                <w:highlight w:val="none"/>
              </w:rPr>
            </w:pPr>
            <w:r>
              <w:rPr>
                <w:sz w:val="21"/>
                <w:highlight w:val="none"/>
              </w:rPr>
              <w:t xml:space="preserve">其他因素分值均为：0 分 </w:t>
            </w:r>
          </w:p>
        </w:tc>
      </w:tr>
    </w:tbl>
    <w:p>
      <w:pPr>
        <w:rPr>
          <w:sz w:val="21"/>
          <w:highlight w:val="none"/>
        </w:rPr>
        <w:sectPr>
          <w:pgSz w:w="11910" w:h="16850"/>
          <w:pgMar w:top="1600" w:right="780" w:bottom="280" w:left="780" w:header="720" w:footer="720" w:gutter="0"/>
          <w:cols w:space="720" w:num="1"/>
        </w:sectPr>
      </w:pPr>
    </w:p>
    <w:p>
      <w:pPr>
        <w:pStyle w:val="5"/>
        <w:spacing w:before="9"/>
        <w:rPr>
          <w:rFonts w:ascii="Times New Roman"/>
          <w:sz w:val="8"/>
          <w:highlight w:val="none"/>
        </w:rPr>
      </w:pPr>
    </w:p>
    <w:tbl>
      <w:tblPr>
        <w:tblStyle w:val="7"/>
        <w:tblW w:w="0" w:type="auto"/>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2038"/>
        <w:gridCol w:w="6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9" w:hRule="atLeast"/>
        </w:trPr>
        <w:tc>
          <w:tcPr>
            <w:tcW w:w="1020" w:type="dxa"/>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65"/>
              <w:ind w:left="0" w:leftChars="0" w:right="134" w:firstLine="0" w:firstLineChars="0"/>
              <w:jc w:val="both"/>
              <w:rPr>
                <w:sz w:val="21"/>
                <w:highlight w:val="none"/>
              </w:rPr>
            </w:pPr>
            <w:r>
              <w:rPr>
                <w:sz w:val="21"/>
                <w:highlight w:val="none"/>
              </w:rPr>
              <w:t xml:space="preserve">2.2.2 </w:t>
            </w:r>
          </w:p>
        </w:tc>
        <w:tc>
          <w:tcPr>
            <w:tcW w:w="2038" w:type="dxa"/>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5"/>
              <w:rPr>
                <w:rFonts w:ascii="Times New Roman"/>
                <w:highlight w:val="none"/>
              </w:rPr>
            </w:pPr>
          </w:p>
          <w:p>
            <w:pPr>
              <w:pStyle w:val="10"/>
              <w:spacing w:line="244" w:lineRule="auto"/>
              <w:ind w:left="0" w:leftChars="0" w:right="168" w:firstLine="0" w:firstLineChars="0"/>
              <w:rPr>
                <w:sz w:val="21"/>
                <w:highlight w:val="none"/>
              </w:rPr>
            </w:pPr>
            <w:r>
              <w:rPr>
                <w:sz w:val="21"/>
                <w:highlight w:val="none"/>
              </w:rPr>
              <w:t xml:space="preserve">评标基准价计算方法 </w:t>
            </w:r>
          </w:p>
        </w:tc>
        <w:tc>
          <w:tcPr>
            <w:tcW w:w="6118" w:type="dxa"/>
            <w:noWrap w:val="0"/>
            <w:vAlign w:val="top"/>
          </w:tcPr>
          <w:p>
            <w:pPr>
              <w:pStyle w:val="10"/>
              <w:spacing w:before="102" w:line="242" w:lineRule="auto"/>
              <w:ind w:left="108" w:right="117"/>
              <w:jc w:val="both"/>
              <w:rPr>
                <w:sz w:val="21"/>
                <w:highlight w:val="none"/>
              </w:rPr>
            </w:pPr>
            <w:r>
              <w:rPr>
                <w:sz w:val="21"/>
                <w:highlight w:val="none"/>
              </w:rPr>
              <w:t xml:space="preserve">本次招标设定的评标基准价计算方法，在第二信封（报价文件） 开标现场，每个标段随机抽取其中的一种作为该标段评标基准价的计算方法。 </w:t>
            </w:r>
          </w:p>
          <w:p>
            <w:pPr>
              <w:pStyle w:val="10"/>
              <w:ind w:left="108"/>
              <w:jc w:val="both"/>
              <w:rPr>
                <w:sz w:val="21"/>
                <w:highlight w:val="none"/>
              </w:rPr>
            </w:pPr>
            <w:r>
              <w:rPr>
                <w:sz w:val="21"/>
                <w:highlight w:val="none"/>
              </w:rPr>
              <w:t xml:space="preserve">评标价 E=投标报价函文字报价。 </w:t>
            </w:r>
          </w:p>
          <w:p>
            <w:pPr>
              <w:pStyle w:val="10"/>
              <w:spacing w:before="2" w:line="244" w:lineRule="auto"/>
              <w:ind w:left="108" w:right="225"/>
              <w:jc w:val="both"/>
              <w:rPr>
                <w:sz w:val="21"/>
                <w:highlight w:val="none"/>
              </w:rPr>
            </w:pPr>
            <w:r>
              <w:rPr>
                <w:spacing w:val="-5"/>
                <w:sz w:val="21"/>
                <w:highlight w:val="none"/>
              </w:rPr>
              <w:t xml:space="preserve">当采用方法一、二、三时，评标基准价计算时去掉 </w:t>
            </w:r>
            <w:r>
              <w:rPr>
                <w:sz w:val="21"/>
                <w:highlight w:val="none"/>
              </w:rPr>
              <w:t>n1</w:t>
            </w:r>
            <w:r>
              <w:rPr>
                <w:spacing w:val="-10"/>
                <w:sz w:val="21"/>
                <w:highlight w:val="none"/>
              </w:rPr>
              <w:t xml:space="preserve"> 个最高评</w:t>
            </w:r>
            <w:r>
              <w:rPr>
                <w:spacing w:val="-17"/>
                <w:sz w:val="21"/>
                <w:highlight w:val="none"/>
              </w:rPr>
              <w:t xml:space="preserve">标价和 </w:t>
            </w:r>
            <w:r>
              <w:rPr>
                <w:sz w:val="21"/>
                <w:highlight w:val="none"/>
              </w:rPr>
              <w:t>n2</w:t>
            </w:r>
            <w:r>
              <w:rPr>
                <w:spacing w:val="-10"/>
                <w:sz w:val="21"/>
                <w:highlight w:val="none"/>
              </w:rPr>
              <w:t xml:space="preserve"> 个最低评标价。</w:t>
            </w:r>
            <w:r>
              <w:rPr>
                <w:sz w:val="21"/>
                <w:highlight w:val="none"/>
              </w:rPr>
              <w:t xml:space="preserve"> </w:t>
            </w:r>
          </w:p>
          <w:p>
            <w:pPr>
              <w:pStyle w:val="10"/>
              <w:spacing w:line="265" w:lineRule="exact"/>
              <w:ind w:left="108"/>
              <w:jc w:val="both"/>
              <w:rPr>
                <w:sz w:val="21"/>
                <w:highlight w:val="none"/>
              </w:rPr>
            </w:pPr>
            <w:r>
              <w:rPr>
                <w:sz w:val="21"/>
                <w:highlight w:val="none"/>
              </w:rPr>
              <w:t xml:space="preserve">①当 N 小于 6 时，n1、n2 均取 0； </w:t>
            </w:r>
          </w:p>
          <w:p>
            <w:pPr>
              <w:pStyle w:val="10"/>
              <w:spacing w:before="5" w:line="242" w:lineRule="auto"/>
              <w:ind w:left="108" w:right="117"/>
              <w:jc w:val="both"/>
              <w:rPr>
                <w:sz w:val="21"/>
                <w:highlight w:val="none"/>
              </w:rPr>
            </w:pPr>
            <w:r>
              <w:rPr>
                <w:spacing w:val="-17"/>
                <w:sz w:val="21"/>
                <w:highlight w:val="none"/>
              </w:rPr>
              <w:t xml:space="preserve">②当 </w:t>
            </w:r>
            <w:r>
              <w:rPr>
                <w:sz w:val="21"/>
                <w:highlight w:val="none"/>
              </w:rPr>
              <w:t>N</w:t>
            </w:r>
            <w:r>
              <w:rPr>
                <w:spacing w:val="-19"/>
                <w:sz w:val="21"/>
                <w:highlight w:val="none"/>
              </w:rPr>
              <w:t xml:space="preserve"> 大于等于 </w:t>
            </w:r>
            <w:r>
              <w:rPr>
                <w:sz w:val="21"/>
                <w:highlight w:val="none"/>
              </w:rPr>
              <w:t>6</w:t>
            </w:r>
            <w:r>
              <w:rPr>
                <w:spacing w:val="-18"/>
                <w:sz w:val="21"/>
                <w:highlight w:val="none"/>
              </w:rPr>
              <w:t xml:space="preserve"> 时，去掉 </w:t>
            </w:r>
            <w:r>
              <w:rPr>
                <w:sz w:val="21"/>
                <w:highlight w:val="none"/>
              </w:rPr>
              <w:t>n1</w:t>
            </w:r>
            <w:r>
              <w:rPr>
                <w:spacing w:val="-13"/>
                <w:sz w:val="21"/>
                <w:highlight w:val="none"/>
              </w:rPr>
              <w:t xml:space="preserve"> 个最高评标价，去掉 </w:t>
            </w:r>
            <w:r>
              <w:rPr>
                <w:sz w:val="21"/>
                <w:highlight w:val="none"/>
              </w:rPr>
              <w:t>n2</w:t>
            </w:r>
            <w:r>
              <w:rPr>
                <w:spacing w:val="-12"/>
                <w:sz w:val="21"/>
                <w:highlight w:val="none"/>
              </w:rPr>
              <w:t xml:space="preserve"> 个最低评</w:t>
            </w:r>
            <w:r>
              <w:rPr>
                <w:spacing w:val="-9"/>
                <w:sz w:val="21"/>
                <w:highlight w:val="none"/>
              </w:rPr>
              <w:t>标价；</w:t>
            </w:r>
            <w:r>
              <w:rPr>
                <w:sz w:val="21"/>
                <w:highlight w:val="none"/>
              </w:rPr>
              <w:t xml:space="preserve"> </w:t>
            </w:r>
          </w:p>
          <w:p>
            <w:pPr>
              <w:pStyle w:val="10"/>
              <w:spacing w:before="1" w:line="242" w:lineRule="auto"/>
              <w:ind w:left="108" w:right="97"/>
              <w:jc w:val="both"/>
              <w:rPr>
                <w:sz w:val="21"/>
                <w:highlight w:val="none"/>
              </w:rPr>
            </w:pPr>
            <w:r>
              <w:rPr>
                <w:sz w:val="21"/>
                <w:highlight w:val="none"/>
              </w:rPr>
              <w:t>n1</w:t>
            </w:r>
            <w:r>
              <w:rPr>
                <w:spacing w:val="-67"/>
                <w:sz w:val="21"/>
                <w:highlight w:val="none"/>
              </w:rPr>
              <w:t xml:space="preserve"> </w:t>
            </w:r>
            <w:r>
              <w:rPr>
                <w:spacing w:val="-3"/>
                <w:sz w:val="21"/>
                <w:highlight w:val="none"/>
              </w:rPr>
              <w:t>在取值区间</w:t>
            </w:r>
            <w:r>
              <w:rPr>
                <w:spacing w:val="-67"/>
                <w:sz w:val="21"/>
                <w:highlight w:val="none"/>
              </w:rPr>
              <w:t xml:space="preserve"> </w:t>
            </w:r>
            <w:r>
              <w:rPr>
                <w:spacing w:val="-3"/>
                <w:sz w:val="21"/>
                <w:highlight w:val="none"/>
              </w:rPr>
              <w:t>1</w:t>
            </w:r>
            <w:r>
              <w:rPr>
                <w:sz w:val="21"/>
                <w:highlight w:val="none"/>
              </w:rPr>
              <w:t>～M-1</w:t>
            </w:r>
            <w:r>
              <w:rPr>
                <w:spacing w:val="-69"/>
                <w:sz w:val="21"/>
                <w:highlight w:val="none"/>
              </w:rPr>
              <w:t xml:space="preserve"> </w:t>
            </w:r>
            <w:r>
              <w:rPr>
                <w:spacing w:val="-24"/>
                <w:sz w:val="21"/>
                <w:highlight w:val="none"/>
              </w:rPr>
              <w:t>中随机抽取</w:t>
            </w:r>
            <w:r>
              <w:rPr>
                <w:sz w:val="21"/>
                <w:highlight w:val="none"/>
              </w:rPr>
              <w:t>（</w:t>
            </w:r>
            <w:r>
              <w:rPr>
                <w:spacing w:val="-2"/>
                <w:sz w:val="21"/>
                <w:highlight w:val="none"/>
              </w:rPr>
              <w:t>最小为</w:t>
            </w:r>
            <w:r>
              <w:rPr>
                <w:spacing w:val="-67"/>
                <w:sz w:val="21"/>
                <w:highlight w:val="none"/>
              </w:rPr>
              <w:t xml:space="preserve"> </w:t>
            </w:r>
            <w:r>
              <w:rPr>
                <w:spacing w:val="-3"/>
                <w:sz w:val="21"/>
                <w:highlight w:val="none"/>
              </w:rPr>
              <w:t>1</w:t>
            </w:r>
            <w:r>
              <w:rPr>
                <w:spacing w:val="-106"/>
                <w:sz w:val="21"/>
                <w:highlight w:val="none"/>
              </w:rPr>
              <w:t>）</w:t>
            </w:r>
            <w:r>
              <w:rPr>
                <w:sz w:val="21"/>
                <w:highlight w:val="none"/>
              </w:rPr>
              <w:t>，</w:t>
            </w:r>
            <w:r>
              <w:rPr>
                <w:spacing w:val="-3"/>
                <w:sz w:val="21"/>
                <w:highlight w:val="none"/>
              </w:rPr>
              <w:t>n</w:t>
            </w:r>
            <w:r>
              <w:rPr>
                <w:sz w:val="21"/>
                <w:highlight w:val="none"/>
              </w:rPr>
              <w:t>2</w:t>
            </w:r>
            <w:r>
              <w:rPr>
                <w:spacing w:val="-66"/>
                <w:sz w:val="21"/>
                <w:highlight w:val="none"/>
              </w:rPr>
              <w:t xml:space="preserve"> </w:t>
            </w:r>
            <w:r>
              <w:rPr>
                <w:spacing w:val="-3"/>
                <w:sz w:val="21"/>
                <w:highlight w:val="none"/>
              </w:rPr>
              <w:t>在取值区间</w:t>
            </w:r>
            <w:r>
              <w:rPr>
                <w:spacing w:val="-67"/>
                <w:sz w:val="21"/>
                <w:highlight w:val="none"/>
              </w:rPr>
              <w:t xml:space="preserve"> </w:t>
            </w:r>
            <w:r>
              <w:rPr>
                <w:spacing w:val="-3"/>
                <w:sz w:val="21"/>
                <w:highlight w:val="none"/>
              </w:rPr>
              <w:t>1</w:t>
            </w:r>
            <w:r>
              <w:rPr>
                <w:sz w:val="21"/>
                <w:highlight w:val="none"/>
              </w:rPr>
              <w:t>～ M+1</w:t>
            </w:r>
            <w:r>
              <w:rPr>
                <w:spacing w:val="-10"/>
                <w:sz w:val="21"/>
                <w:highlight w:val="none"/>
              </w:rPr>
              <w:t xml:space="preserve"> 中随机抽取；</w:t>
            </w:r>
            <w:r>
              <w:rPr>
                <w:sz w:val="21"/>
                <w:highlight w:val="none"/>
              </w:rPr>
              <w:t>M=N/4，M</w:t>
            </w:r>
            <w:r>
              <w:rPr>
                <w:spacing w:val="-12"/>
                <w:sz w:val="21"/>
                <w:highlight w:val="none"/>
              </w:rPr>
              <w:t xml:space="preserve"> 向下取整。</w:t>
            </w:r>
            <w:r>
              <w:rPr>
                <w:sz w:val="21"/>
                <w:highlight w:val="none"/>
              </w:rPr>
              <w:t xml:space="preserve"> </w:t>
            </w:r>
          </w:p>
          <w:p>
            <w:pPr>
              <w:pStyle w:val="10"/>
              <w:spacing w:before="2" w:line="242" w:lineRule="auto"/>
              <w:ind w:left="108" w:right="170"/>
              <w:jc w:val="both"/>
              <w:rPr>
                <w:sz w:val="21"/>
                <w:highlight w:val="none"/>
              </w:rPr>
            </w:pPr>
            <w:r>
              <w:rPr>
                <w:sz w:val="21"/>
                <w:highlight w:val="none"/>
              </w:rPr>
              <w:t>N</w:t>
            </w:r>
            <w:r>
              <w:rPr>
                <w:spacing w:val="-6"/>
                <w:sz w:val="21"/>
                <w:highlight w:val="none"/>
              </w:rPr>
              <w:t xml:space="preserve"> 为某标段第二信封</w:t>
            </w:r>
            <w:r>
              <w:rPr>
                <w:sz w:val="21"/>
                <w:highlight w:val="none"/>
              </w:rPr>
              <w:t>（</w:t>
            </w:r>
            <w:r>
              <w:rPr>
                <w:spacing w:val="-3"/>
                <w:sz w:val="21"/>
                <w:highlight w:val="none"/>
              </w:rPr>
              <w:t>报价文件</w:t>
            </w:r>
            <w:r>
              <w:rPr>
                <w:sz w:val="21"/>
                <w:highlight w:val="none"/>
              </w:rPr>
              <w:t>）</w:t>
            </w:r>
            <w:r>
              <w:rPr>
                <w:spacing w:val="-3"/>
                <w:sz w:val="21"/>
                <w:highlight w:val="none"/>
              </w:rPr>
              <w:t>现场开标有效的投标人数量， 超过最高投标限价的投标人不参与计算。</w:t>
            </w:r>
            <w:r>
              <w:rPr>
                <w:sz w:val="21"/>
                <w:highlight w:val="none"/>
              </w:rPr>
              <w:t xml:space="preserve"> </w:t>
            </w:r>
          </w:p>
          <w:p>
            <w:pPr>
              <w:pStyle w:val="10"/>
              <w:spacing w:before="1" w:line="242" w:lineRule="auto"/>
              <w:ind w:left="108" w:right="117"/>
              <w:jc w:val="both"/>
              <w:rPr>
                <w:sz w:val="21"/>
                <w:highlight w:val="none"/>
              </w:rPr>
            </w:pPr>
            <w:r>
              <w:rPr>
                <w:spacing w:val="-8"/>
                <w:sz w:val="21"/>
                <w:highlight w:val="none"/>
              </w:rPr>
              <w:t xml:space="preserve">根据上述规则去除 </w:t>
            </w:r>
            <w:r>
              <w:rPr>
                <w:sz w:val="21"/>
                <w:highlight w:val="none"/>
              </w:rPr>
              <w:t>n1</w:t>
            </w:r>
            <w:r>
              <w:rPr>
                <w:spacing w:val="-16"/>
                <w:sz w:val="21"/>
                <w:highlight w:val="none"/>
              </w:rPr>
              <w:t xml:space="preserve"> 个最高值和 </w:t>
            </w:r>
            <w:r>
              <w:rPr>
                <w:sz w:val="21"/>
                <w:highlight w:val="none"/>
              </w:rPr>
              <w:t>n2</w:t>
            </w:r>
            <w:r>
              <w:rPr>
                <w:spacing w:val="-8"/>
                <w:sz w:val="21"/>
                <w:highlight w:val="none"/>
              </w:rPr>
              <w:t xml:space="preserve"> 个最低值后，其余评标价参</w:t>
            </w:r>
            <w:r>
              <w:rPr>
                <w:spacing w:val="-5"/>
                <w:sz w:val="21"/>
                <w:highlight w:val="none"/>
              </w:rPr>
              <w:t>与评标基准价的计算，评标基准价保留两位小数，小数点后第三</w:t>
            </w:r>
            <w:r>
              <w:rPr>
                <w:spacing w:val="-4"/>
                <w:sz w:val="21"/>
                <w:highlight w:val="none"/>
              </w:rPr>
              <w:t>位“四舍五入”。</w:t>
            </w:r>
            <w:r>
              <w:rPr>
                <w:sz w:val="21"/>
                <w:highlight w:val="none"/>
              </w:rPr>
              <w:t xml:space="preserve"> </w:t>
            </w:r>
          </w:p>
          <w:p>
            <w:pPr>
              <w:pStyle w:val="10"/>
              <w:spacing w:before="1"/>
              <w:ind w:left="108"/>
              <w:rPr>
                <w:sz w:val="21"/>
                <w:highlight w:val="none"/>
              </w:rPr>
            </w:pPr>
            <w:r>
              <w:rPr>
                <w:sz w:val="21"/>
                <w:highlight w:val="none"/>
              </w:rPr>
              <w:t xml:space="preserve">※方法一：二次平均法 </w:t>
            </w:r>
          </w:p>
          <w:p>
            <w:pPr>
              <w:pStyle w:val="10"/>
              <w:spacing w:before="5" w:line="242" w:lineRule="auto"/>
              <w:ind w:left="108" w:right="117"/>
              <w:rPr>
                <w:sz w:val="21"/>
                <w:highlight w:val="none"/>
              </w:rPr>
            </w:pPr>
            <w:r>
              <w:rPr>
                <w:sz w:val="21"/>
                <w:highlight w:val="none"/>
              </w:rPr>
              <w:t xml:space="preserve">对参与评标基准价计算的所有评标价进行第一次平均，对所有小于或等于第一次平均值的评标价（不包括去掉的 n2 个最低评标价）进行第二次平均，第二次平均值即为评标基准价 P。 </w:t>
            </w:r>
          </w:p>
          <w:p>
            <w:pPr>
              <w:pStyle w:val="10"/>
              <w:spacing w:before="1"/>
              <w:ind w:left="108"/>
              <w:rPr>
                <w:sz w:val="21"/>
                <w:highlight w:val="none"/>
              </w:rPr>
            </w:pPr>
            <w:r>
              <w:rPr>
                <w:sz w:val="21"/>
                <w:highlight w:val="none"/>
              </w:rPr>
              <w:t xml:space="preserve">※方法二：步距随机系数法 </w:t>
            </w:r>
          </w:p>
          <w:p>
            <w:pPr>
              <w:pStyle w:val="10"/>
              <w:spacing w:before="4" w:line="242" w:lineRule="auto"/>
              <w:ind w:left="108" w:right="1802"/>
              <w:rPr>
                <w:sz w:val="21"/>
                <w:highlight w:val="none"/>
              </w:rPr>
            </w:pPr>
            <w:r>
              <w:rPr>
                <w:sz w:val="21"/>
                <w:highlight w:val="none"/>
              </w:rPr>
              <w:t xml:space="preserve">评 标 基 准 价 P＝(Emax-Emin)×K+ Emin Emax——去掉 n1 个最高评标价后的最大值。Emin——去掉 n2 个最低评标价后的最小值。 </w:t>
            </w:r>
          </w:p>
          <w:p>
            <w:pPr>
              <w:pStyle w:val="10"/>
              <w:spacing w:before="1" w:line="242" w:lineRule="auto"/>
              <w:ind w:left="108" w:right="98"/>
              <w:jc w:val="both"/>
              <w:rPr>
                <w:sz w:val="21"/>
                <w:highlight w:val="none"/>
              </w:rPr>
            </w:pPr>
            <w:r>
              <w:rPr>
                <w:sz w:val="21"/>
                <w:highlight w:val="none"/>
              </w:rPr>
              <w:t>K—</w:t>
            </w:r>
            <w:r>
              <w:rPr>
                <w:spacing w:val="-7"/>
                <w:sz w:val="21"/>
                <w:highlight w:val="none"/>
              </w:rPr>
              <w:t>—基准价系数，由在第二信封</w:t>
            </w:r>
            <w:r>
              <w:rPr>
                <w:spacing w:val="-3"/>
                <w:sz w:val="21"/>
                <w:highlight w:val="none"/>
              </w:rPr>
              <w:t>（</w:t>
            </w:r>
            <w:r>
              <w:rPr>
                <w:spacing w:val="-2"/>
                <w:sz w:val="21"/>
                <w:highlight w:val="none"/>
              </w:rPr>
              <w:t>报价文件</w:t>
            </w:r>
            <w:r>
              <w:rPr>
                <w:spacing w:val="-46"/>
                <w:sz w:val="21"/>
                <w:highlight w:val="none"/>
              </w:rPr>
              <w:t>）</w:t>
            </w:r>
            <w:r>
              <w:rPr>
                <w:spacing w:val="-3"/>
                <w:sz w:val="21"/>
                <w:highlight w:val="none"/>
              </w:rPr>
              <w:t>开标现场随机抽取</w:t>
            </w:r>
            <w:r>
              <w:rPr>
                <w:spacing w:val="-28"/>
                <w:sz w:val="21"/>
                <w:highlight w:val="none"/>
              </w:rPr>
              <w:t xml:space="preserve">的 </w:t>
            </w:r>
            <w:r>
              <w:rPr>
                <w:sz w:val="21"/>
                <w:highlight w:val="none"/>
              </w:rPr>
              <w:t>X</w:t>
            </w:r>
            <w:r>
              <w:rPr>
                <w:spacing w:val="-3"/>
                <w:sz w:val="21"/>
                <w:highlight w:val="none"/>
              </w:rPr>
              <w:t>、</w:t>
            </w:r>
            <w:r>
              <w:rPr>
                <w:sz w:val="21"/>
                <w:highlight w:val="none"/>
              </w:rPr>
              <w:t>Y</w:t>
            </w:r>
            <w:r>
              <w:rPr>
                <w:spacing w:val="-9"/>
                <w:sz w:val="21"/>
                <w:highlight w:val="none"/>
              </w:rPr>
              <w:t xml:space="preserve"> 两个系数构成，</w:t>
            </w:r>
            <w:r>
              <w:rPr>
                <w:sz w:val="21"/>
                <w:highlight w:val="none"/>
              </w:rPr>
              <w:t>K=(X+Y/10)/10</w:t>
            </w:r>
            <w:r>
              <w:rPr>
                <w:spacing w:val="-14"/>
                <w:sz w:val="21"/>
                <w:highlight w:val="none"/>
              </w:rPr>
              <w:t xml:space="preserve">，其中 </w:t>
            </w:r>
            <w:r>
              <w:rPr>
                <w:sz w:val="21"/>
                <w:highlight w:val="none"/>
              </w:rPr>
              <w:t>X、Y</w:t>
            </w:r>
            <w:r>
              <w:rPr>
                <w:spacing w:val="-27"/>
                <w:sz w:val="21"/>
                <w:highlight w:val="none"/>
              </w:rPr>
              <w:t xml:space="preserve"> 各设 </w:t>
            </w:r>
            <w:r>
              <w:rPr>
                <w:sz w:val="21"/>
                <w:highlight w:val="none"/>
              </w:rPr>
              <w:t>10</w:t>
            </w:r>
            <w:r>
              <w:rPr>
                <w:spacing w:val="-19"/>
                <w:sz w:val="21"/>
                <w:highlight w:val="none"/>
              </w:rPr>
              <w:t xml:space="preserve"> 个系</w:t>
            </w:r>
            <w:r>
              <w:rPr>
                <w:spacing w:val="-11"/>
                <w:sz w:val="21"/>
                <w:highlight w:val="none"/>
              </w:rPr>
              <w:t xml:space="preserve">数，分别为 </w:t>
            </w:r>
            <w:r>
              <w:rPr>
                <w:sz w:val="21"/>
                <w:highlight w:val="none"/>
              </w:rPr>
              <w:t>0</w:t>
            </w:r>
            <w:r>
              <w:rPr>
                <w:spacing w:val="-3"/>
                <w:sz w:val="21"/>
                <w:highlight w:val="none"/>
              </w:rPr>
              <w:t>、</w:t>
            </w:r>
            <w:r>
              <w:rPr>
                <w:sz w:val="21"/>
                <w:highlight w:val="none"/>
              </w:rPr>
              <w:t>1、2、</w:t>
            </w:r>
            <w:r>
              <w:rPr>
                <w:spacing w:val="-3"/>
                <w:sz w:val="21"/>
                <w:highlight w:val="none"/>
              </w:rPr>
              <w:t>3、</w:t>
            </w:r>
            <w:r>
              <w:rPr>
                <w:sz w:val="21"/>
                <w:highlight w:val="none"/>
              </w:rPr>
              <w:t>4、5</w:t>
            </w:r>
            <w:r>
              <w:rPr>
                <w:spacing w:val="-3"/>
                <w:sz w:val="21"/>
                <w:highlight w:val="none"/>
              </w:rPr>
              <w:t>、</w:t>
            </w:r>
            <w:r>
              <w:rPr>
                <w:sz w:val="21"/>
                <w:highlight w:val="none"/>
              </w:rPr>
              <w:t>6、</w:t>
            </w:r>
            <w:r>
              <w:rPr>
                <w:spacing w:val="-3"/>
                <w:sz w:val="21"/>
                <w:highlight w:val="none"/>
              </w:rPr>
              <w:t>7</w:t>
            </w:r>
            <w:r>
              <w:rPr>
                <w:sz w:val="21"/>
                <w:highlight w:val="none"/>
              </w:rPr>
              <w:t>、</w:t>
            </w:r>
            <w:r>
              <w:rPr>
                <w:spacing w:val="-3"/>
                <w:sz w:val="21"/>
                <w:highlight w:val="none"/>
              </w:rPr>
              <w:t>8</w:t>
            </w:r>
            <w:r>
              <w:rPr>
                <w:sz w:val="21"/>
                <w:highlight w:val="none"/>
              </w:rPr>
              <w:t>、9</w:t>
            </w:r>
            <w:r>
              <w:rPr>
                <w:spacing w:val="-3"/>
                <w:sz w:val="21"/>
                <w:highlight w:val="none"/>
              </w:rPr>
              <w:t>。</w:t>
            </w:r>
            <w:r>
              <w:rPr>
                <w:sz w:val="21"/>
                <w:highlight w:val="none"/>
              </w:rPr>
              <w:t xml:space="preserve"> </w:t>
            </w:r>
          </w:p>
          <w:p>
            <w:pPr>
              <w:pStyle w:val="10"/>
              <w:spacing w:before="1"/>
              <w:ind w:left="108"/>
              <w:rPr>
                <w:sz w:val="21"/>
                <w:highlight w:val="none"/>
              </w:rPr>
            </w:pPr>
            <w:r>
              <w:rPr>
                <w:sz w:val="21"/>
                <w:highlight w:val="none"/>
              </w:rPr>
              <w:t xml:space="preserve">※方法三：权重随机法 </w:t>
            </w:r>
          </w:p>
          <w:p>
            <w:pPr>
              <w:pStyle w:val="10"/>
              <w:spacing w:before="4"/>
              <w:ind w:left="108"/>
              <w:rPr>
                <w:sz w:val="21"/>
                <w:highlight w:val="none"/>
              </w:rPr>
            </w:pPr>
            <w:r>
              <w:rPr>
                <w:sz w:val="21"/>
                <w:highlight w:val="none"/>
              </w:rPr>
              <w:t xml:space="preserve">评标基准价 P＝A×K+B×(1-K) </w:t>
            </w:r>
          </w:p>
          <w:p>
            <w:pPr>
              <w:pStyle w:val="10"/>
              <w:spacing w:before="3"/>
              <w:ind w:left="108"/>
              <w:rPr>
                <w:sz w:val="21"/>
                <w:highlight w:val="none"/>
              </w:rPr>
            </w:pPr>
            <w:r>
              <w:rPr>
                <w:sz w:val="21"/>
                <w:highlight w:val="none"/>
              </w:rPr>
              <w:t xml:space="preserve">A——去掉 n1 个最高评标价后的最大值 </w:t>
            </w:r>
          </w:p>
          <w:p>
            <w:pPr>
              <w:pStyle w:val="10"/>
              <w:spacing w:before="4"/>
              <w:ind w:left="108"/>
              <w:rPr>
                <w:sz w:val="21"/>
                <w:highlight w:val="none"/>
              </w:rPr>
            </w:pPr>
            <w:r>
              <w:rPr>
                <w:sz w:val="21"/>
                <w:highlight w:val="none"/>
              </w:rPr>
              <w:t xml:space="preserve">B——参与评标基准价计算的所有评标价的平均值 </w:t>
            </w:r>
          </w:p>
          <w:p>
            <w:pPr>
              <w:pStyle w:val="10"/>
              <w:spacing w:before="2" w:line="242" w:lineRule="auto"/>
              <w:ind w:left="108" w:right="98"/>
              <w:rPr>
                <w:sz w:val="21"/>
                <w:highlight w:val="none"/>
              </w:rPr>
            </w:pPr>
            <w:r>
              <w:rPr>
                <w:sz w:val="21"/>
                <w:highlight w:val="none"/>
              </w:rPr>
              <w:t>K—</w:t>
            </w:r>
            <w:r>
              <w:rPr>
                <w:spacing w:val="-7"/>
                <w:sz w:val="21"/>
                <w:highlight w:val="none"/>
              </w:rPr>
              <w:t>—权重系数，由在第二信封</w:t>
            </w:r>
            <w:r>
              <w:rPr>
                <w:sz w:val="21"/>
                <w:highlight w:val="none"/>
              </w:rPr>
              <w:t>（</w:t>
            </w:r>
            <w:r>
              <w:rPr>
                <w:spacing w:val="-3"/>
                <w:sz w:val="21"/>
                <w:highlight w:val="none"/>
              </w:rPr>
              <w:t>报价文件</w:t>
            </w:r>
            <w:r>
              <w:rPr>
                <w:spacing w:val="-44"/>
                <w:sz w:val="21"/>
                <w:highlight w:val="none"/>
              </w:rPr>
              <w:t>）</w:t>
            </w:r>
            <w:r>
              <w:rPr>
                <w:spacing w:val="-3"/>
                <w:sz w:val="21"/>
                <w:highlight w:val="none"/>
              </w:rPr>
              <w:t>开标现场随机抽取的X、Y</w:t>
            </w:r>
            <w:r>
              <w:rPr>
                <w:spacing w:val="-10"/>
                <w:sz w:val="21"/>
                <w:highlight w:val="none"/>
              </w:rPr>
              <w:t xml:space="preserve"> 两个系数构成</w:t>
            </w:r>
            <w:r>
              <w:rPr>
                <w:sz w:val="21"/>
                <w:highlight w:val="none"/>
              </w:rPr>
              <w:t>，K=(X+Y/10)/10</w:t>
            </w:r>
            <w:r>
              <w:rPr>
                <w:spacing w:val="-14"/>
                <w:sz w:val="21"/>
                <w:highlight w:val="none"/>
              </w:rPr>
              <w:t xml:space="preserve">，其中 </w:t>
            </w:r>
            <w:r>
              <w:rPr>
                <w:sz w:val="21"/>
                <w:highlight w:val="none"/>
              </w:rPr>
              <w:t>X</w:t>
            </w:r>
            <w:r>
              <w:rPr>
                <w:spacing w:val="-34"/>
                <w:sz w:val="21"/>
                <w:highlight w:val="none"/>
              </w:rPr>
              <w:t xml:space="preserve"> 有 </w:t>
            </w:r>
            <w:r>
              <w:rPr>
                <w:sz w:val="21"/>
                <w:highlight w:val="none"/>
              </w:rPr>
              <w:t>4</w:t>
            </w:r>
            <w:r>
              <w:rPr>
                <w:spacing w:val="-10"/>
                <w:sz w:val="21"/>
                <w:highlight w:val="none"/>
              </w:rPr>
              <w:t xml:space="preserve"> 个系数，分别</w:t>
            </w:r>
            <w:r>
              <w:rPr>
                <w:spacing w:val="-20"/>
                <w:sz w:val="21"/>
                <w:highlight w:val="none"/>
              </w:rPr>
              <w:t xml:space="preserve">为 </w:t>
            </w:r>
            <w:r>
              <w:rPr>
                <w:sz w:val="21"/>
                <w:highlight w:val="none"/>
              </w:rPr>
              <w:t>3</w:t>
            </w:r>
            <w:r>
              <w:rPr>
                <w:spacing w:val="-3"/>
                <w:sz w:val="21"/>
                <w:highlight w:val="none"/>
              </w:rPr>
              <w:t>、</w:t>
            </w:r>
            <w:r>
              <w:rPr>
                <w:sz w:val="21"/>
                <w:highlight w:val="none"/>
              </w:rPr>
              <w:t>4、</w:t>
            </w:r>
            <w:r>
              <w:rPr>
                <w:spacing w:val="-3"/>
                <w:sz w:val="21"/>
                <w:highlight w:val="none"/>
              </w:rPr>
              <w:t>5</w:t>
            </w:r>
            <w:r>
              <w:rPr>
                <w:sz w:val="21"/>
                <w:highlight w:val="none"/>
              </w:rPr>
              <w:t>、6；Y</w:t>
            </w:r>
            <w:r>
              <w:rPr>
                <w:spacing w:val="-21"/>
                <w:sz w:val="21"/>
                <w:highlight w:val="none"/>
              </w:rPr>
              <w:t xml:space="preserve"> 有 </w:t>
            </w:r>
            <w:r>
              <w:rPr>
                <w:sz w:val="21"/>
                <w:highlight w:val="none"/>
              </w:rPr>
              <w:t>10</w:t>
            </w:r>
            <w:r>
              <w:rPr>
                <w:spacing w:val="-10"/>
                <w:sz w:val="21"/>
                <w:highlight w:val="none"/>
              </w:rPr>
              <w:t xml:space="preserve"> 个系数分别为 </w:t>
            </w:r>
            <w:r>
              <w:rPr>
                <w:sz w:val="21"/>
                <w:highlight w:val="none"/>
              </w:rPr>
              <w:t>0</w:t>
            </w:r>
            <w:r>
              <w:rPr>
                <w:spacing w:val="-3"/>
                <w:sz w:val="21"/>
                <w:highlight w:val="none"/>
              </w:rPr>
              <w:t>、</w:t>
            </w:r>
            <w:r>
              <w:rPr>
                <w:sz w:val="21"/>
                <w:highlight w:val="none"/>
              </w:rPr>
              <w:t>1、</w:t>
            </w:r>
            <w:r>
              <w:rPr>
                <w:spacing w:val="-3"/>
                <w:sz w:val="21"/>
                <w:highlight w:val="none"/>
              </w:rPr>
              <w:t>2</w:t>
            </w:r>
            <w:r>
              <w:rPr>
                <w:sz w:val="21"/>
                <w:highlight w:val="none"/>
              </w:rPr>
              <w:t>、</w:t>
            </w:r>
            <w:r>
              <w:rPr>
                <w:spacing w:val="-3"/>
                <w:sz w:val="21"/>
                <w:highlight w:val="none"/>
              </w:rPr>
              <w:t>3、</w:t>
            </w:r>
            <w:r>
              <w:rPr>
                <w:sz w:val="21"/>
                <w:highlight w:val="none"/>
              </w:rPr>
              <w:t>4、5</w:t>
            </w:r>
            <w:r>
              <w:rPr>
                <w:spacing w:val="-3"/>
                <w:sz w:val="21"/>
                <w:highlight w:val="none"/>
              </w:rPr>
              <w:t>、</w:t>
            </w:r>
            <w:r>
              <w:rPr>
                <w:sz w:val="21"/>
                <w:highlight w:val="none"/>
              </w:rPr>
              <w:t>6、7、8</w:t>
            </w:r>
            <w:r>
              <w:rPr>
                <w:spacing w:val="-3"/>
                <w:sz w:val="21"/>
                <w:highlight w:val="none"/>
              </w:rPr>
              <w:t>、</w:t>
            </w:r>
            <w:r>
              <w:rPr>
                <w:sz w:val="21"/>
                <w:highlight w:val="none"/>
              </w:rPr>
              <w:t>9</w:t>
            </w:r>
            <w:r>
              <w:rPr>
                <w:spacing w:val="-3"/>
                <w:sz w:val="21"/>
                <w:highlight w:val="none"/>
              </w:rPr>
              <w:t>。</w:t>
            </w:r>
            <w:r>
              <w:rPr>
                <w:sz w:val="21"/>
                <w:highlight w:val="none"/>
              </w:rPr>
              <w:t xml:space="preserve"> </w:t>
            </w:r>
          </w:p>
          <w:p>
            <w:pPr>
              <w:pStyle w:val="10"/>
              <w:spacing w:before="3" w:line="244" w:lineRule="auto"/>
              <w:ind w:left="108" w:right="1747"/>
              <w:rPr>
                <w:sz w:val="21"/>
                <w:highlight w:val="none"/>
              </w:rPr>
            </w:pPr>
            <w:r>
              <w:rPr>
                <w:spacing w:val="2"/>
                <w:sz w:val="21"/>
                <w:highlight w:val="none"/>
              </w:rPr>
              <w:t>※   方法四：随机低价法</w:t>
            </w:r>
            <w:r>
              <w:rPr>
                <w:sz w:val="21"/>
                <w:highlight w:val="none"/>
              </w:rPr>
              <w:t>（</w:t>
            </w:r>
            <w:r>
              <w:rPr>
                <w:spacing w:val="2"/>
                <w:sz w:val="21"/>
                <w:highlight w:val="none"/>
              </w:rPr>
              <w:t xml:space="preserve">适用于 </w:t>
            </w:r>
            <w:r>
              <w:rPr>
                <w:spacing w:val="-3"/>
                <w:sz w:val="21"/>
                <w:highlight w:val="none"/>
              </w:rPr>
              <w:t xml:space="preserve">N≥5） </w:t>
            </w:r>
            <w:r>
              <w:rPr>
                <w:spacing w:val="-10"/>
                <w:sz w:val="21"/>
                <w:highlight w:val="none"/>
              </w:rPr>
              <w:t xml:space="preserve">评标基准价 </w:t>
            </w:r>
            <w:r>
              <w:rPr>
                <w:sz w:val="21"/>
                <w:highlight w:val="none"/>
              </w:rPr>
              <w:t>P＝</w:t>
            </w:r>
            <w:r>
              <w:rPr>
                <w:spacing w:val="25"/>
                <w:sz w:val="21"/>
                <w:highlight w:val="none"/>
              </w:rPr>
              <w:t>去掉</w:t>
            </w:r>
            <w:r>
              <w:rPr>
                <w:sz w:val="21"/>
                <w:highlight w:val="none"/>
              </w:rPr>
              <w:t>m</w:t>
            </w:r>
            <w:r>
              <w:rPr>
                <w:spacing w:val="-8"/>
                <w:sz w:val="21"/>
                <w:highlight w:val="none"/>
              </w:rPr>
              <w:t xml:space="preserve"> 个最低评标价的最低价</w:t>
            </w:r>
            <w:r>
              <w:rPr>
                <w:sz w:val="21"/>
                <w:highlight w:val="none"/>
              </w:rPr>
              <w:t xml:space="preserve"> </w:t>
            </w:r>
          </w:p>
          <w:p>
            <w:pPr>
              <w:pStyle w:val="10"/>
              <w:spacing w:line="244" w:lineRule="auto"/>
              <w:ind w:left="108" w:right="223"/>
              <w:rPr>
                <w:sz w:val="21"/>
                <w:highlight w:val="none"/>
              </w:rPr>
            </w:pPr>
            <w:r>
              <w:rPr>
                <w:sz w:val="21"/>
                <w:highlight w:val="none"/>
              </w:rPr>
              <w:t xml:space="preserve">m——在第二信封（报价文件）开标现场随机抽取，取值范围为n3～n4, 步距为 1。 </w:t>
            </w:r>
          </w:p>
          <w:p>
            <w:pPr>
              <w:pStyle w:val="10"/>
              <w:spacing w:line="265" w:lineRule="exact"/>
              <w:ind w:left="108"/>
              <w:rPr>
                <w:sz w:val="21"/>
                <w:highlight w:val="none"/>
              </w:rPr>
            </w:pPr>
            <w:r>
              <w:rPr>
                <w:sz w:val="21"/>
                <w:highlight w:val="none"/>
              </w:rPr>
              <w:t xml:space="preserve">n3=N×0.2，n4=N×0.7，n3、n4 向下取整。 </w:t>
            </w:r>
          </w:p>
          <w:p>
            <w:pPr>
              <w:pStyle w:val="10"/>
              <w:spacing w:before="1" w:line="242" w:lineRule="auto"/>
              <w:ind w:left="108" w:right="117"/>
              <w:rPr>
                <w:sz w:val="21"/>
                <w:highlight w:val="none"/>
              </w:rPr>
            </w:pPr>
            <w:r>
              <w:rPr>
                <w:sz w:val="21"/>
                <w:highlight w:val="none"/>
              </w:rPr>
              <w:t xml:space="preserve">评标基准价在整个评审期间保持不变，不随通过第二信封（报价文件）评审的投标人数量发生变化。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20" w:type="dxa"/>
            <w:noWrap w:val="0"/>
            <w:vAlign w:val="top"/>
          </w:tcPr>
          <w:p>
            <w:pPr>
              <w:pStyle w:val="10"/>
              <w:spacing w:before="8"/>
              <w:rPr>
                <w:rFonts w:ascii="Times New Roman"/>
                <w:sz w:val="20"/>
                <w:highlight w:val="none"/>
              </w:rPr>
            </w:pPr>
          </w:p>
          <w:p>
            <w:pPr>
              <w:pStyle w:val="10"/>
              <w:ind w:left="0" w:leftChars="0" w:right="134" w:firstLine="0" w:firstLineChars="0"/>
              <w:jc w:val="both"/>
              <w:rPr>
                <w:sz w:val="21"/>
                <w:highlight w:val="none"/>
              </w:rPr>
            </w:pPr>
            <w:r>
              <w:rPr>
                <w:sz w:val="21"/>
                <w:highlight w:val="none"/>
              </w:rPr>
              <w:t xml:space="preserve">2.2.3 </w:t>
            </w:r>
          </w:p>
        </w:tc>
        <w:tc>
          <w:tcPr>
            <w:tcW w:w="2038" w:type="dxa"/>
            <w:noWrap w:val="0"/>
            <w:vAlign w:val="top"/>
          </w:tcPr>
          <w:p>
            <w:pPr>
              <w:pStyle w:val="10"/>
              <w:spacing w:before="102" w:line="242" w:lineRule="auto"/>
              <w:ind w:right="168"/>
              <w:rPr>
                <w:sz w:val="21"/>
                <w:highlight w:val="none"/>
              </w:rPr>
            </w:pPr>
            <w:r>
              <w:rPr>
                <w:sz w:val="21"/>
                <w:highlight w:val="none"/>
              </w:rPr>
              <w:t xml:space="preserve">投标报价的偏差率计算公式 </w:t>
            </w:r>
          </w:p>
        </w:tc>
        <w:tc>
          <w:tcPr>
            <w:tcW w:w="6118" w:type="dxa"/>
            <w:noWrap w:val="0"/>
            <w:vAlign w:val="top"/>
          </w:tcPr>
          <w:p>
            <w:pPr>
              <w:pStyle w:val="10"/>
              <w:spacing w:before="102" w:line="242" w:lineRule="auto"/>
              <w:ind w:left="108" w:right="222"/>
              <w:rPr>
                <w:sz w:val="21"/>
                <w:highlight w:val="none"/>
              </w:rPr>
            </w:pPr>
            <w:r>
              <w:rPr>
                <w:sz w:val="21"/>
                <w:highlight w:val="none"/>
              </w:rPr>
              <w:t xml:space="preserve">偏差率=100%×(投标人投标报价-评标基准价)/评标基准价，偏差率保留小数点后九位，小数点后第十位“四舍五入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20" w:type="dxa"/>
            <w:noWrap w:val="0"/>
            <w:vAlign w:val="top"/>
          </w:tcPr>
          <w:p>
            <w:pPr>
              <w:pStyle w:val="10"/>
              <w:spacing w:before="99"/>
              <w:ind w:left="0" w:leftChars="0" w:right="118" w:firstLine="0" w:firstLineChars="0"/>
              <w:jc w:val="both"/>
              <w:rPr>
                <w:sz w:val="21"/>
                <w:highlight w:val="none"/>
              </w:rPr>
            </w:pPr>
            <w:r>
              <w:rPr>
                <w:sz w:val="21"/>
                <w:highlight w:val="none"/>
              </w:rPr>
              <w:t xml:space="preserve">2.2.4(1) </w:t>
            </w:r>
          </w:p>
        </w:tc>
        <w:tc>
          <w:tcPr>
            <w:tcW w:w="2038" w:type="dxa"/>
            <w:noWrap w:val="0"/>
            <w:vAlign w:val="top"/>
          </w:tcPr>
          <w:p>
            <w:pPr>
              <w:pStyle w:val="10"/>
              <w:spacing w:before="99" w:line="244" w:lineRule="auto"/>
              <w:ind w:right="168"/>
              <w:rPr>
                <w:sz w:val="21"/>
                <w:highlight w:val="none"/>
              </w:rPr>
            </w:pPr>
            <w:r>
              <w:rPr>
                <w:sz w:val="21"/>
                <w:highlight w:val="none"/>
              </w:rPr>
              <w:t xml:space="preserve">施工组织设计评分标准 </w:t>
            </w:r>
          </w:p>
        </w:tc>
        <w:tc>
          <w:tcPr>
            <w:tcW w:w="6118"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0.0 分 </w:t>
            </w:r>
          </w:p>
        </w:tc>
      </w:tr>
    </w:tbl>
    <w:p>
      <w:pPr>
        <w:rPr>
          <w:sz w:val="21"/>
          <w:highlight w:val="none"/>
        </w:rPr>
        <w:sectPr>
          <w:pgSz w:w="11910" w:h="16850"/>
          <w:pgMar w:top="1600" w:right="780" w:bottom="280" w:left="780" w:header="720" w:footer="720" w:gutter="0"/>
          <w:cols w:space="720" w:num="1"/>
        </w:sectPr>
      </w:pPr>
    </w:p>
    <w:p>
      <w:pPr>
        <w:pStyle w:val="5"/>
        <w:spacing w:before="9"/>
        <w:rPr>
          <w:rFonts w:ascii="Times New Roman"/>
          <w:sz w:val="8"/>
          <w:highlight w:val="none"/>
        </w:rPr>
      </w:pPr>
    </w:p>
    <w:tbl>
      <w:tblPr>
        <w:tblStyle w:val="7"/>
        <w:tblW w:w="0" w:type="auto"/>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2038"/>
        <w:gridCol w:w="6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20" w:type="dxa"/>
            <w:noWrap w:val="0"/>
            <w:vAlign w:val="top"/>
          </w:tcPr>
          <w:p>
            <w:pPr>
              <w:pStyle w:val="10"/>
              <w:spacing w:before="102"/>
              <w:ind w:left="0" w:leftChars="0" w:right="118" w:firstLine="0" w:firstLineChars="0"/>
              <w:jc w:val="both"/>
              <w:rPr>
                <w:sz w:val="21"/>
                <w:highlight w:val="none"/>
              </w:rPr>
            </w:pPr>
            <w:r>
              <w:rPr>
                <w:sz w:val="21"/>
                <w:highlight w:val="none"/>
              </w:rPr>
              <w:t xml:space="preserve">2.2.4(2) </w:t>
            </w:r>
          </w:p>
        </w:tc>
        <w:tc>
          <w:tcPr>
            <w:tcW w:w="2038" w:type="dxa"/>
            <w:noWrap w:val="0"/>
            <w:vAlign w:val="top"/>
          </w:tcPr>
          <w:p>
            <w:pPr>
              <w:pStyle w:val="10"/>
              <w:spacing w:before="102" w:line="242" w:lineRule="auto"/>
              <w:ind w:left="0" w:leftChars="0" w:right="168" w:firstLine="0" w:firstLineChars="0"/>
              <w:rPr>
                <w:sz w:val="21"/>
                <w:highlight w:val="none"/>
              </w:rPr>
            </w:pPr>
            <w:r>
              <w:rPr>
                <w:sz w:val="21"/>
                <w:highlight w:val="none"/>
              </w:rPr>
              <w:t xml:space="preserve">项目管理机构评分标准 </w:t>
            </w:r>
          </w:p>
        </w:tc>
        <w:tc>
          <w:tcPr>
            <w:tcW w:w="6118"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1020" w:type="dxa"/>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
              <w:rPr>
                <w:rFonts w:ascii="Times New Roman"/>
                <w:sz w:val="19"/>
                <w:highlight w:val="none"/>
              </w:rPr>
            </w:pPr>
          </w:p>
          <w:p>
            <w:pPr>
              <w:pStyle w:val="10"/>
              <w:ind w:left="0" w:leftChars="0" w:right="118" w:firstLine="0" w:firstLineChars="0"/>
              <w:jc w:val="both"/>
              <w:rPr>
                <w:sz w:val="21"/>
                <w:highlight w:val="none"/>
              </w:rPr>
            </w:pPr>
            <w:r>
              <w:rPr>
                <w:sz w:val="21"/>
                <w:highlight w:val="none"/>
              </w:rPr>
              <w:t xml:space="preserve">2.2.4(3) </w:t>
            </w:r>
          </w:p>
        </w:tc>
        <w:tc>
          <w:tcPr>
            <w:tcW w:w="2038" w:type="dxa"/>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26"/>
              <w:ind w:left="0" w:leftChars="0" w:right="28" w:firstLine="0" w:firstLineChars="0"/>
              <w:jc w:val="both"/>
              <w:rPr>
                <w:sz w:val="21"/>
                <w:highlight w:val="none"/>
              </w:rPr>
            </w:pPr>
            <w:r>
              <w:rPr>
                <w:rFonts w:hint="eastAsia" w:asciiTheme="majorEastAsia" w:hAnsiTheme="majorEastAsia" w:eastAsiaTheme="majorEastAsia" w:cstheme="majorEastAsia"/>
                <w:kern w:val="2"/>
                <w:sz w:val="21"/>
                <w:szCs w:val="21"/>
                <w:highlight w:val="none"/>
                <w:lang w:val="en-US" w:eastAsia="zh-CN" w:bidi="ar-SA"/>
              </w:rPr>
              <w:t xml:space="preserve">投标报价（100.0 分） </w:t>
            </w:r>
          </w:p>
        </w:tc>
        <w:tc>
          <w:tcPr>
            <w:tcW w:w="6118" w:type="dxa"/>
            <w:noWrap w:val="0"/>
            <w:vAlign w:val="top"/>
          </w:tcPr>
          <w:p>
            <w:pPr>
              <w:spacing w:line="276" w:lineRule="auto"/>
              <w:ind w:left="134" w:leftChars="56"/>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投标人投标报价得分的计算：</w:t>
            </w:r>
          </w:p>
          <w:p>
            <w:pPr>
              <w:spacing w:line="276"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a.如果投标人的投标报价&gt;评标基准价，</w:t>
            </w:r>
          </w:p>
          <w:p>
            <w:pPr>
              <w:spacing w:line="276" w:lineRule="auto"/>
              <w:ind w:left="134" w:leftChars="56"/>
              <w:rPr>
                <w:rFonts w:hint="eastAsia" w:ascii="宋体" w:hAnsi="宋体" w:eastAsia="宋体" w:cs="宋体"/>
                <w:sz w:val="21"/>
                <w:szCs w:val="21"/>
                <w:highlight w:val="none"/>
              </w:rPr>
            </w:pPr>
            <w:r>
              <w:rPr>
                <w:rFonts w:hint="eastAsia" w:ascii="宋体" w:hAnsi="宋体" w:eastAsia="宋体" w:cs="宋体"/>
                <w:sz w:val="21"/>
                <w:szCs w:val="21"/>
                <w:highlight w:val="none"/>
              </w:rPr>
              <w:t>则投标报价得分＝</w:t>
            </w:r>
            <w:r>
              <w:rPr>
                <w:rFonts w:hint="eastAsia" w:ascii="宋体" w:hAnsi="宋体" w:eastAsia="宋体" w:cs="宋体"/>
                <w:sz w:val="21"/>
                <w:szCs w:val="21"/>
                <w:highlight w:val="none"/>
                <w:lang w:val="en-US"/>
              </w:rPr>
              <w:t>100</w:t>
            </w:r>
            <w:r>
              <w:rPr>
                <w:rFonts w:hint="eastAsia" w:ascii="宋体" w:hAnsi="宋体" w:eastAsia="宋体" w:cs="宋体"/>
                <w:sz w:val="21"/>
                <w:szCs w:val="21"/>
                <w:highlight w:val="none"/>
              </w:rPr>
              <w:t>－偏差率×100×</w:t>
            </w:r>
            <w:r>
              <w:rPr>
                <w:rFonts w:hint="eastAsia" w:ascii="宋体" w:hAnsi="宋体" w:eastAsia="宋体" w:cs="宋体"/>
                <w:sz w:val="21"/>
                <w:szCs w:val="21"/>
                <w:highlight w:val="none"/>
                <w:u w:val="single"/>
              </w:rPr>
              <w:t>E1</w:t>
            </w:r>
            <w:r>
              <w:rPr>
                <w:rFonts w:hint="eastAsia" w:ascii="宋体" w:hAnsi="宋体" w:eastAsia="宋体" w:cs="宋体"/>
                <w:sz w:val="21"/>
                <w:szCs w:val="21"/>
                <w:highlight w:val="none"/>
              </w:rPr>
              <w:t>；</w:t>
            </w:r>
          </w:p>
          <w:p>
            <w:pPr>
              <w:spacing w:line="276"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b.如果投标人的投标报价≤评标基准价，</w:t>
            </w:r>
          </w:p>
          <w:p>
            <w:pPr>
              <w:spacing w:line="276" w:lineRule="auto"/>
              <w:ind w:left="134" w:leftChars="56"/>
              <w:rPr>
                <w:rFonts w:hint="eastAsia" w:ascii="宋体" w:hAnsi="宋体" w:eastAsia="宋体" w:cs="宋体"/>
                <w:sz w:val="21"/>
                <w:szCs w:val="21"/>
                <w:highlight w:val="none"/>
              </w:rPr>
            </w:pPr>
            <w:r>
              <w:rPr>
                <w:rFonts w:hint="eastAsia" w:ascii="宋体" w:hAnsi="宋体" w:eastAsia="宋体" w:cs="宋体"/>
                <w:sz w:val="21"/>
                <w:szCs w:val="21"/>
                <w:highlight w:val="none"/>
              </w:rPr>
              <w:t>则投标报价得分＝</w:t>
            </w:r>
            <w:r>
              <w:rPr>
                <w:rFonts w:hint="eastAsia" w:ascii="宋体" w:hAnsi="宋体" w:eastAsia="宋体" w:cs="宋体"/>
                <w:sz w:val="21"/>
                <w:szCs w:val="21"/>
                <w:highlight w:val="none"/>
                <w:lang w:val="en-US"/>
              </w:rPr>
              <w:t>100</w:t>
            </w:r>
            <w:r>
              <w:rPr>
                <w:rFonts w:hint="eastAsia" w:ascii="宋体" w:hAnsi="宋体" w:eastAsia="宋体" w:cs="宋体"/>
                <w:sz w:val="21"/>
                <w:szCs w:val="21"/>
                <w:highlight w:val="none"/>
              </w:rPr>
              <w:t>＋偏差率×100×</w:t>
            </w:r>
            <w:r>
              <w:rPr>
                <w:rFonts w:hint="eastAsia" w:ascii="宋体" w:hAnsi="宋体" w:eastAsia="宋体" w:cs="宋体"/>
                <w:sz w:val="21"/>
                <w:szCs w:val="21"/>
                <w:highlight w:val="none"/>
                <w:u w:val="single"/>
              </w:rPr>
              <w:t>E2</w:t>
            </w:r>
            <w:r>
              <w:rPr>
                <w:rFonts w:hint="eastAsia" w:ascii="宋体" w:hAnsi="宋体" w:eastAsia="宋体" w:cs="宋体"/>
                <w:sz w:val="21"/>
                <w:szCs w:val="21"/>
                <w:highlight w:val="none"/>
              </w:rPr>
              <w:t>。</w:t>
            </w:r>
          </w:p>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本项目E1=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；E2=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276"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其中：E1是投标报价每高于评标基准价一个百分点的扣分值；E2是投标报价每低于评标基准价一个百分点的扣分值。招标人可依据招标项目具体特点和实际需要设置E1、E2，但E1应大于E2。</w:t>
            </w:r>
          </w:p>
          <w:p>
            <w:pPr>
              <w:pStyle w:val="10"/>
              <w:spacing w:line="244" w:lineRule="auto"/>
              <w:ind w:left="117" w:right="107"/>
              <w:rPr>
                <w:sz w:val="21"/>
                <w:highlight w:val="none"/>
              </w:rPr>
            </w:pPr>
            <w:r>
              <w:rPr>
                <w:rFonts w:hint="eastAsia" w:ascii="宋体" w:hAnsi="宋体" w:eastAsia="宋体" w:cs="宋体"/>
                <w:sz w:val="21"/>
                <w:szCs w:val="21"/>
                <w:highlight w:val="none"/>
              </w:rPr>
              <w:t>所有评分分值计算保留小数点</w:t>
            </w:r>
            <w:r>
              <w:rPr>
                <w:rFonts w:hint="eastAsia" w:ascii="宋体" w:hAnsi="宋体" w:eastAsia="宋体" w:cs="宋体"/>
                <w:sz w:val="21"/>
                <w:szCs w:val="21"/>
                <w:highlight w:val="none"/>
                <w:lang w:val="en-US"/>
              </w:rPr>
              <w:t>九</w:t>
            </w:r>
            <w:r>
              <w:rPr>
                <w:rFonts w:hint="eastAsia" w:ascii="宋体" w:hAnsi="宋体" w:eastAsia="宋体" w:cs="宋体"/>
                <w:sz w:val="21"/>
                <w:szCs w:val="21"/>
                <w:highlight w:val="none"/>
              </w:rPr>
              <w:t>位，小数点后第</w:t>
            </w:r>
            <w:r>
              <w:rPr>
                <w:rFonts w:hint="eastAsia" w:ascii="宋体" w:hAnsi="宋体" w:eastAsia="宋体" w:cs="宋体"/>
                <w:sz w:val="21"/>
                <w:szCs w:val="21"/>
                <w:highlight w:val="none"/>
                <w:lang w:val="en-US"/>
              </w:rPr>
              <w:t>十</w:t>
            </w:r>
            <w:r>
              <w:rPr>
                <w:rFonts w:hint="eastAsia" w:ascii="宋体" w:hAnsi="宋体" w:eastAsia="宋体" w:cs="宋体"/>
                <w:sz w:val="21"/>
                <w:szCs w:val="21"/>
                <w:highlight w:val="none"/>
              </w:rPr>
              <w:t>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20" w:type="dxa"/>
            <w:noWrap w:val="0"/>
            <w:vAlign w:val="top"/>
          </w:tcPr>
          <w:p>
            <w:pPr>
              <w:pStyle w:val="10"/>
              <w:spacing w:before="99"/>
              <w:ind w:left="0" w:leftChars="0" w:right="118" w:firstLine="0" w:firstLineChars="0"/>
              <w:jc w:val="both"/>
              <w:rPr>
                <w:sz w:val="21"/>
                <w:highlight w:val="none"/>
              </w:rPr>
            </w:pPr>
            <w:r>
              <w:rPr>
                <w:sz w:val="21"/>
                <w:highlight w:val="none"/>
              </w:rPr>
              <w:t xml:space="preserve">2.2.4(4) </w:t>
            </w:r>
          </w:p>
        </w:tc>
        <w:tc>
          <w:tcPr>
            <w:tcW w:w="2038" w:type="dxa"/>
            <w:noWrap w:val="0"/>
            <w:vAlign w:val="top"/>
          </w:tcPr>
          <w:p>
            <w:pPr>
              <w:pStyle w:val="10"/>
              <w:spacing w:before="6"/>
              <w:rPr>
                <w:rFonts w:ascii="Times New Roman"/>
                <w:sz w:val="20"/>
                <w:highlight w:val="none"/>
              </w:rPr>
            </w:pPr>
          </w:p>
          <w:p>
            <w:pPr>
              <w:pStyle w:val="10"/>
              <w:ind w:left="140" w:right="28"/>
              <w:jc w:val="both"/>
              <w:rPr>
                <w:sz w:val="21"/>
                <w:highlight w:val="none"/>
              </w:rPr>
            </w:pPr>
            <w:r>
              <w:rPr>
                <w:sz w:val="21"/>
                <w:highlight w:val="none"/>
              </w:rPr>
              <w:t xml:space="preserve">其他因素 </w:t>
            </w:r>
          </w:p>
        </w:tc>
        <w:tc>
          <w:tcPr>
            <w:tcW w:w="6118" w:type="dxa"/>
            <w:noWrap w:val="0"/>
            <w:vAlign w:val="top"/>
          </w:tcPr>
          <w:p>
            <w:pPr>
              <w:pStyle w:val="10"/>
              <w:spacing w:before="6"/>
              <w:rPr>
                <w:rFonts w:ascii="Times New Roman"/>
                <w:sz w:val="20"/>
                <w:highlight w:val="none"/>
              </w:rPr>
            </w:pPr>
          </w:p>
          <w:p>
            <w:pPr>
              <w:pStyle w:val="10"/>
              <w:ind w:left="108"/>
              <w:rPr>
                <w:sz w:val="21"/>
                <w:highlight w:val="none"/>
              </w:rPr>
            </w:pPr>
            <w:r>
              <w:rPr>
                <w:sz w:val="21"/>
                <w:highlight w:val="none"/>
              </w:rPr>
              <w:t xml:space="preserve">0 分 </w:t>
            </w:r>
          </w:p>
        </w:tc>
      </w:tr>
    </w:tbl>
    <w:p>
      <w:pPr>
        <w:pStyle w:val="5"/>
        <w:rPr>
          <w:rFonts w:ascii="Times New Roman"/>
          <w:sz w:val="20"/>
          <w:highlight w:val="none"/>
        </w:rPr>
      </w:pPr>
    </w:p>
    <w:tbl>
      <w:tblPr>
        <w:tblStyle w:val="7"/>
        <w:tblW w:w="0" w:type="auto"/>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184"/>
        <w:gridCol w:w="8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60" w:type="dxa"/>
            <w:gridSpan w:val="2"/>
            <w:noWrap w:val="0"/>
            <w:vAlign w:val="center"/>
          </w:tcPr>
          <w:p>
            <w:pPr>
              <w:spacing w:line="400" w:lineRule="atLeast"/>
              <w:jc w:val="center"/>
              <w:rPr>
                <w:rFonts w:ascii="Times New Roman"/>
                <w:b/>
                <w:bCs/>
                <w:sz w:val="25"/>
                <w:highlight w:val="none"/>
              </w:rPr>
            </w:pPr>
            <w:r>
              <w:rPr>
                <w:b/>
                <w:szCs w:val="21"/>
                <w:highlight w:val="none"/>
              </w:rPr>
              <w:t>条款号</w:t>
            </w:r>
          </w:p>
        </w:tc>
        <w:tc>
          <w:tcPr>
            <w:tcW w:w="8310" w:type="dxa"/>
            <w:noWrap w:val="0"/>
            <w:vAlign w:val="center"/>
          </w:tcPr>
          <w:p>
            <w:pPr>
              <w:spacing w:line="400" w:lineRule="atLeast"/>
              <w:jc w:val="center"/>
              <w:rPr>
                <w:rFonts w:ascii="Times New Roman"/>
                <w:b/>
                <w:bCs/>
                <w:sz w:val="25"/>
                <w:highlight w:val="none"/>
              </w:rPr>
            </w:pPr>
            <w:r>
              <w:rPr>
                <w:rFonts w:hint="eastAsia"/>
                <w:b/>
                <w:szCs w:val="21"/>
                <w:highlight w:val="none"/>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576" w:type="dxa"/>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26"/>
              <w:ind w:left="0" w:leftChars="0" w:right="57" w:firstLine="0" w:firstLineChars="0"/>
              <w:jc w:val="both"/>
              <w:rPr>
                <w:sz w:val="21"/>
                <w:highlight w:val="none"/>
              </w:rPr>
            </w:pPr>
            <w:r>
              <w:rPr>
                <w:sz w:val="21"/>
                <w:highlight w:val="none"/>
              </w:rPr>
              <w:t xml:space="preserve">3.1 </w:t>
            </w:r>
          </w:p>
        </w:tc>
        <w:tc>
          <w:tcPr>
            <w:tcW w:w="1184" w:type="dxa"/>
            <w:noWrap w:val="0"/>
            <w:vAlign w:val="top"/>
          </w:tcPr>
          <w:p>
            <w:pPr>
              <w:pStyle w:val="10"/>
              <w:rPr>
                <w:rFonts w:ascii="Times New Roman"/>
                <w:sz w:val="20"/>
                <w:highlight w:val="none"/>
              </w:rPr>
            </w:pPr>
          </w:p>
          <w:p>
            <w:pPr>
              <w:pStyle w:val="10"/>
              <w:rPr>
                <w:rFonts w:ascii="Times New Roman"/>
                <w:sz w:val="20"/>
                <w:highlight w:val="none"/>
              </w:rPr>
            </w:pPr>
          </w:p>
          <w:p>
            <w:pPr>
              <w:pStyle w:val="10"/>
              <w:spacing w:before="2"/>
              <w:rPr>
                <w:rFonts w:ascii="Times New Roman"/>
                <w:sz w:val="16"/>
                <w:highlight w:val="none"/>
              </w:rPr>
            </w:pPr>
          </w:p>
          <w:p>
            <w:pPr>
              <w:pStyle w:val="10"/>
              <w:spacing w:line="244" w:lineRule="auto"/>
              <w:ind w:left="120" w:right="105"/>
              <w:rPr>
                <w:sz w:val="21"/>
                <w:highlight w:val="none"/>
              </w:rPr>
            </w:pPr>
            <w:r>
              <w:rPr>
                <w:spacing w:val="-9"/>
                <w:sz w:val="21"/>
                <w:highlight w:val="none"/>
              </w:rPr>
              <w:t>第一信封</w:t>
            </w:r>
            <w:r>
              <w:rPr>
                <w:sz w:val="21"/>
                <w:highlight w:val="none"/>
              </w:rPr>
              <w:t>（商务及技术文件 ） 初步</w:t>
            </w:r>
            <w:r>
              <w:rPr>
                <w:spacing w:val="-2"/>
                <w:sz w:val="21"/>
                <w:highlight w:val="none"/>
              </w:rPr>
              <w:t>评审</w:t>
            </w:r>
            <w:r>
              <w:rPr>
                <w:sz w:val="21"/>
                <w:highlight w:val="none"/>
              </w:rPr>
              <w:t xml:space="preserve"> </w:t>
            </w:r>
          </w:p>
        </w:tc>
        <w:tc>
          <w:tcPr>
            <w:tcW w:w="831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02"/>
              <w:ind w:left="0"/>
              <w:jc w:val="left"/>
              <w:textAlignment w:val="auto"/>
              <w:rPr>
                <w:rFonts w:hint="eastAsia" w:ascii="宋体" w:hAnsi="宋体" w:eastAsia="宋体" w:cs="宋体"/>
                <w:sz w:val="21"/>
                <w:highlight w:val="none"/>
              </w:rPr>
            </w:pPr>
            <w:r>
              <w:rPr>
                <w:rFonts w:hint="eastAsia" w:ascii="宋体" w:hAnsi="宋体" w:eastAsia="宋体" w:cs="宋体"/>
                <w:sz w:val="21"/>
                <w:highlight w:val="none"/>
              </w:rPr>
              <w:t xml:space="preserve">3.1 第一信封（商务及技术文件）初步评审 </w:t>
            </w:r>
          </w:p>
          <w:p>
            <w:pPr>
              <w:pStyle w:val="10"/>
              <w:keepNext w:val="0"/>
              <w:keepLines w:val="0"/>
              <w:pageBreakBefore w:val="0"/>
              <w:widowControl w:val="0"/>
              <w:kinsoku/>
              <w:wordWrap/>
              <w:overflowPunct/>
              <w:topLinePunct w:val="0"/>
              <w:autoSpaceDE/>
              <w:autoSpaceDN/>
              <w:bidi w:val="0"/>
              <w:adjustRightInd/>
              <w:snapToGrid/>
              <w:spacing w:before="4"/>
              <w:ind w:left="0" w:firstLine="400" w:firstLineChars="200"/>
              <w:jc w:val="left"/>
              <w:textAlignment w:val="auto"/>
              <w:rPr>
                <w:rFonts w:hint="eastAsia" w:ascii="宋体" w:hAnsi="宋体" w:eastAsia="宋体" w:cs="宋体"/>
                <w:sz w:val="21"/>
                <w:highlight w:val="none"/>
              </w:rPr>
            </w:pPr>
            <w:r>
              <w:rPr>
                <w:rFonts w:hint="eastAsia" w:ascii="宋体" w:hAnsi="宋体" w:eastAsia="宋体" w:cs="宋体"/>
                <w:spacing w:val="-5"/>
                <w:sz w:val="21"/>
                <w:highlight w:val="none"/>
              </w:rPr>
              <w:t xml:space="preserve">评标委员会可以要求投标人提交第二章“投标人须知”第 </w:t>
            </w:r>
            <w:r>
              <w:rPr>
                <w:rFonts w:hint="eastAsia" w:ascii="宋体" w:hAnsi="宋体" w:eastAsia="宋体" w:cs="宋体"/>
                <w:sz w:val="21"/>
                <w:highlight w:val="none"/>
              </w:rPr>
              <w:t>3.5.1</w:t>
            </w:r>
            <w:r>
              <w:rPr>
                <w:rFonts w:hint="eastAsia" w:ascii="宋体" w:hAnsi="宋体" w:eastAsia="宋体" w:cs="宋体"/>
                <w:spacing w:val="-22"/>
                <w:sz w:val="21"/>
                <w:highlight w:val="none"/>
              </w:rPr>
              <w:t xml:space="preserve"> 项至第 </w:t>
            </w:r>
            <w:r>
              <w:rPr>
                <w:rFonts w:hint="eastAsia" w:ascii="宋体" w:hAnsi="宋体" w:eastAsia="宋体" w:cs="宋体"/>
                <w:sz w:val="21"/>
                <w:highlight w:val="none"/>
              </w:rPr>
              <w:t>3.5.</w:t>
            </w:r>
            <w:r>
              <w:rPr>
                <w:rFonts w:hint="eastAsia" w:ascii="宋体" w:hAnsi="宋体" w:eastAsia="宋体" w:cs="宋体"/>
                <w:sz w:val="21"/>
                <w:highlight w:val="none"/>
                <w:lang w:val="en-US" w:eastAsia="zh-CN"/>
              </w:rPr>
              <w:t>6</w:t>
            </w:r>
            <w:r>
              <w:rPr>
                <w:rFonts w:hint="eastAsia" w:ascii="宋体" w:hAnsi="宋体" w:eastAsia="宋体" w:cs="宋体"/>
                <w:spacing w:val="-17"/>
                <w:sz w:val="21"/>
                <w:highlight w:val="none"/>
              </w:rPr>
              <w:t xml:space="preserve"> 项规</w:t>
            </w:r>
            <w:r>
              <w:rPr>
                <w:rFonts w:hint="eastAsia" w:ascii="宋体" w:hAnsi="宋体" w:eastAsia="宋体" w:cs="宋体"/>
                <w:spacing w:val="-5"/>
                <w:sz w:val="21"/>
                <w:highlight w:val="none"/>
              </w:rPr>
              <w:t xml:space="preserve">定的有关证明和证件的原件，以便核验。评标委员会依据本章第 </w:t>
            </w:r>
            <w:r>
              <w:rPr>
                <w:rFonts w:hint="eastAsia" w:ascii="宋体" w:hAnsi="宋体" w:eastAsia="宋体" w:cs="宋体"/>
                <w:sz w:val="21"/>
                <w:highlight w:val="none"/>
              </w:rPr>
              <w:t>2.1.1</w:t>
            </w:r>
            <w:r>
              <w:rPr>
                <w:rFonts w:hint="eastAsia" w:ascii="宋体" w:hAnsi="宋体" w:eastAsia="宋体" w:cs="宋体"/>
                <w:spacing w:val="-8"/>
                <w:sz w:val="21"/>
                <w:highlight w:val="none"/>
              </w:rPr>
              <w:t xml:space="preserve"> 项规定的标</w:t>
            </w:r>
            <w:r>
              <w:rPr>
                <w:rFonts w:hint="eastAsia" w:ascii="宋体" w:hAnsi="宋体" w:eastAsia="宋体" w:cs="宋体"/>
                <w:spacing w:val="-5"/>
                <w:sz w:val="21"/>
                <w:highlight w:val="none"/>
              </w:rPr>
              <w:t>准对投标文件第一信封</w:t>
            </w:r>
            <w:r>
              <w:rPr>
                <w:rFonts w:hint="eastAsia" w:ascii="宋体" w:hAnsi="宋体" w:eastAsia="宋体" w:cs="宋体"/>
                <w:spacing w:val="-3"/>
                <w:sz w:val="21"/>
                <w:highlight w:val="none"/>
              </w:rPr>
              <w:t>（商务及技术文件</w:t>
            </w:r>
            <w:r>
              <w:rPr>
                <w:rFonts w:hint="eastAsia" w:ascii="宋体" w:hAnsi="宋体" w:eastAsia="宋体" w:cs="宋体"/>
                <w:sz w:val="21"/>
                <w:highlight w:val="none"/>
              </w:rPr>
              <w:t>）</w:t>
            </w:r>
            <w:r>
              <w:rPr>
                <w:rFonts w:hint="eastAsia" w:ascii="宋体" w:hAnsi="宋体" w:eastAsia="宋体" w:cs="宋体"/>
                <w:spacing w:val="-3"/>
                <w:sz w:val="21"/>
                <w:highlight w:val="none"/>
              </w:rPr>
              <w:t xml:space="preserve">进行评审。有一项不符合评审标准的， 由评标委员会否决其投标。 </w:t>
            </w:r>
          </w:p>
          <w:p>
            <w:pPr>
              <w:pStyle w:val="10"/>
              <w:keepNext w:val="0"/>
              <w:keepLines w:val="0"/>
              <w:pageBreakBefore w:val="0"/>
              <w:widowControl w:val="0"/>
              <w:kinsoku/>
              <w:wordWrap/>
              <w:overflowPunct/>
              <w:topLinePunct w:val="0"/>
              <w:autoSpaceDE/>
              <w:autoSpaceDN/>
              <w:bidi w:val="0"/>
              <w:adjustRightInd/>
              <w:snapToGrid/>
              <w:spacing w:before="3" w:line="242" w:lineRule="auto"/>
              <w:ind w:left="0" w:right="182" w:firstLine="408" w:firstLineChars="200"/>
              <w:jc w:val="left"/>
              <w:textAlignment w:val="auto"/>
              <w:rPr>
                <w:rFonts w:hint="eastAsia" w:ascii="宋体" w:hAnsi="宋体" w:eastAsia="宋体" w:cs="宋体"/>
                <w:sz w:val="21"/>
                <w:highlight w:val="none"/>
              </w:rPr>
            </w:pPr>
            <w:r>
              <w:rPr>
                <w:rFonts w:hint="eastAsia" w:ascii="宋体" w:hAnsi="宋体" w:eastAsia="宋体" w:cs="宋体"/>
                <w:spacing w:val="-3"/>
                <w:sz w:val="21"/>
                <w:highlight w:val="none"/>
              </w:rPr>
              <w:t>被否决投标的投标文件第一信封</w:t>
            </w:r>
            <w:r>
              <w:rPr>
                <w:rFonts w:hint="eastAsia" w:ascii="宋体" w:hAnsi="宋体" w:eastAsia="宋体" w:cs="宋体"/>
                <w:sz w:val="21"/>
                <w:highlight w:val="none"/>
              </w:rPr>
              <w:t>（</w:t>
            </w:r>
            <w:r>
              <w:rPr>
                <w:rFonts w:hint="eastAsia" w:ascii="宋体" w:hAnsi="宋体" w:eastAsia="宋体" w:cs="宋体"/>
                <w:spacing w:val="-3"/>
                <w:sz w:val="21"/>
                <w:highlight w:val="none"/>
              </w:rPr>
              <w:t>商务及技术文件</w:t>
            </w:r>
            <w:r>
              <w:rPr>
                <w:rFonts w:hint="eastAsia" w:ascii="宋体" w:hAnsi="宋体" w:eastAsia="宋体" w:cs="宋体"/>
                <w:sz w:val="21"/>
                <w:highlight w:val="none"/>
              </w:rPr>
              <w:t>）</w:t>
            </w:r>
            <w:r>
              <w:rPr>
                <w:rFonts w:hint="eastAsia" w:ascii="宋体" w:hAnsi="宋体" w:eastAsia="宋体" w:cs="宋体"/>
                <w:spacing w:val="-3"/>
                <w:sz w:val="21"/>
                <w:highlight w:val="none"/>
              </w:rPr>
              <w:t>不进入下一步的第一信封</w:t>
            </w:r>
            <w:r>
              <w:rPr>
                <w:rFonts w:hint="eastAsia" w:ascii="宋体" w:hAnsi="宋体" w:eastAsia="宋体" w:cs="宋体"/>
                <w:sz w:val="21"/>
                <w:highlight w:val="none"/>
              </w:rPr>
              <w:t>（商</w:t>
            </w:r>
            <w:r>
              <w:rPr>
                <w:rFonts w:hint="eastAsia" w:ascii="宋体" w:hAnsi="宋体" w:eastAsia="宋体" w:cs="宋体"/>
                <w:spacing w:val="-2"/>
                <w:sz w:val="21"/>
                <w:highlight w:val="none"/>
              </w:rPr>
              <w:t>务及技术文件</w:t>
            </w:r>
            <w:r>
              <w:rPr>
                <w:rFonts w:hint="eastAsia" w:ascii="宋体" w:hAnsi="宋体" w:eastAsia="宋体" w:cs="宋体"/>
                <w:spacing w:val="-3"/>
                <w:sz w:val="21"/>
                <w:highlight w:val="none"/>
              </w:rPr>
              <w:t xml:space="preserve">）详细评审。 </w:t>
            </w:r>
          </w:p>
          <w:p>
            <w:pPr>
              <w:pStyle w:val="10"/>
              <w:keepNext w:val="0"/>
              <w:keepLines w:val="0"/>
              <w:pageBreakBefore w:val="0"/>
              <w:widowControl w:val="0"/>
              <w:kinsoku/>
              <w:wordWrap/>
              <w:overflowPunct/>
              <w:topLinePunct w:val="0"/>
              <w:autoSpaceDE/>
              <w:autoSpaceDN/>
              <w:bidi w:val="0"/>
              <w:adjustRightInd/>
              <w:snapToGrid/>
              <w:spacing w:before="2" w:line="242" w:lineRule="auto"/>
              <w:ind w:left="0" w:right="181" w:firstLine="420" w:firstLineChars="200"/>
              <w:jc w:val="left"/>
              <w:textAlignment w:val="auto"/>
              <w:rPr>
                <w:rFonts w:hint="eastAsia" w:ascii="宋体" w:hAnsi="宋体" w:eastAsia="宋体" w:cs="宋体"/>
                <w:sz w:val="21"/>
                <w:highlight w:val="none"/>
              </w:rPr>
            </w:pPr>
            <w:r>
              <w:rPr>
                <w:rFonts w:hint="eastAsia" w:ascii="宋体" w:hAnsi="宋体" w:eastAsia="宋体" w:cs="宋体"/>
                <w:sz w:val="21"/>
                <w:highlight w:val="none"/>
              </w:rPr>
              <w:t xml:space="preserve">评标委员会根据第一信封（商务及技术文件）初步评审结果确定通过和不通过第一信封（商务及技术文件）初步评审的投标人名单。 </w:t>
            </w:r>
          </w:p>
          <w:p>
            <w:pPr>
              <w:pStyle w:val="10"/>
              <w:keepNext w:val="0"/>
              <w:keepLines w:val="0"/>
              <w:pageBreakBefore w:val="0"/>
              <w:widowControl w:val="0"/>
              <w:kinsoku/>
              <w:wordWrap/>
              <w:overflowPunct/>
              <w:topLinePunct w:val="0"/>
              <w:autoSpaceDE/>
              <w:autoSpaceDN/>
              <w:bidi w:val="0"/>
              <w:adjustRightInd/>
              <w:snapToGrid/>
              <w:spacing w:line="269" w:lineRule="exact"/>
              <w:ind w:left="0" w:firstLine="420" w:firstLineChars="200"/>
              <w:jc w:val="left"/>
              <w:textAlignment w:val="auto"/>
              <w:rPr>
                <w:rFonts w:hint="eastAsia" w:ascii="宋体" w:hAnsi="宋体" w:eastAsia="宋体" w:cs="宋体"/>
                <w:sz w:val="21"/>
                <w:highlight w:val="none"/>
              </w:rPr>
            </w:pPr>
            <w:r>
              <w:rPr>
                <w:rFonts w:hint="eastAsia" w:ascii="宋体" w:hAnsi="宋体" w:eastAsia="宋体" w:cs="宋体"/>
                <w:sz w:val="21"/>
                <w:highlight w:val="none"/>
              </w:rPr>
              <w:t xml:space="preserve">投标人有以下情形之一的，由评标委员会否决其投标： </w:t>
            </w:r>
          </w:p>
          <w:p>
            <w:pPr>
              <w:pStyle w:val="10"/>
              <w:keepNext w:val="0"/>
              <w:keepLines w:val="0"/>
              <w:pageBreakBefore w:val="0"/>
              <w:widowControl w:val="0"/>
              <w:numPr>
                <w:ilvl w:val="0"/>
                <w:numId w:val="1"/>
              </w:numPr>
              <w:tabs>
                <w:tab w:val="left" w:pos="638"/>
              </w:tabs>
              <w:kinsoku/>
              <w:wordWrap/>
              <w:overflowPunct/>
              <w:topLinePunct w:val="0"/>
              <w:autoSpaceDE/>
              <w:autoSpaceDN/>
              <w:bidi w:val="0"/>
              <w:adjustRightInd/>
              <w:snapToGrid/>
              <w:spacing w:before="4"/>
              <w:ind w:left="0" w:hanging="530"/>
              <w:jc w:val="left"/>
              <w:textAlignment w:val="auto"/>
              <w:rPr>
                <w:rFonts w:hint="eastAsia" w:ascii="宋体" w:hAnsi="宋体" w:eastAsia="宋体" w:cs="宋体"/>
                <w:sz w:val="21"/>
                <w:highlight w:val="none"/>
              </w:rPr>
            </w:pPr>
            <w:r>
              <w:rPr>
                <w:rFonts w:hint="eastAsia" w:ascii="宋体" w:hAnsi="宋体" w:eastAsia="宋体" w:cs="宋体"/>
                <w:spacing w:val="-3"/>
                <w:sz w:val="21"/>
                <w:highlight w:val="none"/>
              </w:rPr>
              <w:t xml:space="preserve">第二章“投标人须知”第 </w:t>
            </w:r>
            <w:r>
              <w:rPr>
                <w:rFonts w:hint="eastAsia" w:ascii="宋体" w:hAnsi="宋体" w:eastAsia="宋体" w:cs="宋体"/>
                <w:sz w:val="21"/>
                <w:highlight w:val="none"/>
              </w:rPr>
              <w:t>1.4.3</w:t>
            </w:r>
            <w:r>
              <w:rPr>
                <w:rFonts w:hint="eastAsia" w:ascii="宋体" w:hAnsi="宋体" w:eastAsia="宋体" w:cs="宋体"/>
                <w:spacing w:val="-3"/>
                <w:sz w:val="21"/>
                <w:highlight w:val="none"/>
              </w:rPr>
              <w:t xml:space="preserve"> 项规定的任何一种情形的；</w:t>
            </w:r>
            <w:r>
              <w:rPr>
                <w:rFonts w:hint="eastAsia" w:ascii="宋体" w:hAnsi="宋体" w:eastAsia="宋体" w:cs="宋体"/>
                <w:sz w:val="21"/>
                <w:highlight w:val="none"/>
              </w:rPr>
              <w:t xml:space="preserve"> </w:t>
            </w:r>
          </w:p>
          <w:p>
            <w:pPr>
              <w:pStyle w:val="10"/>
              <w:keepNext w:val="0"/>
              <w:keepLines w:val="0"/>
              <w:pageBreakBefore w:val="0"/>
              <w:widowControl w:val="0"/>
              <w:numPr>
                <w:ilvl w:val="0"/>
                <w:numId w:val="1"/>
              </w:numPr>
              <w:tabs>
                <w:tab w:val="left" w:pos="638"/>
              </w:tabs>
              <w:kinsoku/>
              <w:wordWrap/>
              <w:overflowPunct/>
              <w:topLinePunct w:val="0"/>
              <w:autoSpaceDE/>
              <w:autoSpaceDN/>
              <w:bidi w:val="0"/>
              <w:adjustRightInd/>
              <w:snapToGrid/>
              <w:spacing w:before="2"/>
              <w:ind w:left="0" w:hanging="530"/>
              <w:jc w:val="left"/>
              <w:textAlignment w:val="auto"/>
              <w:rPr>
                <w:rFonts w:hint="eastAsia" w:ascii="宋体" w:hAnsi="宋体" w:eastAsia="宋体" w:cs="宋体"/>
                <w:sz w:val="21"/>
                <w:highlight w:val="none"/>
              </w:rPr>
            </w:pPr>
            <w:r>
              <w:rPr>
                <w:rFonts w:hint="eastAsia" w:ascii="宋体" w:hAnsi="宋体" w:eastAsia="宋体" w:cs="宋体"/>
                <w:spacing w:val="-3"/>
                <w:sz w:val="21"/>
                <w:highlight w:val="none"/>
              </w:rPr>
              <w:t>串通投标或弄虚作假或有其他违法行为的；</w:t>
            </w:r>
            <w:r>
              <w:rPr>
                <w:rFonts w:hint="eastAsia" w:ascii="宋体" w:hAnsi="宋体" w:eastAsia="宋体" w:cs="宋体"/>
                <w:sz w:val="21"/>
                <w:highlight w:val="none"/>
              </w:rPr>
              <w:t xml:space="preserve"> </w:t>
            </w:r>
          </w:p>
          <w:p>
            <w:pPr>
              <w:pStyle w:val="10"/>
              <w:keepNext w:val="0"/>
              <w:keepLines w:val="0"/>
              <w:pageBreakBefore w:val="0"/>
              <w:widowControl w:val="0"/>
              <w:numPr>
                <w:ilvl w:val="0"/>
                <w:numId w:val="1"/>
              </w:numPr>
              <w:tabs>
                <w:tab w:val="left" w:pos="638"/>
              </w:tabs>
              <w:kinsoku/>
              <w:wordWrap/>
              <w:overflowPunct/>
              <w:topLinePunct w:val="0"/>
              <w:autoSpaceDE/>
              <w:autoSpaceDN/>
              <w:bidi w:val="0"/>
              <w:adjustRightInd/>
              <w:snapToGrid/>
              <w:spacing w:before="5"/>
              <w:ind w:left="0" w:hanging="530"/>
              <w:jc w:val="left"/>
              <w:textAlignment w:val="auto"/>
              <w:rPr>
                <w:sz w:val="21"/>
                <w:highlight w:val="none"/>
              </w:rPr>
            </w:pPr>
            <w:r>
              <w:rPr>
                <w:rFonts w:hint="eastAsia" w:ascii="宋体" w:hAnsi="宋体" w:eastAsia="宋体" w:cs="宋体"/>
                <w:spacing w:val="-3"/>
                <w:sz w:val="21"/>
                <w:highlight w:val="none"/>
              </w:rPr>
              <w:t>不按评标委员会要求澄清、说明或补正的</w:t>
            </w:r>
            <w:r>
              <w:rPr>
                <w:spacing w:val="-3"/>
                <w:sz w:val="21"/>
                <w:highlight w:val="none"/>
              </w:rPr>
              <w:t>。</w:t>
            </w:r>
            <w:r>
              <w:rPr>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576" w:type="dxa"/>
            <w:noWrap w:val="0"/>
            <w:vAlign w:val="top"/>
          </w:tcPr>
          <w:p>
            <w:pPr>
              <w:pStyle w:val="10"/>
              <w:rPr>
                <w:rFonts w:ascii="Times New Roman"/>
                <w:sz w:val="20"/>
                <w:highlight w:val="none"/>
              </w:rPr>
            </w:pPr>
          </w:p>
          <w:p>
            <w:pPr>
              <w:pStyle w:val="10"/>
              <w:rPr>
                <w:rFonts w:ascii="Times New Roman"/>
                <w:sz w:val="20"/>
                <w:highlight w:val="none"/>
              </w:rPr>
            </w:pPr>
          </w:p>
          <w:p>
            <w:pPr>
              <w:pStyle w:val="10"/>
              <w:ind w:left="0" w:leftChars="0" w:right="57" w:firstLine="0" w:firstLineChars="0"/>
              <w:jc w:val="both"/>
              <w:rPr>
                <w:sz w:val="21"/>
                <w:highlight w:val="none"/>
              </w:rPr>
            </w:pPr>
            <w:r>
              <w:rPr>
                <w:sz w:val="21"/>
                <w:highlight w:val="none"/>
              </w:rPr>
              <w:t xml:space="preserve">3.2 </w:t>
            </w:r>
          </w:p>
        </w:tc>
        <w:tc>
          <w:tcPr>
            <w:tcW w:w="1184" w:type="dxa"/>
            <w:noWrap w:val="0"/>
            <w:vAlign w:val="top"/>
          </w:tcPr>
          <w:p>
            <w:pPr>
              <w:pStyle w:val="10"/>
              <w:spacing w:before="1" w:line="244" w:lineRule="auto"/>
              <w:ind w:left="0" w:leftChars="0" w:right="105" w:firstLine="0" w:firstLineChars="0"/>
              <w:rPr>
                <w:sz w:val="21"/>
                <w:highlight w:val="none"/>
              </w:rPr>
            </w:pPr>
            <w:r>
              <w:rPr>
                <w:spacing w:val="-9"/>
                <w:sz w:val="21"/>
                <w:highlight w:val="none"/>
              </w:rPr>
              <w:t>第一信封</w:t>
            </w:r>
            <w:r>
              <w:rPr>
                <w:sz w:val="21"/>
                <w:highlight w:val="none"/>
              </w:rPr>
              <w:t>（商务及技术文件 ） 详细</w:t>
            </w:r>
            <w:r>
              <w:rPr>
                <w:spacing w:val="-2"/>
                <w:sz w:val="21"/>
                <w:highlight w:val="none"/>
              </w:rPr>
              <w:t>评审</w:t>
            </w:r>
            <w:r>
              <w:rPr>
                <w:sz w:val="21"/>
                <w:highlight w:val="none"/>
              </w:rPr>
              <w:t xml:space="preserve"> </w:t>
            </w:r>
          </w:p>
        </w:tc>
        <w:tc>
          <w:tcPr>
            <w:tcW w:w="8310" w:type="dxa"/>
            <w:noWrap w:val="0"/>
            <w:vAlign w:val="top"/>
          </w:tcPr>
          <w:p>
            <w:pPr>
              <w:pStyle w:val="10"/>
              <w:tabs>
                <w:tab w:val="left" w:pos="2281"/>
              </w:tabs>
              <w:spacing w:before="102"/>
              <w:rPr>
                <w:sz w:val="21"/>
                <w:highlight w:val="none"/>
              </w:rPr>
            </w:pPr>
            <w:r>
              <w:rPr>
                <w:spacing w:val="-3"/>
                <w:sz w:val="21"/>
                <w:highlight w:val="none"/>
                <w:lang w:val="en-US"/>
              </w:rPr>
              <w:t xml:space="preserve">3.2 </w:t>
            </w:r>
            <w:r>
              <w:rPr>
                <w:spacing w:val="-3"/>
                <w:sz w:val="21"/>
                <w:highlight w:val="none"/>
              </w:rPr>
              <w:t>第一信封（ 商务及技术文件</w:t>
            </w:r>
            <w:r>
              <w:rPr>
                <w:sz w:val="21"/>
                <w:highlight w:val="none"/>
              </w:rPr>
              <w:t>）</w:t>
            </w:r>
            <w:r>
              <w:rPr>
                <w:spacing w:val="-3"/>
                <w:sz w:val="21"/>
                <w:highlight w:val="none"/>
              </w:rPr>
              <w:t>详细评审</w:t>
            </w:r>
            <w:r>
              <w:rPr>
                <w:sz w:val="21"/>
                <w:highlight w:val="none"/>
              </w:rPr>
              <w:t xml:space="preserve"> </w:t>
            </w:r>
          </w:p>
          <w:p>
            <w:pPr>
              <w:pStyle w:val="10"/>
              <w:spacing w:before="4" w:line="242" w:lineRule="auto"/>
              <w:ind w:left="149" w:right="141" w:firstLine="408" w:firstLineChars="200"/>
              <w:rPr>
                <w:rFonts w:hint="eastAsia" w:eastAsia="宋体"/>
                <w:sz w:val="21"/>
                <w:highlight w:val="none"/>
                <w:lang w:eastAsia="zh-CN"/>
              </w:rPr>
            </w:pPr>
            <w:r>
              <w:rPr>
                <w:rFonts w:hint="eastAsia"/>
                <w:spacing w:val="-3"/>
                <w:sz w:val="21"/>
                <w:highlight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1" w:hRule="atLeast"/>
        </w:trPr>
        <w:tc>
          <w:tcPr>
            <w:tcW w:w="576" w:type="dxa"/>
            <w:tcBorders>
              <w:top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20"/>
              <w:ind w:left="0" w:leftChars="0" w:firstLine="0" w:firstLineChars="0"/>
              <w:rPr>
                <w:sz w:val="21"/>
                <w:highlight w:val="none"/>
              </w:rPr>
            </w:pPr>
            <w:r>
              <w:rPr>
                <w:sz w:val="21"/>
                <w:highlight w:val="none"/>
              </w:rPr>
              <w:t>3.3</w:t>
            </w:r>
          </w:p>
        </w:tc>
        <w:tc>
          <w:tcPr>
            <w:tcW w:w="1184" w:type="dxa"/>
            <w:tcBorders>
              <w:top w:val="single" w:color="000000" w:sz="8" w:space="0"/>
              <w:left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8"/>
              <w:rPr>
                <w:rFonts w:ascii="Times New Roman"/>
                <w:highlight w:val="none"/>
              </w:rPr>
            </w:pPr>
          </w:p>
          <w:p>
            <w:pPr>
              <w:pStyle w:val="10"/>
              <w:spacing w:line="285" w:lineRule="auto"/>
              <w:ind w:left="0" w:leftChars="0" w:right="145" w:firstLine="0" w:firstLineChars="0"/>
              <w:jc w:val="both"/>
              <w:rPr>
                <w:sz w:val="21"/>
                <w:highlight w:val="none"/>
              </w:rPr>
            </w:pPr>
            <w:r>
              <w:rPr>
                <w:sz w:val="21"/>
                <w:highlight w:val="none"/>
              </w:rPr>
              <w:t>第二信封</w:t>
            </w:r>
            <w:r>
              <w:rPr>
                <w:rFonts w:hint="eastAsia"/>
                <w:sz w:val="21"/>
                <w:highlight w:val="none"/>
                <w:lang w:eastAsia="zh-CN"/>
              </w:rPr>
              <w:t>（</w:t>
            </w:r>
            <w:r>
              <w:rPr>
                <w:sz w:val="21"/>
                <w:highlight w:val="none"/>
              </w:rPr>
              <w:t>报价文</w:t>
            </w:r>
            <w:r>
              <w:rPr>
                <w:rFonts w:hint="eastAsia"/>
                <w:sz w:val="21"/>
                <w:highlight w:val="none"/>
                <w:lang w:eastAsia="zh-CN"/>
              </w:rPr>
              <w:t>）</w:t>
            </w:r>
            <w:r>
              <w:rPr>
                <w:sz w:val="21"/>
                <w:highlight w:val="none"/>
              </w:rPr>
              <w:t>初步评审</w:t>
            </w:r>
          </w:p>
        </w:tc>
        <w:tc>
          <w:tcPr>
            <w:tcW w:w="8310" w:type="dxa"/>
            <w:tcBorders>
              <w:top w:val="single" w:color="000000" w:sz="8" w:space="0"/>
              <w:left w:val="single" w:color="000000" w:sz="8" w:space="0"/>
            </w:tcBorders>
            <w:noWrap w:val="0"/>
            <w:vAlign w:val="top"/>
          </w:tcPr>
          <w:p>
            <w:pPr>
              <w:pStyle w:val="10"/>
              <w:spacing w:line="307" w:lineRule="exact"/>
              <w:ind w:left="113"/>
              <w:rPr>
                <w:rFonts w:hint="eastAsia" w:ascii="黑体" w:eastAsia="黑体"/>
                <w:sz w:val="24"/>
                <w:highlight w:val="none"/>
              </w:rPr>
            </w:pPr>
            <w:r>
              <w:rPr>
                <w:rFonts w:hint="eastAsia" w:ascii="黑体" w:eastAsia="黑体"/>
                <w:sz w:val="24"/>
                <w:highlight w:val="none"/>
              </w:rPr>
              <w:t>3.3 第二信封（报价文件）初步评审</w:t>
            </w:r>
          </w:p>
          <w:p>
            <w:pPr>
              <w:pStyle w:val="10"/>
              <w:spacing w:before="130" w:line="374" w:lineRule="auto"/>
              <w:ind w:left="113" w:right="71" w:firstLine="420"/>
              <w:jc w:val="both"/>
              <w:rPr>
                <w:sz w:val="21"/>
                <w:highlight w:val="none"/>
              </w:rPr>
            </w:pPr>
            <w:r>
              <w:rPr>
                <w:spacing w:val="-6"/>
                <w:sz w:val="21"/>
                <w:highlight w:val="none"/>
              </w:rPr>
              <w:t xml:space="preserve">评标委员会依据本章第 </w:t>
            </w:r>
            <w:r>
              <w:rPr>
                <w:sz w:val="21"/>
                <w:highlight w:val="none"/>
              </w:rPr>
              <w:t>2.1.2</w:t>
            </w:r>
            <w:r>
              <w:rPr>
                <w:spacing w:val="-9"/>
                <w:sz w:val="21"/>
                <w:highlight w:val="none"/>
              </w:rPr>
              <w:t xml:space="preserve"> 项规定的标准对通过第一信封</w:t>
            </w:r>
            <w:r>
              <w:rPr>
                <w:spacing w:val="-3"/>
                <w:sz w:val="21"/>
                <w:highlight w:val="none"/>
              </w:rPr>
              <w:t>（商务及技术文件</w:t>
            </w:r>
            <w:r>
              <w:rPr>
                <w:spacing w:val="-34"/>
                <w:sz w:val="21"/>
                <w:highlight w:val="none"/>
              </w:rPr>
              <w:t>）</w:t>
            </w:r>
            <w:r>
              <w:rPr>
                <w:spacing w:val="-9"/>
                <w:sz w:val="21"/>
                <w:highlight w:val="none"/>
              </w:rPr>
              <w:t>评审、经第</w:t>
            </w:r>
            <w:r>
              <w:rPr>
                <w:spacing w:val="-14"/>
                <w:sz w:val="21"/>
                <w:highlight w:val="none"/>
              </w:rPr>
              <w:t>二信封</w:t>
            </w:r>
            <w:r>
              <w:rPr>
                <w:spacing w:val="-3"/>
                <w:sz w:val="21"/>
                <w:highlight w:val="none"/>
              </w:rPr>
              <w:t>（报价文件</w:t>
            </w:r>
            <w:r>
              <w:rPr>
                <w:spacing w:val="-20"/>
                <w:sz w:val="21"/>
                <w:highlight w:val="none"/>
              </w:rPr>
              <w:t>）</w:t>
            </w:r>
            <w:r>
              <w:rPr>
                <w:spacing w:val="-5"/>
                <w:sz w:val="21"/>
                <w:highlight w:val="none"/>
              </w:rPr>
              <w:t>开标现场确认有效的投标文件第二信封</w:t>
            </w:r>
            <w:r>
              <w:rPr>
                <w:sz w:val="21"/>
                <w:highlight w:val="none"/>
              </w:rPr>
              <w:t>（</w:t>
            </w:r>
            <w:r>
              <w:rPr>
                <w:spacing w:val="-3"/>
                <w:sz w:val="21"/>
                <w:highlight w:val="none"/>
              </w:rPr>
              <w:t>报价文件</w:t>
            </w:r>
            <w:r>
              <w:rPr>
                <w:spacing w:val="-22"/>
                <w:sz w:val="21"/>
                <w:highlight w:val="none"/>
              </w:rPr>
              <w:t>）</w:t>
            </w:r>
            <w:r>
              <w:rPr>
                <w:spacing w:val="-6"/>
                <w:sz w:val="21"/>
                <w:highlight w:val="none"/>
              </w:rPr>
              <w:t>进行评审。有一项不符</w:t>
            </w:r>
            <w:r>
              <w:rPr>
                <w:spacing w:val="-4"/>
                <w:sz w:val="21"/>
                <w:highlight w:val="none"/>
              </w:rPr>
              <w:t>合评审标准的，由评标委员会否决其投标。</w:t>
            </w:r>
            <w:r>
              <w:rPr>
                <w:sz w:val="21"/>
                <w:highlight w:val="none"/>
              </w:rPr>
              <w:t xml:space="preserve"> </w:t>
            </w:r>
          </w:p>
          <w:p>
            <w:pPr>
              <w:pStyle w:val="10"/>
              <w:spacing w:before="1" w:line="374" w:lineRule="auto"/>
              <w:ind w:left="113" w:right="72" w:firstLine="420"/>
              <w:rPr>
                <w:sz w:val="21"/>
                <w:highlight w:val="none"/>
              </w:rPr>
            </w:pPr>
            <w:r>
              <w:rPr>
                <w:spacing w:val="-5"/>
                <w:sz w:val="21"/>
                <w:highlight w:val="none"/>
              </w:rPr>
              <w:t>被否决投标的投标文件第二信封</w:t>
            </w:r>
            <w:r>
              <w:rPr>
                <w:spacing w:val="-3"/>
                <w:sz w:val="21"/>
                <w:highlight w:val="none"/>
              </w:rPr>
              <w:t>（报价文件</w:t>
            </w:r>
            <w:r>
              <w:rPr>
                <w:spacing w:val="-25"/>
                <w:sz w:val="21"/>
                <w:highlight w:val="none"/>
              </w:rPr>
              <w:t>）</w:t>
            </w:r>
            <w:r>
              <w:rPr>
                <w:spacing w:val="-6"/>
                <w:sz w:val="21"/>
                <w:highlight w:val="none"/>
              </w:rPr>
              <w:t>不进入下一步的第二信封</w:t>
            </w:r>
            <w:r>
              <w:rPr>
                <w:spacing w:val="-3"/>
                <w:sz w:val="21"/>
                <w:highlight w:val="none"/>
              </w:rPr>
              <w:t>（报价文件</w:t>
            </w:r>
            <w:r>
              <w:rPr>
                <w:spacing w:val="-27"/>
                <w:sz w:val="21"/>
                <w:highlight w:val="none"/>
              </w:rPr>
              <w:t>）</w:t>
            </w:r>
            <w:r>
              <w:rPr>
                <w:spacing w:val="-2"/>
                <w:sz w:val="21"/>
                <w:highlight w:val="none"/>
              </w:rPr>
              <w:t>详细评</w:t>
            </w:r>
            <w:r>
              <w:rPr>
                <w:spacing w:val="-3"/>
                <w:sz w:val="21"/>
                <w:highlight w:val="none"/>
              </w:rPr>
              <w:t>审。</w:t>
            </w:r>
            <w:r>
              <w:rPr>
                <w:sz w:val="21"/>
                <w:highlight w:val="none"/>
              </w:rPr>
              <w:t xml:space="preserve"> </w:t>
            </w:r>
          </w:p>
          <w:p>
            <w:pPr>
              <w:pStyle w:val="10"/>
              <w:spacing w:before="1" w:line="374" w:lineRule="auto"/>
              <w:ind w:left="113" w:right="-44" w:firstLine="420"/>
              <w:rPr>
                <w:sz w:val="21"/>
                <w:highlight w:val="none"/>
              </w:rPr>
            </w:pPr>
            <w:r>
              <w:rPr>
                <w:spacing w:val="-10"/>
                <w:sz w:val="21"/>
                <w:highlight w:val="none"/>
              </w:rPr>
              <w:t>评标委员会根据第二信封</w:t>
            </w:r>
            <w:r>
              <w:rPr>
                <w:spacing w:val="-3"/>
                <w:sz w:val="21"/>
                <w:highlight w:val="none"/>
              </w:rPr>
              <w:t>（</w:t>
            </w:r>
            <w:r>
              <w:rPr>
                <w:spacing w:val="-2"/>
                <w:sz w:val="21"/>
                <w:highlight w:val="none"/>
              </w:rPr>
              <w:t>报价文件</w:t>
            </w:r>
            <w:r>
              <w:rPr>
                <w:spacing w:val="-68"/>
                <w:sz w:val="21"/>
                <w:highlight w:val="none"/>
              </w:rPr>
              <w:t>）</w:t>
            </w:r>
            <w:r>
              <w:rPr>
                <w:spacing w:val="-7"/>
                <w:sz w:val="21"/>
                <w:highlight w:val="none"/>
              </w:rPr>
              <w:t>初步评审结果确定通过和不通过第二信封</w:t>
            </w:r>
            <w:r>
              <w:rPr>
                <w:spacing w:val="-3"/>
                <w:sz w:val="21"/>
                <w:highlight w:val="none"/>
              </w:rPr>
              <w:t>（</w:t>
            </w:r>
            <w:r>
              <w:rPr>
                <w:spacing w:val="-1"/>
                <w:sz w:val="21"/>
                <w:highlight w:val="none"/>
              </w:rPr>
              <w:t>报价文件</w:t>
            </w:r>
            <w:r>
              <w:rPr>
                <w:sz w:val="21"/>
                <w:highlight w:val="none"/>
              </w:rPr>
              <w:t xml:space="preserve">） </w:t>
            </w:r>
            <w:r>
              <w:rPr>
                <w:spacing w:val="-3"/>
                <w:sz w:val="21"/>
                <w:highlight w:val="none"/>
              </w:rPr>
              <w:t>初步评审的投标人名单。</w:t>
            </w:r>
          </w:p>
        </w:tc>
      </w:tr>
    </w:tbl>
    <w:p>
      <w:pPr>
        <w:spacing w:line="374" w:lineRule="auto"/>
        <w:rPr>
          <w:sz w:val="21"/>
          <w:highlight w:val="none"/>
        </w:rPr>
        <w:sectPr>
          <w:pgSz w:w="11910" w:h="16850"/>
          <w:pgMar w:top="1600" w:right="780" w:bottom="280" w:left="780" w:header="720" w:footer="720" w:gutter="0"/>
          <w:cols w:space="720" w:num="1"/>
        </w:sectPr>
      </w:pPr>
    </w:p>
    <w:p>
      <w:pPr>
        <w:pStyle w:val="5"/>
        <w:spacing w:before="9"/>
        <w:rPr>
          <w:rFonts w:ascii="Times New Roman"/>
          <w:sz w:val="8"/>
          <w:highlight w:val="none"/>
        </w:rPr>
      </w:pPr>
    </w:p>
    <w:tbl>
      <w:tblPr>
        <w:tblStyle w:val="7"/>
        <w:tblW w:w="9419"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8"/>
        <w:gridCol w:w="1733"/>
        <w:gridCol w:w="71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3" w:hRule="atLeast"/>
        </w:trPr>
        <w:tc>
          <w:tcPr>
            <w:tcW w:w="2271" w:type="dxa"/>
            <w:gridSpan w:val="2"/>
            <w:tcBorders>
              <w:bottom w:val="single" w:color="000000" w:sz="8" w:space="0"/>
              <w:right w:val="single" w:color="000000" w:sz="8" w:space="0"/>
            </w:tcBorders>
            <w:noWrap w:val="0"/>
            <w:vAlign w:val="top"/>
          </w:tcPr>
          <w:p>
            <w:pPr>
              <w:pStyle w:val="10"/>
              <w:spacing w:before="3"/>
              <w:rPr>
                <w:rFonts w:ascii="Times New Roman"/>
                <w:sz w:val="25"/>
                <w:highlight w:val="none"/>
              </w:rPr>
            </w:pPr>
          </w:p>
          <w:p>
            <w:pPr>
              <w:pStyle w:val="10"/>
              <w:ind w:left="249"/>
              <w:rPr>
                <w:b/>
                <w:sz w:val="21"/>
                <w:highlight w:val="none"/>
              </w:rPr>
            </w:pPr>
            <w:r>
              <w:rPr>
                <w:b/>
                <w:sz w:val="21"/>
                <w:highlight w:val="none"/>
              </w:rPr>
              <w:t>条款号</w:t>
            </w:r>
            <w:r>
              <w:rPr>
                <w:b/>
                <w:w w:val="99"/>
                <w:sz w:val="21"/>
                <w:highlight w:val="none"/>
              </w:rPr>
              <w:t xml:space="preserve"> </w:t>
            </w:r>
          </w:p>
        </w:tc>
        <w:tc>
          <w:tcPr>
            <w:tcW w:w="7148" w:type="dxa"/>
            <w:tcBorders>
              <w:left w:val="single" w:color="000000" w:sz="8" w:space="0"/>
              <w:bottom w:val="single" w:color="000000" w:sz="8" w:space="0"/>
            </w:tcBorders>
            <w:noWrap w:val="0"/>
            <w:vAlign w:val="top"/>
          </w:tcPr>
          <w:p>
            <w:pPr>
              <w:pStyle w:val="10"/>
              <w:spacing w:before="3"/>
              <w:rPr>
                <w:rFonts w:ascii="Times New Roman"/>
                <w:sz w:val="25"/>
                <w:highlight w:val="none"/>
              </w:rPr>
            </w:pPr>
          </w:p>
          <w:p>
            <w:pPr>
              <w:pStyle w:val="10"/>
              <w:ind w:right="3785"/>
              <w:jc w:val="center"/>
              <w:rPr>
                <w:b/>
                <w:sz w:val="21"/>
                <w:highlight w:val="none"/>
              </w:rPr>
            </w:pPr>
            <w:r>
              <w:rPr>
                <w:rFonts w:hint="eastAsia"/>
                <w:b/>
                <w:sz w:val="21"/>
                <w:highlight w:val="none"/>
                <w:lang w:val="en-US" w:eastAsia="zh-CN"/>
              </w:rPr>
              <w:t xml:space="preserve">                    </w:t>
            </w:r>
            <w:r>
              <w:rPr>
                <w:b/>
                <w:sz w:val="21"/>
                <w:highlight w:val="none"/>
              </w:rPr>
              <w:t>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8" w:hRule="atLeast"/>
        </w:trPr>
        <w:tc>
          <w:tcPr>
            <w:tcW w:w="538" w:type="dxa"/>
            <w:tcBorders>
              <w:top w:val="single" w:color="000000" w:sz="8" w:space="0"/>
              <w:bottom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0"/>
              <w:rPr>
                <w:rFonts w:ascii="Times New Roman"/>
                <w:sz w:val="17"/>
                <w:highlight w:val="none"/>
              </w:rPr>
            </w:pPr>
          </w:p>
          <w:p>
            <w:pPr>
              <w:pStyle w:val="10"/>
              <w:ind w:left="0" w:leftChars="0" w:right="86" w:firstLine="0" w:firstLineChars="0"/>
              <w:jc w:val="both"/>
              <w:rPr>
                <w:sz w:val="21"/>
                <w:highlight w:val="none"/>
              </w:rPr>
            </w:pPr>
            <w:r>
              <w:rPr>
                <w:sz w:val="21"/>
                <w:highlight w:val="none"/>
              </w:rPr>
              <w:t>3.4</w:t>
            </w:r>
          </w:p>
        </w:tc>
        <w:tc>
          <w:tcPr>
            <w:tcW w:w="1733" w:type="dxa"/>
            <w:tcBorders>
              <w:top w:val="single" w:color="000000" w:sz="8" w:space="0"/>
              <w:left w:val="single" w:color="000000" w:sz="8" w:space="0"/>
              <w:bottom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spacing w:before="11"/>
              <w:rPr>
                <w:rFonts w:ascii="Times New Roman"/>
                <w:sz w:val="29"/>
                <w:highlight w:val="none"/>
              </w:rPr>
            </w:pPr>
          </w:p>
          <w:p>
            <w:pPr>
              <w:pStyle w:val="10"/>
              <w:spacing w:line="285" w:lineRule="auto"/>
              <w:ind w:left="0" w:leftChars="0" w:right="145" w:firstLine="0" w:firstLineChars="0"/>
              <w:jc w:val="both"/>
              <w:rPr>
                <w:sz w:val="21"/>
                <w:highlight w:val="none"/>
              </w:rPr>
            </w:pPr>
            <w:r>
              <w:rPr>
                <w:sz w:val="21"/>
                <w:highlight w:val="none"/>
              </w:rPr>
              <w:t>第二信封</w:t>
            </w:r>
            <w:r>
              <w:rPr>
                <w:rFonts w:hint="eastAsia"/>
                <w:sz w:val="21"/>
                <w:highlight w:val="none"/>
                <w:lang w:eastAsia="zh-CN"/>
              </w:rPr>
              <w:t>（</w:t>
            </w:r>
            <w:r>
              <w:rPr>
                <w:sz w:val="21"/>
                <w:highlight w:val="none"/>
              </w:rPr>
              <w:t>报价文件</w:t>
            </w:r>
            <w:r>
              <w:rPr>
                <w:rFonts w:hint="eastAsia"/>
                <w:sz w:val="21"/>
                <w:highlight w:val="none"/>
                <w:lang w:eastAsia="zh-CN"/>
              </w:rPr>
              <w:t>）</w:t>
            </w:r>
            <w:r>
              <w:rPr>
                <w:sz w:val="21"/>
                <w:highlight w:val="none"/>
              </w:rPr>
              <w:t>详细评审</w:t>
            </w:r>
          </w:p>
        </w:tc>
        <w:tc>
          <w:tcPr>
            <w:tcW w:w="7148" w:type="dxa"/>
            <w:tcBorders>
              <w:top w:val="single" w:color="000000" w:sz="8" w:space="0"/>
              <w:left w:val="single" w:color="000000" w:sz="8" w:space="0"/>
              <w:bottom w:val="single" w:color="000000" w:sz="8" w:space="0"/>
            </w:tcBorders>
            <w:noWrap w:val="0"/>
            <w:vAlign w:val="top"/>
          </w:tcPr>
          <w:p>
            <w:pPr>
              <w:pStyle w:val="10"/>
              <w:keepNext w:val="0"/>
              <w:keepLines w:val="0"/>
              <w:pageBreakBefore w:val="0"/>
              <w:widowControl w:val="0"/>
              <w:numPr>
                <w:ilvl w:val="1"/>
                <w:numId w:val="2"/>
              </w:numPr>
              <w:tabs>
                <w:tab w:val="left" w:pos="534"/>
              </w:tabs>
              <w:kinsoku/>
              <w:wordWrap/>
              <w:overflowPunct/>
              <w:topLinePunct w:val="0"/>
              <w:bidi w:val="0"/>
              <w:adjustRightInd/>
              <w:snapToGrid/>
              <w:spacing w:before="2"/>
              <w:ind w:left="0" w:hanging="421"/>
              <w:jc w:val="left"/>
              <w:textAlignment w:val="auto"/>
              <w:rPr>
                <w:rFonts w:hint="eastAsia" w:ascii="黑体" w:eastAsia="黑体"/>
                <w:sz w:val="24"/>
                <w:highlight w:val="none"/>
              </w:rPr>
            </w:pPr>
            <w:r>
              <w:rPr>
                <w:rFonts w:hint="eastAsia" w:ascii="黑体" w:eastAsia="黑体"/>
                <w:sz w:val="24"/>
                <w:highlight w:val="none"/>
              </w:rPr>
              <w:t>详细评审</w:t>
            </w:r>
          </w:p>
          <w:p>
            <w:pPr>
              <w:pStyle w:val="11"/>
              <w:keepNext w:val="0"/>
              <w:keepLines w:val="0"/>
              <w:pageBreakBefore w:val="0"/>
              <w:widowControl w:val="0"/>
              <w:numPr>
                <w:ilvl w:val="0"/>
                <w:numId w:val="0"/>
              </w:numPr>
              <w:tabs>
                <w:tab w:val="left" w:pos="1716"/>
              </w:tabs>
              <w:kinsoku/>
              <w:wordWrap/>
              <w:overflowPunct/>
              <w:topLinePunct w:val="0"/>
              <w:autoSpaceDE w:val="0"/>
              <w:autoSpaceDN w:val="0"/>
              <w:bidi w:val="0"/>
              <w:adjustRightInd/>
              <w:snapToGrid/>
              <w:spacing w:before="0" w:line="360" w:lineRule="auto"/>
              <w:ind w:left="0" w:leftChars="0" w:right="0" w:rightChars="0" w:firstLine="420" w:firstLineChars="200"/>
              <w:jc w:val="left"/>
              <w:textAlignment w:val="auto"/>
              <w:rPr>
                <w:rFonts w:ascii="宋体" w:hAnsi="宋体" w:eastAsia="宋体" w:cs="宋体"/>
                <w:sz w:val="21"/>
                <w:szCs w:val="22"/>
                <w:highlight w:val="none"/>
                <w:lang w:val="zh-CN" w:eastAsia="zh-CN" w:bidi="zh-CN"/>
              </w:rPr>
            </w:pPr>
            <w:r>
              <w:rPr>
                <w:rFonts w:hint="eastAsia" w:cs="宋体"/>
                <w:sz w:val="21"/>
                <w:szCs w:val="22"/>
                <w:highlight w:val="none"/>
                <w:lang w:val="en-US" w:eastAsia="zh-CN" w:bidi="zh-CN"/>
              </w:rPr>
              <w:t>3.4.1</w:t>
            </w:r>
            <w:r>
              <w:rPr>
                <w:rFonts w:ascii="宋体" w:hAnsi="宋体" w:eastAsia="宋体" w:cs="宋体"/>
                <w:sz w:val="21"/>
                <w:szCs w:val="22"/>
                <w:highlight w:val="none"/>
                <w:lang w:val="zh-CN" w:eastAsia="zh-CN" w:bidi="zh-CN"/>
              </w:rPr>
              <w:t xml:space="preserve">评标委员会按本章第 2.2 款规定的量化因素和分值进行打分，并计算出综合评估得分（即评标价得分）。 </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spacing w:val="-6"/>
                <w:sz w:val="21"/>
                <w:highlight w:val="none"/>
                <w:lang w:val="en-US"/>
              </w:rPr>
            </w:pPr>
            <w:r>
              <w:rPr>
                <w:rFonts w:hint="eastAsia" w:cs="宋体"/>
                <w:sz w:val="21"/>
                <w:szCs w:val="22"/>
                <w:highlight w:val="none"/>
                <w:lang w:val="en-US" w:eastAsia="zh-CN" w:bidi="zh-CN"/>
              </w:rPr>
              <w:t>3.4.2</w:t>
            </w:r>
            <w:r>
              <w:rPr>
                <w:rFonts w:ascii="宋体" w:hAnsi="宋体" w:eastAsia="宋体" w:cs="宋体"/>
                <w:sz w:val="21"/>
                <w:szCs w:val="22"/>
                <w:highlight w:val="none"/>
                <w:lang w:val="zh-CN" w:eastAsia="zh-CN" w:bidi="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ascii="宋体" w:hAnsi="宋体" w:eastAsia="宋体" w:cs="宋体"/>
                <w:sz w:val="21"/>
                <w:szCs w:val="22"/>
                <w:highlight w:val="none"/>
                <w:lang w:val="zh-CN" w:eastAsia="zh-CN" w:bidi="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1" w:hRule="atLeast"/>
        </w:trPr>
        <w:tc>
          <w:tcPr>
            <w:tcW w:w="538" w:type="dxa"/>
            <w:tcBorders>
              <w:top w:val="single" w:color="000000" w:sz="8" w:space="0"/>
              <w:bottom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79"/>
              <w:ind w:left="0" w:leftChars="0" w:right="86" w:firstLine="0" w:firstLineChars="0"/>
              <w:jc w:val="both"/>
              <w:rPr>
                <w:sz w:val="21"/>
                <w:highlight w:val="none"/>
              </w:rPr>
            </w:pPr>
            <w:r>
              <w:rPr>
                <w:sz w:val="21"/>
                <w:highlight w:val="none"/>
              </w:rPr>
              <w:t>3.5</w:t>
            </w:r>
          </w:p>
        </w:tc>
        <w:tc>
          <w:tcPr>
            <w:tcW w:w="1733" w:type="dxa"/>
            <w:tcBorders>
              <w:top w:val="single" w:color="000000" w:sz="8" w:space="0"/>
              <w:left w:val="single" w:color="000000" w:sz="8" w:space="0"/>
              <w:bottom w:val="single" w:color="000000" w:sz="8" w:space="0"/>
              <w:right w:val="single" w:color="000000" w:sz="8" w:space="0"/>
            </w:tcBorders>
            <w:noWrap w:val="0"/>
            <w:vAlign w:val="top"/>
          </w:tcPr>
          <w:p>
            <w:pPr>
              <w:pStyle w:val="10"/>
              <w:rPr>
                <w:rFonts w:ascii="Times New Roman"/>
                <w:sz w:val="20"/>
                <w:highlight w:val="none"/>
              </w:rPr>
            </w:pPr>
          </w:p>
          <w:p>
            <w:pPr>
              <w:pStyle w:val="10"/>
              <w:spacing w:before="1"/>
              <w:rPr>
                <w:rFonts w:ascii="Times New Roman"/>
                <w:sz w:val="19"/>
                <w:highlight w:val="none"/>
              </w:rPr>
            </w:pPr>
          </w:p>
          <w:p>
            <w:pPr>
              <w:pStyle w:val="10"/>
              <w:spacing w:line="357" w:lineRule="auto"/>
              <w:ind w:left="177" w:right="39"/>
              <w:jc w:val="both"/>
              <w:rPr>
                <w:sz w:val="21"/>
                <w:highlight w:val="none"/>
              </w:rPr>
            </w:pPr>
          </w:p>
          <w:p>
            <w:pPr>
              <w:pStyle w:val="10"/>
              <w:spacing w:line="357" w:lineRule="auto"/>
              <w:ind w:left="177" w:right="39"/>
              <w:jc w:val="both"/>
              <w:rPr>
                <w:sz w:val="21"/>
                <w:highlight w:val="none"/>
              </w:rPr>
            </w:pPr>
          </w:p>
          <w:p>
            <w:pPr>
              <w:pStyle w:val="10"/>
              <w:spacing w:line="357" w:lineRule="auto"/>
              <w:ind w:left="177" w:right="39"/>
              <w:jc w:val="both"/>
              <w:rPr>
                <w:sz w:val="21"/>
                <w:highlight w:val="none"/>
              </w:rPr>
            </w:pPr>
          </w:p>
          <w:p>
            <w:pPr>
              <w:pStyle w:val="10"/>
              <w:spacing w:line="357" w:lineRule="auto"/>
              <w:ind w:left="0" w:leftChars="0" w:right="39" w:firstLine="0" w:firstLineChars="0"/>
              <w:jc w:val="both"/>
              <w:rPr>
                <w:sz w:val="21"/>
                <w:highlight w:val="none"/>
              </w:rPr>
            </w:pPr>
            <w:r>
              <w:rPr>
                <w:sz w:val="21"/>
                <w:highlight w:val="none"/>
              </w:rPr>
              <w:t>投标文件的澄清和补正</w:t>
            </w:r>
          </w:p>
        </w:tc>
        <w:tc>
          <w:tcPr>
            <w:tcW w:w="7148" w:type="dxa"/>
            <w:tcBorders>
              <w:top w:val="single" w:color="000000" w:sz="8" w:space="0"/>
              <w:left w:val="single" w:color="000000" w:sz="8" w:space="0"/>
              <w:bottom w:val="single" w:color="000000" w:sz="8" w:space="0"/>
            </w:tcBorders>
            <w:noWrap w:val="0"/>
            <w:vAlign w:val="top"/>
          </w:tcPr>
          <w:p>
            <w:pPr>
              <w:pStyle w:val="10"/>
              <w:keepNext w:val="0"/>
              <w:keepLines w:val="0"/>
              <w:pageBreakBefore w:val="0"/>
              <w:widowControl w:val="0"/>
              <w:numPr>
                <w:ilvl w:val="1"/>
                <w:numId w:val="3"/>
              </w:numPr>
              <w:tabs>
                <w:tab w:val="left" w:pos="713"/>
                <w:tab w:val="left" w:pos="714"/>
              </w:tabs>
              <w:kinsoku/>
              <w:wordWrap/>
              <w:overflowPunct/>
              <w:topLinePunct w:val="0"/>
              <w:bidi w:val="0"/>
              <w:adjustRightInd/>
              <w:snapToGrid/>
              <w:spacing w:before="143"/>
              <w:ind w:left="0" w:hanging="601"/>
              <w:jc w:val="left"/>
              <w:textAlignment w:val="auto"/>
              <w:rPr>
                <w:rFonts w:hint="eastAsia" w:ascii="黑体" w:eastAsia="黑体"/>
                <w:sz w:val="24"/>
                <w:highlight w:val="none"/>
              </w:rPr>
            </w:pPr>
            <w:r>
              <w:rPr>
                <w:rFonts w:hint="eastAsia" w:ascii="黑体" w:eastAsia="黑体"/>
                <w:sz w:val="24"/>
                <w:highlight w:val="none"/>
              </w:rPr>
              <w:t>投标文件的澄清和补正</w:t>
            </w:r>
          </w:p>
          <w:p>
            <w:pPr>
              <w:pStyle w:val="10"/>
              <w:keepNext w:val="0"/>
              <w:keepLines w:val="0"/>
              <w:pageBreakBefore w:val="0"/>
              <w:widowControl w:val="0"/>
              <w:numPr>
                <w:ilvl w:val="2"/>
                <w:numId w:val="3"/>
              </w:numPr>
              <w:tabs>
                <w:tab w:val="left" w:pos="1112"/>
              </w:tabs>
              <w:kinsoku/>
              <w:wordWrap/>
              <w:overflowPunct/>
              <w:topLinePunct w:val="0"/>
              <w:autoSpaceDE w:val="0"/>
              <w:autoSpaceDN w:val="0"/>
              <w:bidi w:val="0"/>
              <w:adjustRightInd/>
              <w:snapToGrid/>
              <w:spacing w:line="360" w:lineRule="auto"/>
              <w:ind w:left="0" w:right="0" w:firstLine="384" w:firstLineChars="200"/>
              <w:jc w:val="left"/>
              <w:textAlignment w:val="auto"/>
              <w:rPr>
                <w:sz w:val="21"/>
                <w:highlight w:val="none"/>
              </w:rPr>
            </w:pPr>
            <w:r>
              <w:rPr>
                <w:spacing w:val="-9"/>
                <w:sz w:val="21"/>
                <w:highlight w:val="none"/>
              </w:rPr>
              <w:t>在评标过程中，评标委员会可以书面形式要求投标人对所提交投标文件中不明确的内</w:t>
            </w:r>
            <w:r>
              <w:rPr>
                <w:spacing w:val="-5"/>
                <w:sz w:val="21"/>
                <w:highlight w:val="none"/>
              </w:rPr>
              <w:t>容进行书面澄清或说明，或者对细微偏差进行补正。评标委员会不接受投标人主动提出的澄清、</w:t>
            </w:r>
            <w:r>
              <w:rPr>
                <w:spacing w:val="-4"/>
                <w:sz w:val="21"/>
                <w:highlight w:val="none"/>
              </w:rPr>
              <w:t>说明或补正。</w:t>
            </w:r>
            <w:r>
              <w:rPr>
                <w:sz w:val="21"/>
                <w:highlight w:val="none"/>
              </w:rPr>
              <w:t xml:space="preserve"> </w:t>
            </w:r>
          </w:p>
          <w:p>
            <w:pPr>
              <w:pStyle w:val="10"/>
              <w:keepNext w:val="0"/>
              <w:keepLines w:val="0"/>
              <w:pageBreakBefore w:val="0"/>
              <w:widowControl w:val="0"/>
              <w:numPr>
                <w:ilvl w:val="2"/>
                <w:numId w:val="3"/>
              </w:numPr>
              <w:tabs>
                <w:tab w:val="left" w:pos="1063"/>
              </w:tabs>
              <w:kinsoku/>
              <w:wordWrap/>
              <w:overflowPunct/>
              <w:topLinePunct w:val="0"/>
              <w:autoSpaceDE w:val="0"/>
              <w:autoSpaceDN w:val="0"/>
              <w:bidi w:val="0"/>
              <w:adjustRightInd/>
              <w:snapToGrid/>
              <w:spacing w:line="360" w:lineRule="auto"/>
              <w:ind w:left="0" w:right="0" w:firstLine="380" w:firstLineChars="200"/>
              <w:jc w:val="left"/>
              <w:textAlignment w:val="auto"/>
              <w:rPr>
                <w:sz w:val="21"/>
                <w:highlight w:val="none"/>
              </w:rPr>
            </w:pPr>
            <w:r>
              <w:rPr>
                <w:spacing w:val="-10"/>
                <w:sz w:val="21"/>
                <w:highlight w:val="none"/>
              </w:rPr>
              <w:t>澄清、说明和补正不得改变投标文件的实质性内容。投标人的书面澄清、说明和补正</w:t>
            </w:r>
            <w:r>
              <w:rPr>
                <w:spacing w:val="-5"/>
                <w:sz w:val="21"/>
                <w:highlight w:val="none"/>
              </w:rPr>
              <w:t xml:space="preserve">属于投标文件的组成部分。 </w:t>
            </w:r>
          </w:p>
          <w:p>
            <w:pPr>
              <w:pStyle w:val="10"/>
              <w:keepNext w:val="0"/>
              <w:keepLines w:val="0"/>
              <w:pageBreakBefore w:val="0"/>
              <w:widowControl w:val="0"/>
              <w:numPr>
                <w:ilvl w:val="2"/>
                <w:numId w:val="3"/>
              </w:numPr>
              <w:tabs>
                <w:tab w:val="left" w:pos="1063"/>
              </w:tabs>
              <w:kinsoku/>
              <w:wordWrap/>
              <w:overflowPunct/>
              <w:topLinePunct w:val="0"/>
              <w:autoSpaceDE w:val="0"/>
              <w:autoSpaceDN w:val="0"/>
              <w:bidi w:val="0"/>
              <w:adjustRightInd/>
              <w:snapToGrid/>
              <w:spacing w:line="360" w:lineRule="auto"/>
              <w:ind w:left="0" w:right="0" w:firstLine="364" w:firstLineChars="200"/>
              <w:jc w:val="left"/>
              <w:textAlignment w:val="auto"/>
              <w:rPr>
                <w:sz w:val="21"/>
                <w:highlight w:val="none"/>
              </w:rPr>
            </w:pPr>
            <w:r>
              <w:rPr>
                <w:spacing w:val="-14"/>
                <w:sz w:val="21"/>
                <w:highlight w:val="none"/>
              </w:rPr>
              <w:t>评标委员会对投标人提交的澄清、说明或补正有疑问的，可以要求投标人进一步澄清、</w:t>
            </w:r>
            <w:r>
              <w:rPr>
                <w:spacing w:val="-7"/>
                <w:sz w:val="21"/>
                <w:highlight w:val="none"/>
              </w:rPr>
              <w:t>说明或补正，直至满足评标委员会的要求。</w:t>
            </w:r>
            <w:r>
              <w:rPr>
                <w:sz w:val="21"/>
                <w:highlight w:val="none"/>
              </w:rPr>
              <w:t xml:space="preserve"> </w:t>
            </w:r>
          </w:p>
          <w:p>
            <w:pPr>
              <w:pStyle w:val="10"/>
              <w:keepNext w:val="0"/>
              <w:keepLines w:val="0"/>
              <w:pageBreakBefore w:val="0"/>
              <w:widowControl w:val="0"/>
              <w:numPr>
                <w:ilvl w:val="2"/>
                <w:numId w:val="3"/>
              </w:numPr>
              <w:tabs>
                <w:tab w:val="left" w:pos="1063"/>
              </w:tabs>
              <w:kinsoku/>
              <w:wordWrap/>
              <w:overflowPunct/>
              <w:topLinePunct w:val="0"/>
              <w:autoSpaceDE w:val="0"/>
              <w:autoSpaceDN w:val="0"/>
              <w:bidi w:val="0"/>
              <w:adjustRightInd/>
              <w:snapToGrid/>
              <w:spacing w:line="360" w:lineRule="auto"/>
              <w:ind w:left="0" w:right="0" w:firstLine="392" w:firstLineChars="200"/>
              <w:jc w:val="left"/>
              <w:textAlignment w:val="auto"/>
              <w:rPr>
                <w:sz w:val="21"/>
                <w:highlight w:val="none"/>
              </w:rPr>
            </w:pPr>
            <w:r>
              <w:rPr>
                <w:spacing w:val="-7"/>
                <w:sz w:val="21"/>
                <w:highlight w:val="none"/>
              </w:rPr>
              <w:t>凡超出招标文件规定的或给发包人带来未曾要求的利益的变化、偏差或其他因素在评</w:t>
            </w:r>
            <w:r>
              <w:rPr>
                <w:sz w:val="21"/>
                <w:highlight w:val="none"/>
              </w:rPr>
              <w:t>标时不予考虑。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18" w:hRule="atLeast"/>
        </w:trPr>
        <w:tc>
          <w:tcPr>
            <w:tcW w:w="538" w:type="dxa"/>
            <w:tcBorders>
              <w:top w:val="single" w:color="000000" w:sz="8" w:space="0"/>
              <w:right w:val="single" w:color="000000" w:sz="8" w:space="0"/>
            </w:tcBorders>
            <w:noWrap w:val="0"/>
            <w:vAlign w:val="top"/>
          </w:tcPr>
          <w:p>
            <w:pPr>
              <w:pStyle w:val="10"/>
              <w:rPr>
                <w:rFonts w:ascii="Times New Roman"/>
                <w:sz w:val="20"/>
                <w:highlight w:val="none"/>
              </w:rPr>
            </w:pPr>
          </w:p>
          <w:p>
            <w:pPr>
              <w:pStyle w:val="10"/>
              <w:rPr>
                <w:rFonts w:ascii="Times New Roman"/>
                <w:sz w:val="20"/>
                <w:highlight w:val="none"/>
              </w:rPr>
            </w:pPr>
          </w:p>
          <w:p>
            <w:pPr>
              <w:pStyle w:val="10"/>
              <w:rPr>
                <w:rFonts w:ascii="Times New Roman"/>
                <w:sz w:val="20"/>
                <w:highlight w:val="none"/>
              </w:rPr>
            </w:pPr>
          </w:p>
          <w:p>
            <w:pPr>
              <w:pStyle w:val="10"/>
              <w:spacing w:before="127"/>
              <w:ind w:left="0" w:leftChars="0" w:firstLine="0" w:firstLineChars="0"/>
              <w:rPr>
                <w:sz w:val="21"/>
                <w:highlight w:val="none"/>
              </w:rPr>
            </w:pPr>
            <w:r>
              <w:rPr>
                <w:sz w:val="21"/>
                <w:highlight w:val="none"/>
              </w:rPr>
              <w:t>3.6</w:t>
            </w:r>
          </w:p>
        </w:tc>
        <w:tc>
          <w:tcPr>
            <w:tcW w:w="1733" w:type="dxa"/>
            <w:tcBorders>
              <w:top w:val="single" w:color="000000" w:sz="8" w:space="0"/>
              <w:left w:val="single" w:color="000000" w:sz="8" w:space="0"/>
              <w:right w:val="single" w:color="000000" w:sz="8" w:space="0"/>
            </w:tcBorders>
            <w:noWrap w:val="0"/>
            <w:vAlign w:val="top"/>
          </w:tcPr>
          <w:p>
            <w:pPr>
              <w:pStyle w:val="10"/>
              <w:rPr>
                <w:rFonts w:ascii="Times New Roman"/>
                <w:sz w:val="20"/>
                <w:highlight w:val="none"/>
              </w:rPr>
            </w:pPr>
          </w:p>
          <w:p>
            <w:pPr>
              <w:pStyle w:val="10"/>
              <w:spacing w:before="10"/>
              <w:rPr>
                <w:rFonts w:ascii="Times New Roman"/>
                <w:sz w:val="18"/>
                <w:highlight w:val="none"/>
              </w:rPr>
            </w:pPr>
          </w:p>
          <w:p>
            <w:pPr>
              <w:pStyle w:val="10"/>
              <w:spacing w:line="357" w:lineRule="auto"/>
              <w:ind w:left="0" w:leftChars="0" w:right="145" w:firstLine="0" w:firstLineChars="0"/>
              <w:jc w:val="both"/>
              <w:rPr>
                <w:sz w:val="21"/>
                <w:highlight w:val="none"/>
              </w:rPr>
            </w:pPr>
            <w:r>
              <w:rPr>
                <w:sz w:val="21"/>
                <w:highlight w:val="none"/>
              </w:rPr>
              <w:t>评标结果</w:t>
            </w:r>
          </w:p>
        </w:tc>
        <w:tc>
          <w:tcPr>
            <w:tcW w:w="7148" w:type="dxa"/>
            <w:tcBorders>
              <w:top w:val="single" w:color="000000" w:sz="8" w:space="0"/>
              <w:left w:val="single" w:color="000000" w:sz="8" w:space="0"/>
            </w:tcBorders>
            <w:noWrap w:val="0"/>
            <w:vAlign w:val="top"/>
          </w:tcPr>
          <w:p>
            <w:pPr>
              <w:pStyle w:val="10"/>
              <w:keepNext w:val="0"/>
              <w:keepLines w:val="0"/>
              <w:pageBreakBefore w:val="0"/>
              <w:widowControl w:val="0"/>
              <w:numPr>
                <w:ilvl w:val="1"/>
                <w:numId w:val="4"/>
              </w:numPr>
              <w:tabs>
                <w:tab w:val="left" w:pos="713"/>
                <w:tab w:val="left" w:pos="714"/>
              </w:tabs>
              <w:kinsoku/>
              <w:wordWrap/>
              <w:overflowPunct/>
              <w:topLinePunct w:val="0"/>
              <w:bidi w:val="0"/>
              <w:adjustRightInd/>
              <w:snapToGrid/>
              <w:spacing w:before="146"/>
              <w:ind w:left="0" w:hanging="601"/>
              <w:jc w:val="left"/>
              <w:textAlignment w:val="auto"/>
              <w:rPr>
                <w:rFonts w:hint="eastAsia" w:ascii="黑体" w:eastAsia="黑体"/>
                <w:sz w:val="24"/>
                <w:highlight w:val="none"/>
              </w:rPr>
            </w:pPr>
            <w:r>
              <w:rPr>
                <w:rFonts w:hint="eastAsia" w:ascii="黑体" w:eastAsia="黑体"/>
                <w:sz w:val="24"/>
                <w:highlight w:val="none"/>
              </w:rPr>
              <w:t>评标结果</w:t>
            </w:r>
          </w:p>
          <w:p>
            <w:pPr>
              <w:pStyle w:val="10"/>
              <w:keepNext w:val="0"/>
              <w:keepLines w:val="0"/>
              <w:pageBreakBefore w:val="0"/>
              <w:widowControl w:val="0"/>
              <w:numPr>
                <w:ilvl w:val="2"/>
                <w:numId w:val="4"/>
              </w:numPr>
              <w:tabs>
                <w:tab w:val="left" w:pos="1112"/>
              </w:tabs>
              <w:kinsoku/>
              <w:wordWrap/>
              <w:overflowPunct/>
              <w:topLinePunct w:val="0"/>
              <w:bidi w:val="0"/>
              <w:adjustRightInd/>
              <w:snapToGrid/>
              <w:spacing w:before="202" w:line="427" w:lineRule="auto"/>
              <w:ind w:left="0" w:right="71" w:firstLine="420"/>
              <w:jc w:val="left"/>
              <w:textAlignment w:val="auto"/>
              <w:rPr>
                <w:sz w:val="21"/>
                <w:highlight w:val="none"/>
              </w:rPr>
            </w:pPr>
            <w:r>
              <w:rPr>
                <w:spacing w:val="-9"/>
                <w:sz w:val="21"/>
                <w:highlight w:val="none"/>
              </w:rPr>
              <w:t xml:space="preserve">除第二章“投标人须知”前附表授权直接确定中标人外，评标委员会依据本章第 </w:t>
            </w:r>
            <w:r>
              <w:rPr>
                <w:sz w:val="21"/>
                <w:highlight w:val="none"/>
              </w:rPr>
              <w:t>1</w:t>
            </w:r>
            <w:r>
              <w:rPr>
                <w:spacing w:val="-18"/>
                <w:sz w:val="21"/>
                <w:highlight w:val="none"/>
              </w:rPr>
              <w:t xml:space="preserve"> 条</w:t>
            </w:r>
            <w:r>
              <w:rPr>
                <w:spacing w:val="-7"/>
                <w:sz w:val="21"/>
                <w:highlight w:val="none"/>
              </w:rPr>
              <w:t>规定的标准，按照投标人得分由高到低的顺序推荐中标候选人。</w:t>
            </w:r>
            <w:r>
              <w:rPr>
                <w:sz w:val="21"/>
                <w:highlight w:val="none"/>
              </w:rPr>
              <w:t xml:space="preserve"> </w:t>
            </w:r>
          </w:p>
          <w:p>
            <w:pPr>
              <w:pStyle w:val="10"/>
              <w:keepNext w:val="0"/>
              <w:keepLines w:val="0"/>
              <w:pageBreakBefore w:val="0"/>
              <w:widowControl w:val="0"/>
              <w:numPr>
                <w:ilvl w:val="2"/>
                <w:numId w:val="4"/>
              </w:numPr>
              <w:tabs>
                <w:tab w:val="left" w:pos="1063"/>
              </w:tabs>
              <w:kinsoku/>
              <w:wordWrap/>
              <w:overflowPunct/>
              <w:topLinePunct w:val="0"/>
              <w:bidi w:val="0"/>
              <w:adjustRightInd/>
              <w:snapToGrid/>
              <w:spacing w:line="226" w:lineRule="exact"/>
              <w:ind w:left="0" w:hanging="530"/>
              <w:jc w:val="left"/>
              <w:textAlignment w:val="auto"/>
              <w:rPr>
                <w:sz w:val="21"/>
                <w:highlight w:val="none"/>
              </w:rPr>
            </w:pPr>
            <w:r>
              <w:rPr>
                <w:spacing w:val="-3"/>
                <w:sz w:val="21"/>
                <w:highlight w:val="none"/>
              </w:rPr>
              <w:t>评标委员会完成评标后向招标人提交书面评标报告。</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3"/>
      <w:numFmt w:val="decimal"/>
      <w:lvlText w:val="%1"/>
      <w:lvlJc w:val="left"/>
      <w:pPr>
        <w:ind w:left="533" w:hanging="420"/>
      </w:pPr>
      <w:rPr>
        <w:rFonts w:hint="default"/>
        <w:lang w:val="zh-CN" w:eastAsia="zh-CN" w:bidi="zh-CN"/>
      </w:rPr>
    </w:lvl>
    <w:lvl w:ilvl="1" w:tentative="0">
      <w:start w:val="4"/>
      <w:numFmt w:val="decimal"/>
      <w:lvlText w:val="%1.%2"/>
      <w:lvlJc w:val="left"/>
      <w:pPr>
        <w:ind w:left="533" w:hanging="420"/>
      </w:pPr>
      <w:rPr>
        <w:rFonts w:hint="default" w:ascii="黑体" w:hAnsi="黑体" w:eastAsia="黑体" w:cs="黑体"/>
        <w:w w:val="100"/>
        <w:sz w:val="24"/>
        <w:szCs w:val="24"/>
        <w:lang w:val="zh-CN" w:eastAsia="zh-CN" w:bidi="zh-CN"/>
      </w:rPr>
    </w:lvl>
    <w:lvl w:ilvl="2" w:tentative="0">
      <w:start w:val="1"/>
      <w:numFmt w:val="decimal"/>
      <w:lvlText w:val="%1.%2.%3"/>
      <w:lvlJc w:val="left"/>
      <w:pPr>
        <w:ind w:left="113"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2400" w:hanging="579"/>
      </w:pPr>
      <w:rPr>
        <w:rFonts w:hint="default"/>
        <w:lang w:val="zh-CN" w:eastAsia="zh-CN" w:bidi="zh-CN"/>
      </w:rPr>
    </w:lvl>
    <w:lvl w:ilvl="4" w:tentative="0">
      <w:start w:val="0"/>
      <w:numFmt w:val="bullet"/>
      <w:lvlText w:val="•"/>
      <w:lvlJc w:val="left"/>
      <w:pPr>
        <w:ind w:left="3331" w:hanging="579"/>
      </w:pPr>
      <w:rPr>
        <w:rFonts w:hint="default"/>
        <w:lang w:val="zh-CN" w:eastAsia="zh-CN" w:bidi="zh-CN"/>
      </w:rPr>
    </w:lvl>
    <w:lvl w:ilvl="5" w:tentative="0">
      <w:start w:val="0"/>
      <w:numFmt w:val="bullet"/>
      <w:lvlText w:val="•"/>
      <w:lvlJc w:val="left"/>
      <w:pPr>
        <w:ind w:left="4261" w:hanging="579"/>
      </w:pPr>
      <w:rPr>
        <w:rFonts w:hint="default"/>
        <w:lang w:val="zh-CN" w:eastAsia="zh-CN" w:bidi="zh-CN"/>
      </w:rPr>
    </w:lvl>
    <w:lvl w:ilvl="6" w:tentative="0">
      <w:start w:val="0"/>
      <w:numFmt w:val="bullet"/>
      <w:lvlText w:val="•"/>
      <w:lvlJc w:val="left"/>
      <w:pPr>
        <w:ind w:left="5191" w:hanging="579"/>
      </w:pPr>
      <w:rPr>
        <w:rFonts w:hint="default"/>
        <w:lang w:val="zh-CN" w:eastAsia="zh-CN" w:bidi="zh-CN"/>
      </w:rPr>
    </w:lvl>
    <w:lvl w:ilvl="7" w:tentative="0">
      <w:start w:val="0"/>
      <w:numFmt w:val="bullet"/>
      <w:lvlText w:val="•"/>
      <w:lvlJc w:val="left"/>
      <w:pPr>
        <w:ind w:left="6122" w:hanging="579"/>
      </w:pPr>
      <w:rPr>
        <w:rFonts w:hint="default"/>
        <w:lang w:val="zh-CN" w:eastAsia="zh-CN" w:bidi="zh-CN"/>
      </w:rPr>
    </w:lvl>
    <w:lvl w:ilvl="8" w:tentative="0">
      <w:start w:val="0"/>
      <w:numFmt w:val="bullet"/>
      <w:lvlText w:val="•"/>
      <w:lvlJc w:val="left"/>
      <w:pPr>
        <w:ind w:left="7052" w:hanging="579"/>
      </w:pPr>
      <w:rPr>
        <w:rFonts w:hint="default"/>
        <w:lang w:val="zh-CN" w:eastAsia="zh-CN" w:bidi="zh-CN"/>
      </w:rPr>
    </w:lvl>
  </w:abstractNum>
  <w:abstractNum w:abstractNumId="1">
    <w:nsid w:val="8CAEB125"/>
    <w:multiLevelType w:val="multilevel"/>
    <w:tmpl w:val="8CAEB125"/>
    <w:lvl w:ilvl="0" w:tentative="0">
      <w:start w:val="3"/>
      <w:numFmt w:val="decimal"/>
      <w:lvlText w:val="%1"/>
      <w:lvlJc w:val="left"/>
      <w:pPr>
        <w:ind w:left="713" w:hanging="600"/>
      </w:pPr>
      <w:rPr>
        <w:rFonts w:hint="default"/>
        <w:lang w:val="zh-CN" w:eastAsia="zh-CN" w:bidi="zh-CN"/>
      </w:rPr>
    </w:lvl>
    <w:lvl w:ilvl="1" w:tentative="0">
      <w:start w:val="5"/>
      <w:numFmt w:val="decimal"/>
      <w:lvlText w:val="%1.%2"/>
      <w:lvlJc w:val="left"/>
      <w:pPr>
        <w:ind w:left="713" w:hanging="600"/>
      </w:pPr>
      <w:rPr>
        <w:rFonts w:hint="default" w:ascii="黑体" w:hAnsi="黑体" w:eastAsia="黑体" w:cs="黑体"/>
        <w:w w:val="100"/>
        <w:sz w:val="24"/>
        <w:szCs w:val="24"/>
        <w:lang w:val="zh-CN" w:eastAsia="zh-CN" w:bidi="zh-CN"/>
      </w:rPr>
    </w:lvl>
    <w:lvl w:ilvl="2" w:tentative="0">
      <w:start w:val="1"/>
      <w:numFmt w:val="decimal"/>
      <w:lvlText w:val="%1.%2.%3"/>
      <w:lvlJc w:val="left"/>
      <w:pPr>
        <w:ind w:left="113"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2540" w:hanging="579"/>
      </w:pPr>
      <w:rPr>
        <w:rFonts w:hint="default"/>
        <w:lang w:val="zh-CN" w:eastAsia="zh-CN" w:bidi="zh-CN"/>
      </w:rPr>
    </w:lvl>
    <w:lvl w:ilvl="4" w:tentative="0">
      <w:start w:val="0"/>
      <w:numFmt w:val="bullet"/>
      <w:lvlText w:val="•"/>
      <w:lvlJc w:val="left"/>
      <w:pPr>
        <w:ind w:left="3451" w:hanging="579"/>
      </w:pPr>
      <w:rPr>
        <w:rFonts w:hint="default"/>
        <w:lang w:val="zh-CN" w:eastAsia="zh-CN" w:bidi="zh-CN"/>
      </w:rPr>
    </w:lvl>
    <w:lvl w:ilvl="5" w:tentative="0">
      <w:start w:val="0"/>
      <w:numFmt w:val="bullet"/>
      <w:lvlText w:val="•"/>
      <w:lvlJc w:val="left"/>
      <w:pPr>
        <w:ind w:left="4361" w:hanging="579"/>
      </w:pPr>
      <w:rPr>
        <w:rFonts w:hint="default"/>
        <w:lang w:val="zh-CN" w:eastAsia="zh-CN" w:bidi="zh-CN"/>
      </w:rPr>
    </w:lvl>
    <w:lvl w:ilvl="6" w:tentative="0">
      <w:start w:val="0"/>
      <w:numFmt w:val="bullet"/>
      <w:lvlText w:val="•"/>
      <w:lvlJc w:val="left"/>
      <w:pPr>
        <w:ind w:left="5271" w:hanging="579"/>
      </w:pPr>
      <w:rPr>
        <w:rFonts w:hint="default"/>
        <w:lang w:val="zh-CN" w:eastAsia="zh-CN" w:bidi="zh-CN"/>
      </w:rPr>
    </w:lvl>
    <w:lvl w:ilvl="7" w:tentative="0">
      <w:start w:val="0"/>
      <w:numFmt w:val="bullet"/>
      <w:lvlText w:val="•"/>
      <w:lvlJc w:val="left"/>
      <w:pPr>
        <w:ind w:left="6182" w:hanging="579"/>
      </w:pPr>
      <w:rPr>
        <w:rFonts w:hint="default"/>
        <w:lang w:val="zh-CN" w:eastAsia="zh-CN" w:bidi="zh-CN"/>
      </w:rPr>
    </w:lvl>
    <w:lvl w:ilvl="8" w:tentative="0">
      <w:start w:val="0"/>
      <w:numFmt w:val="bullet"/>
      <w:lvlText w:val="•"/>
      <w:lvlJc w:val="left"/>
      <w:pPr>
        <w:ind w:left="7092" w:hanging="579"/>
      </w:pPr>
      <w:rPr>
        <w:rFonts w:hint="default"/>
        <w:lang w:val="zh-CN" w:eastAsia="zh-CN" w:bidi="zh-CN"/>
      </w:rPr>
    </w:lvl>
  </w:abstractNum>
  <w:abstractNum w:abstractNumId="2">
    <w:nsid w:val="B8CEF35B"/>
    <w:multiLevelType w:val="multilevel"/>
    <w:tmpl w:val="B8CEF35B"/>
    <w:lvl w:ilvl="0" w:tentative="0">
      <w:start w:val="1"/>
      <w:numFmt w:val="decimal"/>
      <w:lvlText w:val="（%1）"/>
      <w:lvlJc w:val="left"/>
      <w:pPr>
        <w:ind w:left="63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62" w:hanging="529"/>
      </w:pPr>
      <w:rPr>
        <w:rFonts w:hint="default"/>
        <w:lang w:val="zh-CN" w:eastAsia="zh-CN" w:bidi="zh-CN"/>
      </w:rPr>
    </w:lvl>
    <w:lvl w:ilvl="2" w:tentative="0">
      <w:start w:val="0"/>
      <w:numFmt w:val="bullet"/>
      <w:lvlText w:val="•"/>
      <w:lvlJc w:val="left"/>
      <w:pPr>
        <w:ind w:left="2084" w:hanging="529"/>
      </w:pPr>
      <w:rPr>
        <w:rFonts w:hint="default"/>
        <w:lang w:val="zh-CN" w:eastAsia="zh-CN" w:bidi="zh-CN"/>
      </w:rPr>
    </w:lvl>
    <w:lvl w:ilvl="3" w:tentative="0">
      <w:start w:val="0"/>
      <w:numFmt w:val="bullet"/>
      <w:lvlText w:val="•"/>
      <w:lvlJc w:val="left"/>
      <w:pPr>
        <w:ind w:left="2806" w:hanging="529"/>
      </w:pPr>
      <w:rPr>
        <w:rFonts w:hint="default"/>
        <w:lang w:val="zh-CN" w:eastAsia="zh-CN" w:bidi="zh-CN"/>
      </w:rPr>
    </w:lvl>
    <w:lvl w:ilvl="4" w:tentative="0">
      <w:start w:val="0"/>
      <w:numFmt w:val="bullet"/>
      <w:lvlText w:val="•"/>
      <w:lvlJc w:val="left"/>
      <w:pPr>
        <w:ind w:left="3528" w:hanging="529"/>
      </w:pPr>
      <w:rPr>
        <w:rFonts w:hint="default"/>
        <w:lang w:val="zh-CN" w:eastAsia="zh-CN" w:bidi="zh-CN"/>
      </w:rPr>
    </w:lvl>
    <w:lvl w:ilvl="5" w:tentative="0">
      <w:start w:val="0"/>
      <w:numFmt w:val="bullet"/>
      <w:lvlText w:val="•"/>
      <w:lvlJc w:val="left"/>
      <w:pPr>
        <w:ind w:left="4250" w:hanging="529"/>
      </w:pPr>
      <w:rPr>
        <w:rFonts w:hint="default"/>
        <w:lang w:val="zh-CN" w:eastAsia="zh-CN" w:bidi="zh-CN"/>
      </w:rPr>
    </w:lvl>
    <w:lvl w:ilvl="6" w:tentative="0">
      <w:start w:val="0"/>
      <w:numFmt w:val="bullet"/>
      <w:lvlText w:val="•"/>
      <w:lvlJc w:val="left"/>
      <w:pPr>
        <w:ind w:left="4972" w:hanging="529"/>
      </w:pPr>
      <w:rPr>
        <w:rFonts w:hint="default"/>
        <w:lang w:val="zh-CN" w:eastAsia="zh-CN" w:bidi="zh-CN"/>
      </w:rPr>
    </w:lvl>
    <w:lvl w:ilvl="7" w:tentative="0">
      <w:start w:val="0"/>
      <w:numFmt w:val="bullet"/>
      <w:lvlText w:val="•"/>
      <w:lvlJc w:val="left"/>
      <w:pPr>
        <w:ind w:left="5694" w:hanging="529"/>
      </w:pPr>
      <w:rPr>
        <w:rFonts w:hint="default"/>
        <w:lang w:val="zh-CN" w:eastAsia="zh-CN" w:bidi="zh-CN"/>
      </w:rPr>
    </w:lvl>
    <w:lvl w:ilvl="8" w:tentative="0">
      <w:start w:val="0"/>
      <w:numFmt w:val="bullet"/>
      <w:lvlText w:val="•"/>
      <w:lvlJc w:val="left"/>
      <w:pPr>
        <w:ind w:left="6416" w:hanging="529"/>
      </w:pPr>
      <w:rPr>
        <w:rFonts w:hint="default"/>
        <w:lang w:val="zh-CN" w:eastAsia="zh-CN" w:bidi="zh-CN"/>
      </w:rPr>
    </w:lvl>
  </w:abstractNum>
  <w:abstractNum w:abstractNumId="3">
    <w:nsid w:val="5FFFB1A7"/>
    <w:multiLevelType w:val="multilevel"/>
    <w:tmpl w:val="5FFFB1A7"/>
    <w:lvl w:ilvl="0" w:tentative="0">
      <w:start w:val="3"/>
      <w:numFmt w:val="decimal"/>
      <w:lvlText w:val="%1"/>
      <w:lvlJc w:val="left"/>
      <w:pPr>
        <w:ind w:left="713" w:hanging="600"/>
      </w:pPr>
      <w:rPr>
        <w:rFonts w:hint="default"/>
        <w:lang w:val="zh-CN" w:eastAsia="zh-CN" w:bidi="zh-CN"/>
      </w:rPr>
    </w:lvl>
    <w:lvl w:ilvl="1" w:tentative="0">
      <w:start w:val="6"/>
      <w:numFmt w:val="decimal"/>
      <w:lvlText w:val="%1.%2"/>
      <w:lvlJc w:val="left"/>
      <w:pPr>
        <w:ind w:left="713" w:hanging="600"/>
      </w:pPr>
      <w:rPr>
        <w:rFonts w:hint="default" w:ascii="黑体" w:hAnsi="黑体" w:eastAsia="黑体" w:cs="黑体"/>
        <w:w w:val="100"/>
        <w:sz w:val="24"/>
        <w:szCs w:val="24"/>
        <w:lang w:val="zh-CN" w:eastAsia="zh-CN" w:bidi="zh-CN"/>
      </w:rPr>
    </w:lvl>
    <w:lvl w:ilvl="2" w:tentative="0">
      <w:start w:val="1"/>
      <w:numFmt w:val="decimal"/>
      <w:lvlText w:val="%1.%2.%3"/>
      <w:lvlJc w:val="left"/>
      <w:pPr>
        <w:ind w:left="113"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2540" w:hanging="579"/>
      </w:pPr>
      <w:rPr>
        <w:rFonts w:hint="default"/>
        <w:lang w:val="zh-CN" w:eastAsia="zh-CN" w:bidi="zh-CN"/>
      </w:rPr>
    </w:lvl>
    <w:lvl w:ilvl="4" w:tentative="0">
      <w:start w:val="0"/>
      <w:numFmt w:val="bullet"/>
      <w:lvlText w:val="•"/>
      <w:lvlJc w:val="left"/>
      <w:pPr>
        <w:ind w:left="3451" w:hanging="579"/>
      </w:pPr>
      <w:rPr>
        <w:rFonts w:hint="default"/>
        <w:lang w:val="zh-CN" w:eastAsia="zh-CN" w:bidi="zh-CN"/>
      </w:rPr>
    </w:lvl>
    <w:lvl w:ilvl="5" w:tentative="0">
      <w:start w:val="0"/>
      <w:numFmt w:val="bullet"/>
      <w:lvlText w:val="•"/>
      <w:lvlJc w:val="left"/>
      <w:pPr>
        <w:ind w:left="4361" w:hanging="579"/>
      </w:pPr>
      <w:rPr>
        <w:rFonts w:hint="default"/>
        <w:lang w:val="zh-CN" w:eastAsia="zh-CN" w:bidi="zh-CN"/>
      </w:rPr>
    </w:lvl>
    <w:lvl w:ilvl="6" w:tentative="0">
      <w:start w:val="0"/>
      <w:numFmt w:val="bullet"/>
      <w:lvlText w:val="•"/>
      <w:lvlJc w:val="left"/>
      <w:pPr>
        <w:ind w:left="5271" w:hanging="579"/>
      </w:pPr>
      <w:rPr>
        <w:rFonts w:hint="default"/>
        <w:lang w:val="zh-CN" w:eastAsia="zh-CN" w:bidi="zh-CN"/>
      </w:rPr>
    </w:lvl>
    <w:lvl w:ilvl="7" w:tentative="0">
      <w:start w:val="0"/>
      <w:numFmt w:val="bullet"/>
      <w:lvlText w:val="•"/>
      <w:lvlJc w:val="left"/>
      <w:pPr>
        <w:ind w:left="6182" w:hanging="579"/>
      </w:pPr>
      <w:rPr>
        <w:rFonts w:hint="default"/>
        <w:lang w:val="zh-CN" w:eastAsia="zh-CN" w:bidi="zh-CN"/>
      </w:rPr>
    </w:lvl>
    <w:lvl w:ilvl="8" w:tentative="0">
      <w:start w:val="0"/>
      <w:numFmt w:val="bullet"/>
      <w:lvlText w:val="•"/>
      <w:lvlJc w:val="left"/>
      <w:pPr>
        <w:ind w:left="7092" w:hanging="579"/>
      </w:pPr>
      <w:rPr>
        <w:rFonts w:hint="default"/>
        <w:lang w:val="zh-CN" w:eastAsia="zh-CN" w:bidi="zh-C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F7752"/>
    <w:rsid w:val="11F37FA4"/>
    <w:rsid w:val="457F7752"/>
    <w:rsid w:val="4FB50FA5"/>
    <w:rsid w:val="55AB7058"/>
    <w:rsid w:val="6C2259C0"/>
    <w:rsid w:val="76DA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5">
    <w:name w:val="Body Text"/>
    <w:basedOn w:val="1"/>
    <w:qFormat/>
    <w:uiPriority w:val="0"/>
    <w:rPr>
      <w:sz w:val="24"/>
      <w:szCs w:val="24"/>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List Paragraph"/>
    <w:basedOn w:val="1"/>
    <w:qFormat/>
    <w:uiPriority w:val="1"/>
    <w:pPr>
      <w:spacing w:before="2"/>
      <w:ind w:left="1474"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2021-08-19T01:33:00Z</dcterms:created>
  <dc:creator>WPS_1600825042</dc:creator>
  <cp:lastModifiedBy>WPS_1600825042</cp:lastModifiedBy>
  <dcterms:modified xsi:type="dcterms:W3CDTF">2021-08-20T01:40:37Z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98E6C0398C704B09B01DD3CB5F309C84</vt:lpwstr>
  </property>
</Properties>
</file>