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0" w:firstLineChars="0"/>
        <w:jc w:val="center"/>
        <w:rPr>
          <w:rFonts w:hint="eastAsia" w:ascii="宋体" w:hAnsi="宋体" w:eastAsia="宋体" w:cs="宋体"/>
          <w:sz w:val="38"/>
          <w:szCs w:val="38"/>
          <w:highlight w:val="none"/>
        </w:rPr>
      </w:pPr>
      <w:r>
        <w:rPr>
          <w:rFonts w:hint="eastAsia" w:ascii="宋体" w:hAnsi="宋体" w:eastAsia="宋体" w:cs="宋体"/>
          <w:sz w:val="38"/>
          <w:szCs w:val="38"/>
          <w:highlight w:val="none"/>
        </w:rPr>
        <w:t>赣定高速公路沿线隧道机电系统重建</w:t>
      </w:r>
    </w:p>
    <w:p>
      <w:pPr>
        <w:adjustRightInd w:val="0"/>
        <w:snapToGrid w:val="0"/>
        <w:spacing w:line="360" w:lineRule="auto"/>
        <w:ind w:firstLine="0" w:firstLineChars="0"/>
        <w:jc w:val="center"/>
        <w:rPr>
          <w:rFonts w:hint="eastAsia" w:ascii="宋体" w:hAnsi="宋体" w:eastAsia="宋体" w:cs="宋体"/>
          <w:sz w:val="38"/>
          <w:szCs w:val="38"/>
          <w:highlight w:val="none"/>
          <w:lang w:eastAsia="zh-CN"/>
        </w:rPr>
      </w:pPr>
      <w:r>
        <w:rPr>
          <w:rFonts w:hint="eastAsia" w:ascii="宋体" w:hAnsi="宋体" w:eastAsia="宋体" w:cs="宋体"/>
          <w:sz w:val="38"/>
          <w:szCs w:val="38"/>
          <w:highlight w:val="none"/>
        </w:rPr>
        <w:t>勘察设计招标</w:t>
      </w:r>
      <w:r>
        <w:rPr>
          <w:rFonts w:hint="eastAsia" w:ascii="宋体" w:hAnsi="宋体" w:eastAsia="宋体" w:cs="宋体"/>
          <w:sz w:val="38"/>
          <w:szCs w:val="38"/>
          <w:highlight w:val="none"/>
          <w:lang w:eastAsia="zh-CN"/>
        </w:rPr>
        <w:t>关键内容公开</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根据《公路工程建设项目招标投标管理办法》的规定，现对</w:t>
      </w:r>
      <w:r>
        <w:rPr>
          <w:rFonts w:hint="eastAsia" w:ascii="宋体" w:hAnsi="宋体" w:eastAsia="宋体" w:cs="宋体"/>
          <w:color w:val="auto"/>
          <w:sz w:val="24"/>
          <w:szCs w:val="24"/>
          <w:highlight w:val="none"/>
          <w:lang w:eastAsia="zh-CN"/>
        </w:rPr>
        <w:t>赣定高速公路沿线隧道机电系统重建勘察设计招标</w:t>
      </w:r>
      <w:r>
        <w:rPr>
          <w:rFonts w:hint="eastAsia" w:ascii="宋体" w:hAnsi="宋体" w:eastAsia="宋体" w:cs="宋体"/>
          <w:color w:val="auto"/>
          <w:sz w:val="24"/>
          <w:szCs w:val="24"/>
          <w:highlight w:val="none"/>
        </w:rPr>
        <w:t>文件中的关键内容进行公开：</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一、项目概况</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赣定高速公路沿线隧道机电系统重建勘察设计招标</w:t>
      </w:r>
      <w:r>
        <w:rPr>
          <w:rFonts w:hint="eastAsia" w:ascii="宋体" w:hAnsi="宋体" w:eastAsia="宋体" w:cs="宋体"/>
          <w:color w:val="auto"/>
          <w:sz w:val="24"/>
          <w:szCs w:val="24"/>
          <w:highlight w:val="none"/>
        </w:rPr>
        <w:t>公告。</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二、投标人资格要求</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详见</w:t>
      </w:r>
      <w:r>
        <w:rPr>
          <w:rFonts w:hint="eastAsia" w:ascii="宋体" w:hAnsi="宋体" w:eastAsia="宋体" w:cs="宋体"/>
          <w:color w:val="auto"/>
          <w:sz w:val="24"/>
          <w:szCs w:val="24"/>
          <w:highlight w:val="none"/>
          <w:lang w:eastAsia="zh-CN"/>
        </w:rPr>
        <w:t>赣定高速公路沿线隧道机电系统重建勘察设计招标</w:t>
      </w:r>
      <w:r>
        <w:rPr>
          <w:rFonts w:hint="eastAsia" w:ascii="宋体" w:hAnsi="宋体" w:eastAsia="宋体" w:cs="宋体"/>
          <w:color w:val="auto"/>
          <w:sz w:val="24"/>
          <w:szCs w:val="24"/>
          <w:highlight w:val="none"/>
        </w:rPr>
        <w:t>公告。</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三、评标办法</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本次招标采用</w:t>
      </w:r>
      <w:r>
        <w:rPr>
          <w:rFonts w:hint="eastAsia" w:ascii="宋体" w:hAnsi="宋体" w:eastAsia="宋体" w:cs="宋体"/>
          <w:color w:val="auto"/>
          <w:sz w:val="24"/>
          <w:szCs w:val="24"/>
          <w:highlight w:val="none"/>
          <w:lang w:val="en-US" w:eastAsia="zh-CN"/>
        </w:rPr>
        <w:t>综合评估法</w:t>
      </w:r>
      <w:r>
        <w:rPr>
          <w:rFonts w:hint="eastAsia" w:ascii="宋体" w:hAnsi="宋体" w:eastAsia="宋体" w:cs="宋体"/>
          <w:color w:val="auto"/>
          <w:sz w:val="24"/>
          <w:szCs w:val="24"/>
          <w:highlight w:val="none"/>
        </w:rPr>
        <w:t>（详见附件）。</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四、联系方式</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招   标   人：赣州高速公路有限责任公司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地        址：江西省赣州市章贡区沙河镇赣州绕城高速赣州东出口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   系   人：温女士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话：0797-8289692</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        编：341000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招标代理机构：江西省赣南公路勘察设计院</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址：赣州市章江新区赞贤路36号</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   系   人：赖工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电        话：0797-8088235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        编：341000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电子邮件：</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"mailto:gnglkcsjy@163.com" </w:instrText>
      </w:r>
      <w:r>
        <w:rPr>
          <w:rFonts w:hint="eastAsia" w:ascii="宋体" w:hAnsi="宋体" w:eastAsia="宋体" w:cs="宋体"/>
          <w:color w:val="auto"/>
          <w:sz w:val="24"/>
          <w:szCs w:val="24"/>
          <w:highlight w:val="none"/>
          <w:lang w:eastAsia="zh-CN"/>
        </w:rPr>
        <w:fldChar w:fldCharType="separate"/>
      </w:r>
      <w:r>
        <w:rPr>
          <w:rStyle w:val="10"/>
          <w:rFonts w:hint="eastAsia" w:ascii="宋体" w:hAnsi="宋体" w:eastAsia="宋体" w:cs="宋体"/>
          <w:sz w:val="24"/>
          <w:szCs w:val="24"/>
          <w:highlight w:val="none"/>
          <w:lang w:eastAsia="zh-CN"/>
        </w:rPr>
        <w:t>gnglkcsjy@163.com</w:t>
      </w:r>
      <w:r>
        <w:rPr>
          <w:rFonts w:hint="eastAsia" w:ascii="宋体" w:hAnsi="宋体" w:eastAsia="宋体" w:cs="宋体"/>
          <w:color w:val="auto"/>
          <w:sz w:val="24"/>
          <w:szCs w:val="24"/>
          <w:highlight w:val="none"/>
          <w:lang w:eastAsia="zh-CN"/>
        </w:rPr>
        <w:fldChar w:fldCharType="end"/>
      </w:r>
    </w:p>
    <w:p>
      <w:pPr>
        <w:pStyle w:val="4"/>
        <w:spacing w:beforeLines="0" w:afterLines="0"/>
        <w:jc w:val="left"/>
        <w:rPr>
          <w:rFonts w:hint="eastAsia" w:ascii="宋体" w:hAnsi="宋体" w:eastAsia="宋体" w:cs="宋体"/>
          <w:szCs w:val="28"/>
          <w:highlight w:val="none"/>
          <w:lang w:val="en-US" w:eastAsia="zh-CN"/>
        </w:rPr>
        <w:sectPr>
          <w:pgSz w:w="11907" w:h="16840"/>
          <w:pgMar w:top="1418" w:right="1418" w:bottom="1418" w:left="1588" w:header="851" w:footer="992" w:gutter="0"/>
          <w:pgBorders>
            <w:top w:val="none" w:sz="0" w:space="0"/>
            <w:left w:val="none" w:sz="0" w:space="0"/>
            <w:bottom w:val="none" w:sz="0" w:space="0"/>
            <w:right w:val="none" w:sz="0" w:space="0"/>
          </w:pgBorders>
          <w:cols w:space="720" w:num="1"/>
          <w:docGrid w:linePitch="360" w:charSpace="0"/>
        </w:sect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bookmarkStart w:id="0" w:name="_Toc9094"/>
      <w:r>
        <w:rPr>
          <w:rFonts w:hint="eastAsia" w:ascii="宋体" w:hAnsi="宋体" w:eastAsia="宋体" w:cs="宋体"/>
          <w:b/>
          <w:bCs/>
          <w:color w:val="auto"/>
          <w:sz w:val="24"/>
          <w:szCs w:val="24"/>
          <w:highlight w:val="none"/>
          <w:lang w:val="en-US" w:eastAsia="zh-CN"/>
        </w:rPr>
        <w:t>评标办法</w:t>
      </w:r>
    </w:p>
    <w:bookmarkEnd w:id="0"/>
    <w:p>
      <w:pPr>
        <w:pStyle w:val="4"/>
        <w:spacing w:beforeLines="0" w:afterLines="0"/>
        <w:jc w:val="left"/>
        <w:rPr>
          <w:rFonts w:hint="eastAsia" w:ascii="宋体" w:hAnsi="宋体" w:eastAsia="宋体" w:cs="宋体"/>
          <w:szCs w:val="28"/>
          <w:highlight w:val="none"/>
        </w:rPr>
      </w:pPr>
      <w:bookmarkStart w:id="1" w:name="_Toc527466704"/>
      <w:bookmarkStart w:id="2" w:name="_Toc30507"/>
      <w:bookmarkStart w:id="3" w:name="_Toc13175"/>
      <w:bookmarkStart w:id="4" w:name="_Toc13509"/>
      <w:bookmarkStart w:id="5" w:name="_Toc41918975"/>
      <w:bookmarkStart w:id="6" w:name="_Toc28528"/>
      <w:bookmarkStart w:id="7" w:name="_Toc38015612"/>
      <w:r>
        <w:rPr>
          <w:rFonts w:hint="eastAsia" w:ascii="宋体" w:hAnsi="宋体" w:eastAsia="宋体" w:cs="宋体"/>
          <w:szCs w:val="28"/>
          <w:highlight w:val="none"/>
        </w:rPr>
        <w:t>评标办法前附表</w:t>
      </w:r>
      <w:bookmarkEnd w:id="1"/>
      <w:bookmarkEnd w:id="2"/>
      <w:bookmarkEnd w:id="3"/>
      <w:bookmarkEnd w:id="4"/>
      <w:bookmarkEnd w:id="5"/>
      <w:bookmarkEnd w:id="6"/>
      <w:bookmarkEnd w:id="7"/>
    </w:p>
    <w:tbl>
      <w:tblPr>
        <w:tblStyle w:val="7"/>
        <w:tblW w:w="94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
        <w:gridCol w:w="630"/>
        <w:gridCol w:w="646"/>
        <w:gridCol w:w="1992"/>
        <w:gridCol w:w="53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1505" w:type="dxa"/>
            <w:gridSpan w:val="3"/>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条款号</w:t>
            </w:r>
          </w:p>
        </w:tc>
        <w:tc>
          <w:tcPr>
            <w:tcW w:w="7952" w:type="dxa"/>
            <w:gridSpan w:val="3"/>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51"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1</w:t>
            </w:r>
          </w:p>
        </w:tc>
        <w:tc>
          <w:tcPr>
            <w:tcW w:w="654" w:type="dxa"/>
            <w:gridSpan w:val="2"/>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评</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标</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办</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法</w:t>
            </w:r>
          </w:p>
        </w:tc>
        <w:tc>
          <w:tcPr>
            <w:tcW w:w="7952" w:type="dxa"/>
            <w:gridSpan w:val="3"/>
            <w:vAlign w:val="center"/>
          </w:tcPr>
          <w:p>
            <w:pPr>
              <w:spacing w:line="360" w:lineRule="exact"/>
              <w:ind w:firstLine="239" w:firstLineChars="114"/>
              <w:rPr>
                <w:rFonts w:hint="eastAsia" w:ascii="宋体" w:hAnsi="宋体" w:eastAsia="宋体" w:cs="宋体"/>
                <w:sz w:val="21"/>
                <w:szCs w:val="21"/>
                <w:highlight w:val="none"/>
              </w:rPr>
            </w:pPr>
            <w:r>
              <w:rPr>
                <w:rFonts w:hint="eastAsia" w:ascii="宋体" w:hAnsi="宋体" w:eastAsia="宋体" w:cs="宋体"/>
                <w:sz w:val="21"/>
                <w:szCs w:val="21"/>
                <w:highlight w:val="none"/>
              </w:rPr>
              <w:t>综合评分相等时，评标委员会依次按照以下优先顺序推荐中标候选人或确定中标人：</w:t>
            </w:r>
          </w:p>
          <w:p>
            <w:pPr>
              <w:spacing w:line="360" w:lineRule="exact"/>
              <w:ind w:firstLine="239" w:firstLineChars="114"/>
              <w:rPr>
                <w:rFonts w:hint="eastAsia" w:ascii="宋体" w:hAnsi="宋体" w:eastAsia="宋体" w:cs="宋体"/>
                <w:sz w:val="21"/>
                <w:szCs w:val="21"/>
                <w:highlight w:val="none"/>
              </w:rPr>
            </w:pPr>
            <w:r>
              <w:rPr>
                <w:rFonts w:hint="eastAsia" w:ascii="宋体" w:hAnsi="宋体" w:eastAsia="宋体" w:cs="宋体"/>
                <w:sz w:val="21"/>
                <w:szCs w:val="21"/>
                <w:highlight w:val="none"/>
              </w:rPr>
              <w:t>（1）评标价低的投标人优先；</w:t>
            </w:r>
          </w:p>
          <w:p>
            <w:pPr>
              <w:spacing w:line="360" w:lineRule="exact"/>
              <w:ind w:firstLine="239" w:firstLineChars="114"/>
              <w:rPr>
                <w:rFonts w:hint="eastAsia" w:ascii="宋体" w:hAnsi="宋体" w:eastAsia="宋体" w:cs="宋体"/>
                <w:sz w:val="21"/>
                <w:szCs w:val="21"/>
                <w:highlight w:val="none"/>
              </w:rPr>
            </w:pPr>
            <w:r>
              <w:rPr>
                <w:rFonts w:hint="eastAsia" w:ascii="宋体" w:hAnsi="宋体" w:eastAsia="宋体" w:cs="宋体"/>
                <w:sz w:val="21"/>
                <w:szCs w:val="21"/>
                <w:highlight w:val="none"/>
              </w:rPr>
              <w:t>（2）商务和技术得分较高的投标人优先；</w:t>
            </w:r>
          </w:p>
          <w:p>
            <w:pPr>
              <w:ind w:firstLine="210" w:firstLineChars="100"/>
              <w:rPr>
                <w:rFonts w:hint="eastAsia" w:ascii="宋体" w:hAnsi="宋体" w:eastAsia="宋体" w:cs="宋体"/>
                <w:sz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eastAsia="zh-CN"/>
              </w:rPr>
              <w:t>注册资金高者优先</w:t>
            </w:r>
            <w:r>
              <w:rPr>
                <w:rFonts w:hint="eastAsia" w:ascii="宋体" w:hAnsi="宋体" w:eastAsia="宋体" w:cs="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blHeader/>
          <w:jc w:val="center"/>
        </w:trPr>
        <w:tc>
          <w:tcPr>
            <w:tcW w:w="1505" w:type="dxa"/>
            <w:gridSpan w:val="3"/>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条款号</w:t>
            </w:r>
          </w:p>
        </w:tc>
        <w:tc>
          <w:tcPr>
            <w:tcW w:w="2638" w:type="dxa"/>
            <w:gridSpan w:val="2"/>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评审因素</w:t>
            </w:r>
          </w:p>
        </w:tc>
        <w:tc>
          <w:tcPr>
            <w:tcW w:w="5314"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11" w:hRule="atLeast"/>
          <w:jc w:val="center"/>
        </w:trPr>
        <w:tc>
          <w:tcPr>
            <w:tcW w:w="875" w:type="dxa"/>
            <w:gridSpan w:val="2"/>
            <w:vMerge w:val="restart"/>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2.1.1</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2.1.3</w:t>
            </w:r>
          </w:p>
        </w:tc>
        <w:tc>
          <w:tcPr>
            <w:tcW w:w="630" w:type="dxa"/>
            <w:vMerge w:val="restart"/>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第</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一</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个</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信</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封</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商</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务</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及</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技</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术</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文</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件</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w:t>
            </w:r>
          </w:p>
        </w:tc>
        <w:tc>
          <w:tcPr>
            <w:tcW w:w="646" w:type="dxa"/>
            <w:vMerge w:val="restart"/>
            <w:textDirection w:val="tbRlV"/>
            <w:vAlign w:val="center"/>
          </w:tcPr>
          <w:p>
            <w:pPr>
              <w:ind w:left="420"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形式评审与响应性评审标准</w:t>
            </w: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投标函填写</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按招标文件规定填报了正确的项目名称、</w:t>
            </w:r>
            <w:r>
              <w:rPr>
                <w:rFonts w:hint="eastAsia" w:ascii="宋体" w:hAnsi="宋体" w:eastAsia="宋体" w:cs="宋体"/>
                <w:sz w:val="21"/>
                <w:szCs w:val="21"/>
                <w:highlight w:val="none"/>
              </w:rPr>
              <w:t>标段号、</w:t>
            </w:r>
            <w:r>
              <w:rPr>
                <w:rFonts w:hint="eastAsia" w:ascii="宋体" w:hAnsi="宋体" w:eastAsia="宋体" w:cs="宋体"/>
                <w:sz w:val="21"/>
                <w:highlight w:val="none"/>
              </w:rPr>
              <w:t>补遗书编号（如有）、服务期限、工程质量要求及安全目标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文件填写及组成</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组成齐全，没有缺项或缺页，内容均按招标文件规定填写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文件签字盖章</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符合第二章“投标人须知”第3.7.3项规定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投标保证金</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符合第二章“投标人须知”第3.4.1项规定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法定代表人身份证明</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szCs w:val="21"/>
                <w:highlight w:val="none"/>
              </w:rPr>
              <w:t>由法定代表人电子签名并加盖单位电子公章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投标文件备选方案</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szCs w:val="21"/>
                <w:highlight w:val="none"/>
              </w:rPr>
              <w:t>同一投标人同一标段未提交两个以上不同的投标文件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投标报价</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未出现有关投标报价的内容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服务期限</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符合第二章“投标人须知”第 1.3.2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5"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质量目标</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符合第二章“投标人须知”第 1.3.3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9"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安全目标</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符合第二章“投标人须知”第 1.3.4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实质性响应</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szCs w:val="21"/>
                <w:highlight w:val="none"/>
              </w:rPr>
              <w:t>对招标文件的实质性要求和条件作出响应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98"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szCs w:val="21"/>
                <w:highlight w:val="none"/>
              </w:rPr>
              <w:t>权利义务符合招标文件规定</w:t>
            </w:r>
          </w:p>
        </w:tc>
        <w:tc>
          <w:tcPr>
            <w:tcW w:w="5314" w:type="dxa"/>
            <w:vAlign w:val="center"/>
          </w:tcPr>
          <w:p>
            <w:pPr>
              <w:spacing w:line="300" w:lineRule="exact"/>
              <w:ind w:firstLine="239" w:firstLineChars="114"/>
              <w:rPr>
                <w:rFonts w:hint="eastAsia" w:ascii="宋体" w:hAnsi="宋体" w:eastAsia="宋体" w:cs="宋体"/>
                <w:sz w:val="21"/>
                <w:szCs w:val="21"/>
                <w:highlight w:val="none"/>
              </w:rPr>
            </w:pPr>
            <w:r>
              <w:rPr>
                <w:rFonts w:hint="eastAsia" w:ascii="宋体" w:hAnsi="宋体" w:eastAsia="宋体" w:cs="宋体"/>
                <w:sz w:val="21"/>
                <w:szCs w:val="21"/>
                <w:highlight w:val="none"/>
              </w:rPr>
              <w:t>a.投标人应接受招标文件规定的风险划分原则，未提出新的风险划分办法；</w:t>
            </w:r>
          </w:p>
          <w:p>
            <w:pPr>
              <w:spacing w:line="300" w:lineRule="exact"/>
              <w:ind w:firstLine="239" w:firstLineChars="114"/>
              <w:rPr>
                <w:rFonts w:hint="eastAsia" w:ascii="宋体" w:hAnsi="宋体" w:eastAsia="宋体" w:cs="宋体"/>
                <w:sz w:val="21"/>
                <w:szCs w:val="21"/>
                <w:highlight w:val="none"/>
              </w:rPr>
            </w:pPr>
            <w:r>
              <w:rPr>
                <w:rFonts w:hint="eastAsia" w:ascii="宋体" w:hAnsi="宋体" w:eastAsia="宋体" w:cs="宋体"/>
                <w:sz w:val="21"/>
                <w:szCs w:val="21"/>
                <w:highlight w:val="none"/>
              </w:rPr>
              <w:t>b.投标人未增加发包人的责任范围，或减少投标人义务；</w:t>
            </w:r>
          </w:p>
          <w:p>
            <w:pPr>
              <w:spacing w:line="300" w:lineRule="exact"/>
              <w:ind w:firstLine="239" w:firstLineChars="114"/>
              <w:rPr>
                <w:rFonts w:hint="eastAsia" w:ascii="宋体" w:hAnsi="宋体" w:eastAsia="宋体" w:cs="宋体"/>
                <w:sz w:val="21"/>
                <w:szCs w:val="21"/>
                <w:highlight w:val="none"/>
              </w:rPr>
            </w:pPr>
            <w:r>
              <w:rPr>
                <w:rFonts w:hint="eastAsia" w:ascii="宋体" w:hAnsi="宋体" w:eastAsia="宋体" w:cs="宋体"/>
                <w:sz w:val="21"/>
                <w:szCs w:val="21"/>
                <w:highlight w:val="none"/>
              </w:rPr>
              <w:t>c.投标人未提出不同的支付办法；</w:t>
            </w:r>
          </w:p>
          <w:p>
            <w:pPr>
              <w:spacing w:line="300" w:lineRule="exact"/>
              <w:ind w:firstLine="239" w:firstLineChars="114"/>
              <w:rPr>
                <w:rFonts w:hint="eastAsia" w:ascii="宋体" w:hAnsi="宋体" w:eastAsia="宋体" w:cs="宋体"/>
                <w:sz w:val="21"/>
                <w:szCs w:val="21"/>
                <w:highlight w:val="none"/>
              </w:rPr>
            </w:pPr>
            <w:r>
              <w:rPr>
                <w:rFonts w:hint="eastAsia" w:ascii="宋体" w:hAnsi="宋体" w:eastAsia="宋体" w:cs="宋体"/>
                <w:sz w:val="21"/>
                <w:szCs w:val="21"/>
                <w:highlight w:val="none"/>
              </w:rPr>
              <w:t>d.投标人对合同纠纷、事故处理办法未提出异议；</w:t>
            </w:r>
          </w:p>
          <w:p>
            <w:pPr>
              <w:spacing w:line="300" w:lineRule="exact"/>
              <w:ind w:firstLine="239" w:firstLineChars="114"/>
              <w:rPr>
                <w:rFonts w:hint="eastAsia" w:ascii="宋体" w:hAnsi="宋体" w:eastAsia="宋体" w:cs="宋体"/>
                <w:sz w:val="21"/>
                <w:szCs w:val="21"/>
                <w:highlight w:val="none"/>
              </w:rPr>
            </w:pPr>
            <w:r>
              <w:rPr>
                <w:rFonts w:hint="eastAsia" w:ascii="宋体" w:hAnsi="宋体" w:eastAsia="宋体" w:cs="宋体"/>
                <w:sz w:val="21"/>
                <w:szCs w:val="21"/>
                <w:highlight w:val="none"/>
              </w:rPr>
              <w:t>e.投标人在投标活动中无欺诈行为；</w:t>
            </w:r>
          </w:p>
          <w:p>
            <w:pPr>
              <w:ind w:firstLineChars="0"/>
              <w:rPr>
                <w:rFonts w:hint="eastAsia" w:ascii="宋体" w:hAnsi="宋体" w:eastAsia="宋体" w:cs="宋体"/>
                <w:sz w:val="21"/>
                <w:highlight w:val="none"/>
              </w:rPr>
            </w:pPr>
            <w:r>
              <w:rPr>
                <w:rFonts w:hint="eastAsia" w:ascii="宋体" w:hAnsi="宋体" w:eastAsia="宋体" w:cs="宋体"/>
                <w:sz w:val="21"/>
                <w:szCs w:val="21"/>
                <w:highlight w:val="none"/>
              </w:rPr>
              <w:t>f.投标人未对合同条款有重要保留。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5"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投标人不得存在的情形</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投标人不得存在第二章“投标人须知”第1.4.3项或第1.4.4项规定的任何一种情形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textDirection w:val="tbRlV"/>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其他</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投标文件未附有招标人不能接受的条件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6" w:hRule="atLeast"/>
          <w:jc w:val="center"/>
        </w:trPr>
        <w:tc>
          <w:tcPr>
            <w:tcW w:w="875" w:type="dxa"/>
            <w:gridSpan w:val="2"/>
            <w:vMerge w:val="restart"/>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2.1.1</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2.1.3</w:t>
            </w:r>
          </w:p>
        </w:tc>
        <w:tc>
          <w:tcPr>
            <w:tcW w:w="630" w:type="dxa"/>
            <w:vMerge w:val="restart"/>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第</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二</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个</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信</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封</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报</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价</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文</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件</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w:t>
            </w:r>
          </w:p>
        </w:tc>
        <w:tc>
          <w:tcPr>
            <w:tcW w:w="646" w:type="dxa"/>
            <w:vMerge w:val="restart"/>
            <w:textDirection w:val="tbRlV"/>
            <w:vAlign w:val="center"/>
          </w:tcPr>
          <w:p>
            <w:pPr>
              <w:ind w:left="420" w:firstLine="0" w:firstLineChars="0"/>
              <w:jc w:val="center"/>
              <w:rPr>
                <w:rFonts w:hint="eastAsia" w:ascii="宋体" w:hAnsi="宋体" w:eastAsia="宋体" w:cs="宋体"/>
                <w:sz w:val="21"/>
                <w:highlight w:val="none"/>
              </w:rPr>
            </w:pPr>
            <w:r>
              <w:rPr>
                <w:rFonts w:hint="eastAsia" w:ascii="宋体" w:hAnsi="宋体" w:eastAsia="宋体" w:cs="宋体"/>
                <w:sz w:val="21"/>
                <w:szCs w:val="21"/>
                <w:highlight w:val="none"/>
              </w:rPr>
              <w:t>形式评审与响应性评审标准</w:t>
            </w: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szCs w:val="21"/>
                <w:highlight w:val="none"/>
              </w:rPr>
              <w:t>投标</w:t>
            </w:r>
            <w:r>
              <w:rPr>
                <w:rFonts w:hint="eastAsia" w:ascii="宋体" w:hAnsi="宋体" w:eastAsia="宋体" w:cs="宋体"/>
                <w:sz w:val="21"/>
                <w:highlight w:val="none"/>
              </w:rPr>
              <w:t>函填写</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按招标文件规定填报了项目名称、标段号、补遗书编号（如有）、投标报价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5"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textDirection w:val="tbRlV"/>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已标价</w:t>
            </w:r>
            <w:r>
              <w:rPr>
                <w:rFonts w:hint="eastAsia" w:ascii="宋体" w:hAnsi="宋体" w:eastAsia="宋体" w:cs="宋体"/>
                <w:sz w:val="21"/>
                <w:szCs w:val="21"/>
                <w:highlight w:val="none"/>
              </w:rPr>
              <w:t>报价清单</w:t>
            </w:r>
            <w:r>
              <w:rPr>
                <w:rFonts w:hint="eastAsia" w:ascii="宋体" w:hAnsi="宋体" w:eastAsia="宋体" w:cs="宋体"/>
                <w:sz w:val="21"/>
                <w:highlight w:val="none"/>
              </w:rPr>
              <w:t>文字说明</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已标价</w:t>
            </w:r>
            <w:r>
              <w:rPr>
                <w:rFonts w:hint="eastAsia" w:ascii="宋体" w:hAnsi="宋体" w:eastAsia="宋体" w:cs="宋体"/>
                <w:sz w:val="21"/>
                <w:szCs w:val="21"/>
                <w:highlight w:val="none"/>
              </w:rPr>
              <w:t>报价清单</w:t>
            </w:r>
            <w:r>
              <w:rPr>
                <w:rFonts w:hint="eastAsia" w:ascii="宋体" w:hAnsi="宋体" w:eastAsia="宋体" w:cs="宋体"/>
                <w:sz w:val="21"/>
                <w:highlight w:val="none"/>
              </w:rPr>
              <w:t>文字说明与招标文件规定一致，未进行修改或删除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文件填写及组成</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组成齐全，没有缺项或缺页，内容均按招标文件规定填写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文件签字盖章</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符合第二章</w:t>
            </w:r>
            <w:r>
              <w:rPr>
                <w:rFonts w:hint="eastAsia" w:ascii="宋体" w:hAnsi="宋体" w:eastAsia="宋体" w:cs="宋体"/>
                <w:sz w:val="21"/>
                <w:szCs w:val="21"/>
                <w:highlight w:val="none"/>
              </w:rPr>
              <w:t>“</w:t>
            </w:r>
            <w:r>
              <w:rPr>
                <w:rFonts w:hint="eastAsia" w:ascii="宋体" w:hAnsi="宋体" w:eastAsia="宋体" w:cs="宋体"/>
                <w:sz w:val="21"/>
                <w:highlight w:val="none"/>
              </w:rPr>
              <w:t>投标人须知</w:t>
            </w:r>
            <w:r>
              <w:rPr>
                <w:rFonts w:hint="eastAsia" w:ascii="宋体" w:hAnsi="宋体" w:eastAsia="宋体" w:cs="宋体"/>
                <w:sz w:val="21"/>
                <w:szCs w:val="21"/>
                <w:highlight w:val="none"/>
              </w:rPr>
              <w:t>”</w:t>
            </w:r>
            <w:r>
              <w:rPr>
                <w:rFonts w:hint="eastAsia" w:ascii="宋体" w:hAnsi="宋体" w:eastAsia="宋体" w:cs="宋体"/>
                <w:sz w:val="21"/>
                <w:highlight w:val="none"/>
              </w:rPr>
              <w:t>第3.7.3项规定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1"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投标报价</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未超过招标人公布的最高投标限价，</w:t>
            </w:r>
            <w:r>
              <w:rPr>
                <w:rFonts w:hint="eastAsia" w:ascii="宋体" w:hAnsi="宋体" w:eastAsia="宋体" w:cs="宋体"/>
                <w:sz w:val="21"/>
                <w:szCs w:val="21"/>
                <w:highlight w:val="none"/>
              </w:rPr>
              <w:t>大写金额能够确定具体数值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投标报价唯一性</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szCs w:val="21"/>
                <w:highlight w:val="none"/>
              </w:rPr>
              <w:t>同一投标人同一标段未提交两个以上不同的投标报价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left="420" w:firstLine="0" w:firstLineChars="0"/>
              <w:rPr>
                <w:rFonts w:hint="eastAsia" w:ascii="宋体" w:hAnsi="宋体" w:eastAsia="宋体" w:cs="宋体"/>
                <w:sz w:val="21"/>
                <w:highlight w:val="none"/>
              </w:rPr>
            </w:pPr>
          </w:p>
        </w:tc>
        <w:tc>
          <w:tcPr>
            <w:tcW w:w="630" w:type="dxa"/>
            <w:vMerge w:val="continue"/>
            <w:vAlign w:val="center"/>
          </w:tcPr>
          <w:p>
            <w:pPr>
              <w:ind w:left="420" w:firstLine="0" w:firstLineChars="0"/>
              <w:rPr>
                <w:rFonts w:hint="eastAsia" w:ascii="宋体" w:hAnsi="宋体" w:eastAsia="宋体" w:cs="宋体"/>
                <w:sz w:val="21"/>
                <w:highlight w:val="none"/>
              </w:rPr>
            </w:pPr>
          </w:p>
        </w:tc>
        <w:tc>
          <w:tcPr>
            <w:tcW w:w="646" w:type="dxa"/>
            <w:vMerge w:val="continue"/>
            <w:vAlign w:val="center"/>
          </w:tcPr>
          <w:p>
            <w:pPr>
              <w:ind w:left="420" w:firstLine="0" w:firstLineChars="0"/>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b/>
                <w:bCs/>
                <w:sz w:val="21"/>
                <w:szCs w:val="21"/>
                <w:highlight w:val="none"/>
              </w:rPr>
              <w:t>后续服务费报价</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b/>
                <w:bCs/>
                <w:sz w:val="21"/>
                <w:szCs w:val="21"/>
                <w:highlight w:val="none"/>
              </w:rPr>
              <w:t>后续服务费报价不低于投标总价的</w:t>
            </w:r>
            <w:r>
              <w:rPr>
                <w:rFonts w:hint="eastAsia" w:ascii="宋体" w:hAnsi="宋体" w:cs="宋体"/>
                <w:b/>
                <w:bCs/>
                <w:sz w:val="21"/>
                <w:szCs w:val="21"/>
                <w:highlight w:val="none"/>
                <w:lang w:val="en-US" w:eastAsia="zh-CN"/>
              </w:rPr>
              <w:t>10</w:t>
            </w:r>
            <w:r>
              <w:rPr>
                <w:rFonts w:hint="eastAsia" w:ascii="宋体" w:hAnsi="宋体" w:eastAsia="宋体" w:cs="宋体"/>
                <w:b/>
                <w:bCs/>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41" w:hRule="atLeast"/>
          <w:jc w:val="center"/>
        </w:trPr>
        <w:tc>
          <w:tcPr>
            <w:tcW w:w="875" w:type="dxa"/>
            <w:gridSpan w:val="2"/>
            <w:vMerge w:val="restart"/>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2.1.2</w:t>
            </w:r>
          </w:p>
        </w:tc>
        <w:tc>
          <w:tcPr>
            <w:tcW w:w="630" w:type="dxa"/>
            <w:vMerge w:val="restart"/>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第</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一</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个</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信</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封</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商</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务</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及</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技</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术</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文</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件</w:t>
            </w:r>
          </w:p>
          <w:p>
            <w:pPr>
              <w:ind w:firstLineChars="0"/>
              <w:rPr>
                <w:rFonts w:hint="eastAsia" w:ascii="宋体" w:hAnsi="宋体" w:eastAsia="宋体" w:cs="宋体"/>
                <w:sz w:val="21"/>
                <w:highlight w:val="none"/>
              </w:rPr>
            </w:pPr>
            <w:r>
              <w:rPr>
                <w:rFonts w:hint="eastAsia" w:ascii="宋体" w:hAnsi="宋体" w:eastAsia="宋体" w:cs="宋体"/>
                <w:sz w:val="21"/>
                <w:highlight w:val="none"/>
              </w:rPr>
              <w:t>︶</w:t>
            </w:r>
          </w:p>
        </w:tc>
        <w:tc>
          <w:tcPr>
            <w:tcW w:w="646" w:type="dxa"/>
            <w:vMerge w:val="restart"/>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资</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格</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评</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审</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标</w:t>
            </w:r>
          </w:p>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准</w:t>
            </w: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营业执照、资质证书和基本账户开户许可证</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具备有效的营业执照、资质证书和基本账户开户许可证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firstLine="0" w:firstLineChars="0"/>
              <w:rPr>
                <w:rFonts w:hint="eastAsia" w:ascii="宋体" w:hAnsi="宋体" w:eastAsia="宋体" w:cs="宋体"/>
                <w:sz w:val="21"/>
                <w:highlight w:val="none"/>
              </w:rPr>
            </w:pPr>
          </w:p>
        </w:tc>
        <w:tc>
          <w:tcPr>
            <w:tcW w:w="630" w:type="dxa"/>
            <w:vMerge w:val="continue"/>
            <w:vAlign w:val="center"/>
          </w:tcPr>
          <w:p>
            <w:pPr>
              <w:ind w:firstLine="0" w:firstLineChars="0"/>
              <w:jc w:val="center"/>
              <w:rPr>
                <w:rFonts w:hint="eastAsia" w:ascii="宋体" w:hAnsi="宋体" w:eastAsia="宋体" w:cs="宋体"/>
                <w:sz w:val="21"/>
                <w:highlight w:val="none"/>
              </w:rPr>
            </w:pPr>
          </w:p>
        </w:tc>
        <w:tc>
          <w:tcPr>
            <w:tcW w:w="646" w:type="dxa"/>
            <w:vMerge w:val="continue"/>
            <w:vAlign w:val="center"/>
          </w:tcPr>
          <w:p>
            <w:pPr>
              <w:ind w:firstLine="0" w:firstLineChars="0"/>
              <w:jc w:val="center"/>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资质等级</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符合第二章“投标人须知”第 1.4.1 项“资质要求”的规定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firstLine="0" w:firstLineChars="0"/>
              <w:rPr>
                <w:rFonts w:hint="eastAsia" w:ascii="宋体" w:hAnsi="宋体" w:eastAsia="宋体" w:cs="宋体"/>
                <w:sz w:val="21"/>
                <w:highlight w:val="none"/>
              </w:rPr>
            </w:pPr>
          </w:p>
        </w:tc>
        <w:tc>
          <w:tcPr>
            <w:tcW w:w="630" w:type="dxa"/>
            <w:vMerge w:val="continue"/>
            <w:vAlign w:val="center"/>
          </w:tcPr>
          <w:p>
            <w:pPr>
              <w:ind w:firstLine="0" w:firstLineChars="0"/>
              <w:jc w:val="center"/>
              <w:rPr>
                <w:rFonts w:hint="eastAsia" w:ascii="宋体" w:hAnsi="宋体" w:eastAsia="宋体" w:cs="宋体"/>
                <w:sz w:val="21"/>
                <w:highlight w:val="none"/>
              </w:rPr>
            </w:pPr>
          </w:p>
        </w:tc>
        <w:tc>
          <w:tcPr>
            <w:tcW w:w="646" w:type="dxa"/>
            <w:vMerge w:val="continue"/>
            <w:vAlign w:val="center"/>
          </w:tcPr>
          <w:p>
            <w:pPr>
              <w:ind w:firstLine="0" w:firstLineChars="0"/>
              <w:jc w:val="center"/>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类似项目业绩</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符合第二章“投标人须知”第 1.4.1 项“业绩要求”的规定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firstLine="0" w:firstLineChars="0"/>
              <w:rPr>
                <w:rFonts w:hint="eastAsia" w:ascii="宋体" w:hAnsi="宋体" w:eastAsia="宋体" w:cs="宋体"/>
                <w:sz w:val="21"/>
                <w:highlight w:val="none"/>
              </w:rPr>
            </w:pPr>
          </w:p>
        </w:tc>
        <w:tc>
          <w:tcPr>
            <w:tcW w:w="630" w:type="dxa"/>
            <w:vMerge w:val="continue"/>
            <w:vAlign w:val="center"/>
          </w:tcPr>
          <w:p>
            <w:pPr>
              <w:ind w:firstLine="0" w:firstLineChars="0"/>
              <w:jc w:val="center"/>
              <w:rPr>
                <w:rFonts w:hint="eastAsia" w:ascii="宋体" w:hAnsi="宋体" w:eastAsia="宋体" w:cs="宋体"/>
                <w:sz w:val="21"/>
                <w:highlight w:val="none"/>
              </w:rPr>
            </w:pPr>
          </w:p>
        </w:tc>
        <w:tc>
          <w:tcPr>
            <w:tcW w:w="646" w:type="dxa"/>
            <w:vMerge w:val="continue"/>
            <w:vAlign w:val="center"/>
          </w:tcPr>
          <w:p>
            <w:pPr>
              <w:ind w:firstLine="0" w:firstLineChars="0"/>
              <w:jc w:val="center"/>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信誉</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符合第二章“投标人须知”第 1.4.1 项“信誉要求”的规定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875" w:type="dxa"/>
            <w:gridSpan w:val="2"/>
            <w:vMerge w:val="continue"/>
            <w:vAlign w:val="center"/>
          </w:tcPr>
          <w:p>
            <w:pPr>
              <w:ind w:firstLine="0" w:firstLineChars="0"/>
              <w:rPr>
                <w:rFonts w:hint="eastAsia" w:ascii="宋体" w:hAnsi="宋体" w:eastAsia="宋体" w:cs="宋体"/>
                <w:sz w:val="21"/>
                <w:highlight w:val="none"/>
              </w:rPr>
            </w:pPr>
          </w:p>
        </w:tc>
        <w:tc>
          <w:tcPr>
            <w:tcW w:w="630" w:type="dxa"/>
            <w:vMerge w:val="continue"/>
            <w:vAlign w:val="center"/>
          </w:tcPr>
          <w:p>
            <w:pPr>
              <w:ind w:firstLine="0" w:firstLineChars="0"/>
              <w:jc w:val="center"/>
              <w:rPr>
                <w:rFonts w:hint="eastAsia" w:ascii="宋体" w:hAnsi="宋体" w:eastAsia="宋体" w:cs="宋体"/>
                <w:sz w:val="21"/>
                <w:highlight w:val="none"/>
              </w:rPr>
            </w:pPr>
          </w:p>
        </w:tc>
        <w:tc>
          <w:tcPr>
            <w:tcW w:w="646" w:type="dxa"/>
            <w:vMerge w:val="continue"/>
            <w:vAlign w:val="center"/>
          </w:tcPr>
          <w:p>
            <w:pPr>
              <w:ind w:firstLine="0" w:firstLineChars="0"/>
              <w:jc w:val="center"/>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szCs w:val="21"/>
                <w:highlight w:val="none"/>
              </w:rPr>
              <w:t>项目负责人资格</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符合第二章“投标人须知”第 1.4.1 项“项目负责人资格”的规定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firstLine="0" w:firstLineChars="0"/>
              <w:rPr>
                <w:rFonts w:hint="eastAsia" w:ascii="宋体" w:hAnsi="宋体" w:eastAsia="宋体" w:cs="宋体"/>
                <w:sz w:val="21"/>
                <w:highlight w:val="none"/>
              </w:rPr>
            </w:pPr>
          </w:p>
        </w:tc>
        <w:tc>
          <w:tcPr>
            <w:tcW w:w="630" w:type="dxa"/>
            <w:vMerge w:val="continue"/>
            <w:vAlign w:val="center"/>
          </w:tcPr>
          <w:p>
            <w:pPr>
              <w:ind w:firstLine="0" w:firstLineChars="0"/>
              <w:jc w:val="center"/>
              <w:rPr>
                <w:rFonts w:hint="eastAsia" w:ascii="宋体" w:hAnsi="宋体" w:eastAsia="宋体" w:cs="宋体"/>
                <w:sz w:val="21"/>
                <w:highlight w:val="none"/>
              </w:rPr>
            </w:pPr>
          </w:p>
        </w:tc>
        <w:tc>
          <w:tcPr>
            <w:tcW w:w="646" w:type="dxa"/>
            <w:vMerge w:val="continue"/>
            <w:vAlign w:val="center"/>
          </w:tcPr>
          <w:p>
            <w:pPr>
              <w:ind w:firstLine="0" w:firstLineChars="0"/>
              <w:jc w:val="center"/>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其他要求</w:t>
            </w:r>
          </w:p>
        </w:tc>
        <w:tc>
          <w:tcPr>
            <w:tcW w:w="5314" w:type="dxa"/>
            <w:vAlign w:val="center"/>
          </w:tcPr>
          <w:p>
            <w:pPr>
              <w:ind w:firstLine="0" w:firstLineChars="0"/>
              <w:rPr>
                <w:rFonts w:hint="eastAsia" w:ascii="宋体" w:hAnsi="宋体" w:eastAsia="宋体" w:cs="宋体"/>
                <w:sz w:val="21"/>
                <w:highlight w:val="none"/>
              </w:rPr>
            </w:pPr>
            <w:r>
              <w:rPr>
                <w:rFonts w:hint="eastAsia" w:ascii="宋体" w:hAnsi="宋体" w:eastAsia="宋体" w:cs="宋体"/>
                <w:sz w:val="21"/>
                <w:highlight w:val="none"/>
              </w:rPr>
              <w:t>符合第二章“投标人须知”第 1.4.1 项“其他要求”的规定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75" w:type="dxa"/>
            <w:gridSpan w:val="2"/>
            <w:vMerge w:val="continue"/>
            <w:vAlign w:val="center"/>
          </w:tcPr>
          <w:p>
            <w:pPr>
              <w:ind w:firstLine="0" w:firstLineChars="0"/>
              <w:rPr>
                <w:rFonts w:hint="eastAsia" w:ascii="宋体" w:hAnsi="宋体" w:eastAsia="宋体" w:cs="宋体"/>
                <w:sz w:val="21"/>
                <w:highlight w:val="none"/>
              </w:rPr>
            </w:pPr>
          </w:p>
        </w:tc>
        <w:tc>
          <w:tcPr>
            <w:tcW w:w="630" w:type="dxa"/>
            <w:vMerge w:val="continue"/>
            <w:vAlign w:val="center"/>
          </w:tcPr>
          <w:p>
            <w:pPr>
              <w:ind w:firstLine="0" w:firstLineChars="0"/>
              <w:jc w:val="center"/>
              <w:rPr>
                <w:rFonts w:hint="eastAsia" w:ascii="宋体" w:hAnsi="宋体" w:eastAsia="宋体" w:cs="宋体"/>
                <w:sz w:val="21"/>
                <w:highlight w:val="none"/>
              </w:rPr>
            </w:pPr>
          </w:p>
        </w:tc>
        <w:tc>
          <w:tcPr>
            <w:tcW w:w="646" w:type="dxa"/>
            <w:vMerge w:val="continue"/>
            <w:vAlign w:val="center"/>
          </w:tcPr>
          <w:p>
            <w:pPr>
              <w:ind w:firstLine="0" w:firstLineChars="0"/>
              <w:jc w:val="center"/>
              <w:rPr>
                <w:rFonts w:hint="eastAsia" w:ascii="宋体" w:hAnsi="宋体" w:eastAsia="宋体" w:cs="宋体"/>
                <w:sz w:val="21"/>
                <w:highlight w:val="none"/>
              </w:rPr>
            </w:pPr>
          </w:p>
        </w:tc>
        <w:tc>
          <w:tcPr>
            <w:tcW w:w="1992" w:type="dxa"/>
            <w:vAlign w:val="center"/>
          </w:tcPr>
          <w:p>
            <w:pPr>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投标人必须符合的情形</w:t>
            </w:r>
          </w:p>
        </w:tc>
        <w:tc>
          <w:tcPr>
            <w:tcW w:w="5314" w:type="dxa"/>
            <w:vAlign w:val="center"/>
          </w:tcPr>
          <w:p>
            <w:pPr>
              <w:ind w:firstLine="0" w:firstLineChars="0"/>
              <w:jc w:val="left"/>
              <w:rPr>
                <w:rFonts w:hint="eastAsia" w:ascii="宋体" w:hAnsi="宋体" w:eastAsia="宋体" w:cs="宋体"/>
                <w:sz w:val="21"/>
                <w:highlight w:val="none"/>
              </w:rPr>
            </w:pPr>
            <w:r>
              <w:rPr>
                <w:rFonts w:hint="eastAsia" w:ascii="宋体" w:hAnsi="宋体" w:eastAsia="宋体" w:cs="宋体"/>
                <w:sz w:val="21"/>
                <w:highlight w:val="none"/>
              </w:rPr>
              <w:t xml:space="preserve">符合第二章“投标人须知”第 </w:t>
            </w:r>
            <w:r>
              <w:rPr>
                <w:rFonts w:hint="eastAsia" w:ascii="宋体" w:hAnsi="宋体" w:eastAsia="宋体" w:cs="宋体"/>
                <w:sz w:val="21"/>
                <w:highlight w:val="none"/>
                <w:lang w:val="en-US" w:eastAsia="zh-CN"/>
              </w:rPr>
              <w:t>3.5.1</w:t>
            </w:r>
            <w:r>
              <w:rPr>
                <w:rFonts w:hint="eastAsia" w:ascii="宋体" w:hAnsi="宋体" w:eastAsia="宋体" w:cs="宋体"/>
                <w:sz w:val="21"/>
                <w:highlight w:val="none"/>
              </w:rPr>
              <w:t xml:space="preserve"> 项“</w:t>
            </w:r>
            <w:r>
              <w:rPr>
                <w:rFonts w:hint="eastAsia" w:ascii="宋体" w:hAnsi="宋体" w:eastAsia="宋体" w:cs="宋体"/>
                <w:sz w:val="21"/>
                <w:highlight w:val="none"/>
                <w:lang w:val="en-US" w:eastAsia="zh-CN"/>
              </w:rPr>
              <w:t>投标人基本情况表</w:t>
            </w:r>
            <w:r>
              <w:rPr>
                <w:rFonts w:hint="eastAsia" w:ascii="宋体" w:hAnsi="宋体" w:eastAsia="宋体" w:cs="宋体"/>
                <w:sz w:val="21"/>
                <w:highlight w:val="none"/>
              </w:rPr>
              <w:t>”的规定</w:t>
            </w:r>
          </w:p>
        </w:tc>
      </w:tr>
    </w:tbl>
    <w:p>
      <w:pPr>
        <w:ind w:firstLine="480"/>
        <w:rPr>
          <w:rFonts w:hint="eastAsia" w:ascii="宋体" w:hAnsi="宋体" w:eastAsia="宋体" w:cs="宋体"/>
          <w:highlight w:val="none"/>
        </w:rPr>
      </w:pPr>
    </w:p>
    <w:p>
      <w:pPr>
        <w:pStyle w:val="2"/>
        <w:ind w:left="480" w:firstLine="480"/>
        <w:rPr>
          <w:rFonts w:hint="eastAsia" w:ascii="宋体" w:hAnsi="宋体" w:eastAsia="宋体" w:cs="宋体"/>
          <w:highlight w:val="none"/>
        </w:rPr>
      </w:pPr>
    </w:p>
    <w:p>
      <w:pPr>
        <w:pStyle w:val="2"/>
        <w:ind w:left="480" w:firstLine="480"/>
        <w:rPr>
          <w:rFonts w:hint="eastAsia" w:ascii="宋体" w:hAnsi="宋体" w:eastAsia="宋体" w:cs="宋体"/>
          <w:highlight w:val="none"/>
        </w:rPr>
        <w:sectPr>
          <w:pgSz w:w="11907" w:h="16840"/>
          <w:pgMar w:top="1418" w:right="1418" w:bottom="1418" w:left="1588" w:header="851" w:footer="992" w:gutter="0"/>
          <w:pgBorders>
            <w:top w:val="none" w:sz="0" w:space="0"/>
            <w:left w:val="none" w:sz="0" w:space="0"/>
            <w:bottom w:val="none" w:sz="0" w:space="0"/>
            <w:right w:val="none" w:sz="0" w:space="0"/>
          </w:pgBorders>
          <w:cols w:space="720" w:num="1"/>
          <w:docGrid w:linePitch="360" w:charSpace="0"/>
        </w:sectPr>
      </w:pP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82"/>
        <w:gridCol w:w="1251"/>
        <w:gridCol w:w="60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blHeader/>
          <w:jc w:val="center"/>
        </w:trPr>
        <w:tc>
          <w:tcPr>
            <w:tcW w:w="693" w:type="pct"/>
            <w:vAlign w:val="center"/>
          </w:tcPr>
          <w:p>
            <w:pPr>
              <w:spacing w:after="100" w:afterAutospacing="1" w:line="320" w:lineRule="atLeast"/>
              <w:ind w:firstLine="0" w:firstLineChars="0"/>
              <w:jc w:val="center"/>
              <w:rPr>
                <w:rFonts w:hint="eastAsia" w:ascii="宋体" w:hAnsi="宋体" w:eastAsia="宋体" w:cs="宋体"/>
                <w:b/>
                <w:highlight w:val="none"/>
              </w:rPr>
            </w:pPr>
            <w:r>
              <w:rPr>
                <w:rFonts w:hint="eastAsia" w:ascii="宋体" w:hAnsi="宋体" w:eastAsia="宋体" w:cs="宋体"/>
                <w:b/>
                <w:highlight w:val="none"/>
              </w:rPr>
              <w:t>条款号</w:t>
            </w:r>
          </w:p>
        </w:tc>
        <w:tc>
          <w:tcPr>
            <w:tcW w:w="734" w:type="pct"/>
            <w:vAlign w:val="center"/>
          </w:tcPr>
          <w:p>
            <w:pPr>
              <w:spacing w:after="100" w:afterAutospacing="1" w:line="320" w:lineRule="atLeast"/>
              <w:ind w:firstLine="0" w:firstLineChars="0"/>
              <w:jc w:val="center"/>
              <w:rPr>
                <w:rFonts w:hint="eastAsia" w:ascii="宋体" w:hAnsi="宋体" w:eastAsia="宋体" w:cs="宋体"/>
                <w:b/>
                <w:highlight w:val="none"/>
              </w:rPr>
            </w:pPr>
            <w:r>
              <w:rPr>
                <w:rFonts w:hint="eastAsia" w:ascii="宋体" w:hAnsi="宋体" w:eastAsia="宋体" w:cs="宋体"/>
                <w:b/>
                <w:highlight w:val="none"/>
              </w:rPr>
              <w:t>条款名称</w:t>
            </w:r>
          </w:p>
        </w:tc>
        <w:tc>
          <w:tcPr>
            <w:tcW w:w="3571" w:type="pct"/>
            <w:vAlign w:val="center"/>
          </w:tcPr>
          <w:p>
            <w:pPr>
              <w:spacing w:after="100" w:afterAutospacing="1" w:line="280" w:lineRule="exact"/>
              <w:ind w:firstLine="0" w:firstLineChars="0"/>
              <w:jc w:val="center"/>
              <w:rPr>
                <w:rFonts w:hint="eastAsia" w:ascii="宋体" w:hAnsi="宋体" w:eastAsia="宋体" w:cs="宋体"/>
                <w:b/>
                <w:highlight w:val="none"/>
              </w:rPr>
            </w:pPr>
            <w:r>
              <w:rPr>
                <w:rFonts w:hint="eastAsia" w:ascii="宋体" w:hAnsi="宋体" w:eastAsia="宋体" w:cs="宋体"/>
                <w:b/>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7" w:hRule="atLeast"/>
          <w:jc w:val="center"/>
        </w:trPr>
        <w:tc>
          <w:tcPr>
            <w:tcW w:w="693" w:type="pct"/>
            <w:vAlign w:val="center"/>
          </w:tcPr>
          <w:p>
            <w:pPr>
              <w:spacing w:after="100" w:afterAutospacing="1" w:line="400" w:lineRule="atLeast"/>
              <w:ind w:firstLine="0" w:firstLineChars="0"/>
              <w:jc w:val="center"/>
              <w:rPr>
                <w:rFonts w:hint="eastAsia" w:ascii="宋体" w:hAnsi="宋体" w:eastAsia="宋体" w:cs="宋体"/>
                <w:highlight w:val="none"/>
              </w:rPr>
            </w:pPr>
            <w:r>
              <w:rPr>
                <w:rFonts w:hint="eastAsia" w:ascii="宋体" w:hAnsi="宋体" w:eastAsia="宋体" w:cs="宋体"/>
                <w:highlight w:val="none"/>
              </w:rPr>
              <w:t>2.2.1</w:t>
            </w:r>
          </w:p>
        </w:tc>
        <w:tc>
          <w:tcPr>
            <w:tcW w:w="734" w:type="pct"/>
            <w:vAlign w:val="center"/>
          </w:tcPr>
          <w:p>
            <w:pPr>
              <w:pStyle w:val="14"/>
              <w:spacing w:before="1"/>
              <w:ind w:firstLine="0" w:firstLineChars="0"/>
              <w:rPr>
                <w:rFonts w:hint="eastAsia" w:ascii="宋体" w:hAnsi="宋体" w:eastAsia="宋体" w:cs="宋体"/>
                <w:highlight w:val="none"/>
              </w:rPr>
            </w:pPr>
            <w:r>
              <w:rPr>
                <w:rFonts w:hint="eastAsia" w:ascii="宋体" w:hAnsi="宋体" w:eastAsia="宋体" w:cs="宋体"/>
                <w:sz w:val="21"/>
                <w:highlight w:val="none"/>
              </w:rPr>
              <w:t>分值构成（</w:t>
            </w:r>
            <w:r>
              <w:rPr>
                <w:rFonts w:hint="eastAsia" w:ascii="宋体" w:hAnsi="宋体" w:eastAsia="宋体" w:cs="宋体"/>
                <w:spacing w:val="-18"/>
                <w:sz w:val="21"/>
                <w:highlight w:val="none"/>
              </w:rPr>
              <w:t xml:space="preserve">总分 </w:t>
            </w:r>
            <w:r>
              <w:rPr>
                <w:rFonts w:hint="eastAsia" w:ascii="宋体" w:hAnsi="宋体" w:eastAsia="宋体" w:cs="宋体"/>
                <w:sz w:val="21"/>
                <w:highlight w:val="none"/>
              </w:rPr>
              <w:t>100 分）</w:t>
            </w:r>
          </w:p>
        </w:tc>
        <w:tc>
          <w:tcPr>
            <w:tcW w:w="3571" w:type="pct"/>
            <w:vAlign w:val="center"/>
          </w:tcPr>
          <w:p>
            <w:pPr>
              <w:spacing w:line="320" w:lineRule="exact"/>
              <w:ind w:firstLine="0" w:firstLineChars="0"/>
              <w:jc w:val="left"/>
              <w:rPr>
                <w:rFonts w:hint="eastAsia"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第一个信封（商务及技术文件）评分分值构成：</w:t>
            </w:r>
          </w:p>
          <w:p>
            <w:pPr>
              <w:pStyle w:val="14"/>
              <w:tabs>
                <w:tab w:val="left" w:pos="2626"/>
              </w:tabs>
              <w:adjustRightInd w:val="0"/>
              <w:spacing w:line="360" w:lineRule="exact"/>
              <w:ind w:left="0" w:leftChars="0" w:firstLine="210" w:firstLineChars="100"/>
              <w:contextualSpacing/>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技术建议书：</w:t>
            </w:r>
            <w:r>
              <w:rPr>
                <w:rFonts w:hint="eastAsia" w:ascii="宋体" w:hAnsi="宋体" w:eastAsia="宋体" w:cs="宋体"/>
                <w:snapToGrid w:val="0"/>
                <w:kern w:val="2"/>
                <w:sz w:val="21"/>
                <w:szCs w:val="21"/>
                <w:highlight w:val="none"/>
                <w:u w:val="single"/>
                <w:lang w:val="en-US" w:eastAsia="zh-CN" w:bidi="ar-SA"/>
              </w:rPr>
              <w:t xml:space="preserve"> 40</w:t>
            </w:r>
            <w:r>
              <w:rPr>
                <w:rFonts w:hint="eastAsia" w:ascii="宋体" w:hAnsi="宋体" w:eastAsia="宋体" w:cs="宋体"/>
                <w:snapToGrid w:val="0"/>
                <w:kern w:val="2"/>
                <w:sz w:val="21"/>
                <w:szCs w:val="21"/>
                <w:highlight w:val="none"/>
                <w:lang w:val="en-US" w:eastAsia="zh-CN" w:bidi="ar-SA"/>
              </w:rPr>
              <w:t>分</w:t>
            </w:r>
          </w:p>
          <w:p>
            <w:pPr>
              <w:pStyle w:val="14"/>
              <w:tabs>
                <w:tab w:val="left" w:pos="2626"/>
              </w:tabs>
              <w:adjustRightInd w:val="0"/>
              <w:spacing w:line="360" w:lineRule="exact"/>
              <w:ind w:left="0" w:leftChars="0" w:firstLine="210" w:firstLineChars="100"/>
              <w:contextualSpacing/>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 xml:space="preserve">主要人员：  </w:t>
            </w:r>
            <w:r>
              <w:rPr>
                <w:rFonts w:hint="eastAsia" w:ascii="宋体" w:hAnsi="宋体" w:eastAsia="宋体" w:cs="宋体"/>
                <w:snapToGrid w:val="0"/>
                <w:kern w:val="2"/>
                <w:sz w:val="21"/>
                <w:szCs w:val="21"/>
                <w:highlight w:val="none"/>
                <w:u w:val="single"/>
                <w:lang w:val="en-US" w:eastAsia="zh-CN" w:bidi="ar-SA"/>
              </w:rPr>
              <w:t>20</w:t>
            </w:r>
            <w:r>
              <w:rPr>
                <w:rFonts w:hint="eastAsia" w:ascii="宋体" w:hAnsi="宋体" w:eastAsia="宋体" w:cs="宋体"/>
                <w:snapToGrid w:val="0"/>
                <w:kern w:val="2"/>
                <w:sz w:val="21"/>
                <w:szCs w:val="21"/>
                <w:highlight w:val="none"/>
                <w:lang w:val="en-US" w:eastAsia="zh-CN" w:bidi="ar-SA"/>
              </w:rPr>
              <w:t xml:space="preserve"> 分</w:t>
            </w:r>
          </w:p>
          <w:p>
            <w:pPr>
              <w:pStyle w:val="14"/>
              <w:tabs>
                <w:tab w:val="left" w:pos="2626"/>
              </w:tabs>
              <w:adjustRightInd w:val="0"/>
              <w:spacing w:line="360" w:lineRule="exact"/>
              <w:ind w:left="0" w:leftChars="0" w:firstLine="210" w:firstLineChars="100"/>
              <w:contextualSpacing/>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 xml:space="preserve">技术能力： </w:t>
            </w:r>
            <w:r>
              <w:rPr>
                <w:rFonts w:hint="eastAsia" w:ascii="宋体" w:hAnsi="宋体" w:eastAsia="宋体" w:cs="宋体"/>
                <w:snapToGrid w:val="0"/>
                <w:kern w:val="2"/>
                <w:sz w:val="21"/>
                <w:szCs w:val="21"/>
                <w:highlight w:val="none"/>
                <w:u w:val="single"/>
                <w:lang w:val="en-US" w:eastAsia="zh-CN" w:bidi="ar-SA"/>
              </w:rPr>
              <w:t xml:space="preserve"> 5 </w:t>
            </w:r>
            <w:r>
              <w:rPr>
                <w:rFonts w:hint="eastAsia" w:ascii="宋体" w:hAnsi="宋体" w:eastAsia="宋体" w:cs="宋体"/>
                <w:snapToGrid w:val="0"/>
                <w:kern w:val="2"/>
                <w:sz w:val="21"/>
                <w:szCs w:val="21"/>
                <w:highlight w:val="none"/>
                <w:lang w:val="en-US" w:eastAsia="zh-CN" w:bidi="ar-SA"/>
              </w:rPr>
              <w:t>分</w:t>
            </w:r>
          </w:p>
          <w:p>
            <w:pPr>
              <w:pStyle w:val="14"/>
              <w:tabs>
                <w:tab w:val="left" w:pos="2626"/>
              </w:tabs>
              <w:adjustRightInd w:val="0"/>
              <w:spacing w:line="360" w:lineRule="exact"/>
              <w:ind w:left="0" w:leftChars="0" w:firstLine="210" w:firstLineChars="100"/>
              <w:contextualSpacing/>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 xml:space="preserve">业    绩： </w:t>
            </w:r>
            <w:r>
              <w:rPr>
                <w:rFonts w:hint="eastAsia" w:ascii="宋体" w:hAnsi="宋体" w:eastAsia="宋体" w:cs="宋体"/>
                <w:snapToGrid w:val="0"/>
                <w:kern w:val="2"/>
                <w:sz w:val="21"/>
                <w:szCs w:val="21"/>
                <w:highlight w:val="none"/>
                <w:u w:val="single"/>
                <w:lang w:val="en-US" w:eastAsia="zh-CN" w:bidi="ar-SA"/>
              </w:rPr>
              <w:t xml:space="preserve"> 20 </w:t>
            </w:r>
            <w:r>
              <w:rPr>
                <w:rFonts w:hint="eastAsia" w:ascii="宋体" w:hAnsi="宋体" w:eastAsia="宋体" w:cs="宋体"/>
                <w:snapToGrid w:val="0"/>
                <w:kern w:val="2"/>
                <w:sz w:val="21"/>
                <w:szCs w:val="21"/>
                <w:highlight w:val="none"/>
                <w:lang w:val="en-US" w:eastAsia="zh-CN" w:bidi="ar-SA"/>
              </w:rPr>
              <w:t>分</w:t>
            </w:r>
          </w:p>
          <w:p>
            <w:pPr>
              <w:pStyle w:val="14"/>
              <w:tabs>
                <w:tab w:val="left" w:pos="2626"/>
              </w:tabs>
              <w:adjustRightInd w:val="0"/>
              <w:spacing w:line="360" w:lineRule="exact"/>
              <w:ind w:left="0" w:leftChars="0" w:firstLine="210" w:firstLineChars="100"/>
              <w:contextualSpacing/>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 xml:space="preserve">履约信誉： </w:t>
            </w:r>
            <w:r>
              <w:rPr>
                <w:rFonts w:hint="eastAsia" w:ascii="宋体" w:hAnsi="宋体" w:eastAsia="宋体" w:cs="宋体"/>
                <w:snapToGrid w:val="0"/>
                <w:kern w:val="2"/>
                <w:sz w:val="21"/>
                <w:szCs w:val="21"/>
                <w:highlight w:val="none"/>
                <w:u w:val="single"/>
                <w:lang w:val="en-US" w:eastAsia="zh-CN" w:bidi="ar-SA"/>
              </w:rPr>
              <w:t xml:space="preserve"> 5 </w:t>
            </w:r>
            <w:r>
              <w:rPr>
                <w:rFonts w:hint="eastAsia" w:ascii="宋体" w:hAnsi="宋体" w:eastAsia="宋体" w:cs="宋体"/>
                <w:snapToGrid w:val="0"/>
                <w:kern w:val="2"/>
                <w:sz w:val="21"/>
                <w:szCs w:val="21"/>
                <w:highlight w:val="none"/>
                <w:lang w:val="en-US" w:eastAsia="zh-CN" w:bidi="ar-SA"/>
              </w:rPr>
              <w:t>分</w:t>
            </w:r>
          </w:p>
          <w:p>
            <w:pPr>
              <w:spacing w:line="320" w:lineRule="exact"/>
              <w:ind w:firstLine="0" w:firstLineChars="0"/>
              <w:jc w:val="left"/>
              <w:rPr>
                <w:rFonts w:hint="eastAsia" w:ascii="宋体" w:hAnsi="宋体" w:eastAsia="宋体" w:cs="宋体"/>
                <w:snapToGrid w:val="0"/>
                <w:sz w:val="21"/>
                <w:szCs w:val="21"/>
                <w:highlight w:val="none"/>
              </w:rPr>
            </w:pPr>
            <w:r>
              <w:rPr>
                <w:rFonts w:hint="eastAsia" w:ascii="宋体" w:hAnsi="宋体" w:eastAsia="宋体" w:cs="宋体"/>
                <w:b/>
                <w:snapToGrid w:val="0"/>
                <w:sz w:val="21"/>
                <w:szCs w:val="21"/>
                <w:highlight w:val="none"/>
              </w:rPr>
              <w:t>第二个信封（报价文件）评分分值构成：</w:t>
            </w:r>
            <w:r>
              <w:rPr>
                <w:rFonts w:hint="eastAsia" w:ascii="宋体" w:hAnsi="宋体" w:eastAsia="宋体" w:cs="宋体"/>
                <w:snapToGrid w:val="0"/>
                <w:sz w:val="21"/>
                <w:szCs w:val="21"/>
                <w:highlight w:val="none"/>
              </w:rPr>
              <w:t xml:space="preserve"> </w:t>
            </w:r>
          </w:p>
          <w:p>
            <w:pPr>
              <w:spacing w:after="100" w:afterAutospacing="1" w:line="320" w:lineRule="exact"/>
              <w:ind w:firstLine="210" w:firstLineChars="100"/>
              <w:jc w:val="lef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评标价：10分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9" w:hRule="atLeast"/>
          <w:jc w:val="center"/>
        </w:trPr>
        <w:tc>
          <w:tcPr>
            <w:tcW w:w="693" w:type="pct"/>
            <w:vAlign w:val="center"/>
          </w:tcPr>
          <w:p>
            <w:pPr>
              <w:spacing w:after="100" w:afterAutospacing="1" w:line="400" w:lineRule="atLeast"/>
              <w:ind w:firstLine="0" w:firstLineChars="0"/>
              <w:jc w:val="center"/>
              <w:rPr>
                <w:rFonts w:hint="eastAsia" w:ascii="宋体" w:hAnsi="宋体" w:eastAsia="宋体" w:cs="宋体"/>
                <w:highlight w:val="none"/>
              </w:rPr>
            </w:pPr>
            <w:r>
              <w:rPr>
                <w:rFonts w:hint="eastAsia" w:ascii="宋体" w:hAnsi="宋体" w:eastAsia="宋体" w:cs="宋体"/>
                <w:highlight w:val="none"/>
              </w:rPr>
              <w:t>2.2.2</w:t>
            </w:r>
          </w:p>
        </w:tc>
        <w:tc>
          <w:tcPr>
            <w:tcW w:w="734" w:type="pct"/>
            <w:vAlign w:val="center"/>
          </w:tcPr>
          <w:p>
            <w:pPr>
              <w:pStyle w:val="14"/>
              <w:spacing w:before="1"/>
              <w:ind w:firstLine="0" w:firstLineChars="0"/>
              <w:rPr>
                <w:rFonts w:hint="eastAsia" w:ascii="宋体" w:hAnsi="宋体" w:eastAsia="宋体" w:cs="宋体"/>
                <w:sz w:val="21"/>
                <w:highlight w:val="none"/>
              </w:rPr>
            </w:pPr>
            <w:r>
              <w:rPr>
                <w:rFonts w:hint="eastAsia" w:ascii="宋体" w:hAnsi="宋体" w:eastAsia="宋体" w:cs="宋体"/>
                <w:sz w:val="21"/>
                <w:highlight w:val="none"/>
              </w:rPr>
              <w:t>评标基准价计算方法</w:t>
            </w:r>
          </w:p>
        </w:tc>
        <w:tc>
          <w:tcPr>
            <w:tcW w:w="3571" w:type="pct"/>
            <w:vAlign w:val="center"/>
          </w:tcPr>
          <w:p>
            <w:pPr>
              <w:spacing w:line="320" w:lineRule="exact"/>
              <w:ind w:firstLine="0" w:firstLineChars="0"/>
              <w:jc w:val="lef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评标基准价的计算：</w:t>
            </w:r>
          </w:p>
          <w:p>
            <w:pPr>
              <w:spacing w:line="320" w:lineRule="exact"/>
              <w:ind w:firstLine="0" w:firstLineChars="0"/>
              <w:jc w:val="left"/>
              <w:rPr>
                <w:rFonts w:hint="eastAsia" w:ascii="宋体" w:hAnsi="宋体" w:eastAsia="宋体" w:cs="宋体"/>
                <w:snapToGrid w:val="0"/>
                <w:sz w:val="21"/>
                <w:szCs w:val="21"/>
                <w:highlight w:val="none"/>
              </w:rPr>
            </w:pPr>
            <w:r>
              <w:rPr>
                <w:rFonts w:hint="eastAsia" w:ascii="宋体" w:hAnsi="宋体" w:eastAsia="宋体" w:cs="宋体"/>
                <w:sz w:val="21"/>
                <w:szCs w:val="21"/>
                <w:highlight w:val="none"/>
              </w:rPr>
              <w:t>在开标现场，招标人将当场计算并宣布评标基准价。</w:t>
            </w:r>
          </w:p>
          <w:p>
            <w:pPr>
              <w:spacing w:line="320" w:lineRule="exact"/>
              <w:ind w:firstLine="0" w:firstLineChars="0"/>
              <w:jc w:val="lef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（1）评标价的确定：</w:t>
            </w:r>
          </w:p>
          <w:p>
            <w:pPr>
              <w:spacing w:line="320" w:lineRule="exact"/>
              <w:ind w:firstLine="420" w:firstLineChars="200"/>
              <w:jc w:val="lef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评标价＝投标函文字报价。</w:t>
            </w:r>
          </w:p>
          <w:p>
            <w:pPr>
              <w:spacing w:line="320" w:lineRule="exact"/>
              <w:ind w:firstLine="0" w:firstLineChars="0"/>
              <w:jc w:val="lef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（2）评标基准价的计算：</w:t>
            </w:r>
          </w:p>
          <w:p>
            <w:pPr>
              <w:spacing w:line="32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highlight w:val="none"/>
              </w:rPr>
              <w:t>按第一个信封</w:t>
            </w:r>
            <w:r>
              <w:rPr>
                <w:rFonts w:hint="eastAsia" w:ascii="宋体" w:hAnsi="宋体" w:eastAsia="宋体" w:cs="宋体"/>
                <w:sz w:val="21"/>
                <w:szCs w:val="21"/>
                <w:highlight w:val="none"/>
              </w:rPr>
              <w:t>（商务及技术文件）评审得分由高到低的顺序选取前 3 名（若不足 3 名，则选取相应数量），对其第二个信封（报价文件）的评标价作算术平均（根据第二章“投标人须知”第 5.2.4 项规定在开标现场被宣布为不进入评标基准价计算的投标报价除外），将该平均值作为评标价平均值。</w:t>
            </w:r>
          </w:p>
          <w:p>
            <w:pPr>
              <w:pStyle w:val="11"/>
              <w:spacing w:line="32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（3）评标基准价的确定：</w:t>
            </w:r>
          </w:p>
          <w:p>
            <w:pPr>
              <w:pStyle w:val="11"/>
              <w:spacing w:line="32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将评标价平均值直接作为评标基准价。</w:t>
            </w:r>
          </w:p>
          <w:p>
            <w:pPr>
              <w:spacing w:line="320" w:lineRule="exact"/>
              <w:ind w:firstLine="420" w:firstLineChars="200"/>
              <w:jc w:val="left"/>
              <w:rPr>
                <w:rFonts w:hint="eastAsia" w:ascii="宋体" w:hAnsi="宋体" w:eastAsia="宋体" w:cs="宋体"/>
                <w:snapToGrid w:val="0"/>
                <w:sz w:val="21"/>
                <w:szCs w:val="21"/>
                <w:highlight w:val="none"/>
              </w:rPr>
            </w:pPr>
            <w:r>
              <w:rPr>
                <w:rFonts w:hint="eastAsia" w:ascii="宋体" w:hAnsi="宋体" w:eastAsia="宋体" w:cs="宋体"/>
                <w:sz w:val="21"/>
                <w:szCs w:val="21"/>
                <w:highlight w:val="none"/>
              </w:rPr>
              <w:t>在评标过程中，评标委员会应对招标人计算的评标基准价进行复核，存在计算错误的应予以修正并在评标报告中作出说明。除此以外，评标基准价在整个评标期间保持不变，不随任何因素发生变化。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5" w:hRule="atLeast"/>
          <w:jc w:val="center"/>
        </w:trPr>
        <w:tc>
          <w:tcPr>
            <w:tcW w:w="693" w:type="pct"/>
            <w:vAlign w:val="center"/>
          </w:tcPr>
          <w:p>
            <w:pPr>
              <w:spacing w:after="100" w:afterAutospacing="1" w:line="400" w:lineRule="atLeast"/>
              <w:ind w:firstLine="0" w:firstLineChars="0"/>
              <w:jc w:val="center"/>
              <w:rPr>
                <w:rFonts w:hint="eastAsia" w:ascii="宋体" w:hAnsi="宋体" w:eastAsia="宋体" w:cs="宋体"/>
                <w:sz w:val="21"/>
                <w:highlight w:val="none"/>
                <w:lang w:val="zh-CN" w:bidi="zh-CN"/>
              </w:rPr>
            </w:pPr>
            <w:r>
              <w:rPr>
                <w:rFonts w:hint="eastAsia" w:ascii="宋体" w:hAnsi="宋体" w:eastAsia="宋体" w:cs="宋体"/>
                <w:sz w:val="21"/>
                <w:highlight w:val="none"/>
                <w:lang w:val="zh-CN" w:bidi="zh-CN"/>
              </w:rPr>
              <w:t>2.2.3</w:t>
            </w:r>
          </w:p>
        </w:tc>
        <w:tc>
          <w:tcPr>
            <w:tcW w:w="734" w:type="pct"/>
            <w:vAlign w:val="center"/>
          </w:tcPr>
          <w:p>
            <w:pPr>
              <w:spacing w:line="400" w:lineRule="exact"/>
              <w:ind w:firstLine="0" w:firstLineChars="0"/>
              <w:jc w:val="center"/>
              <w:rPr>
                <w:rFonts w:hint="eastAsia" w:ascii="宋体" w:hAnsi="宋体" w:eastAsia="宋体" w:cs="宋体"/>
                <w:sz w:val="21"/>
                <w:highlight w:val="none"/>
                <w:lang w:val="zh-CN" w:bidi="zh-CN"/>
              </w:rPr>
            </w:pPr>
            <w:r>
              <w:rPr>
                <w:rFonts w:hint="eastAsia" w:ascii="宋体" w:hAnsi="宋体" w:eastAsia="宋体" w:cs="宋体"/>
                <w:sz w:val="21"/>
                <w:highlight w:val="none"/>
                <w:lang w:val="zh-CN" w:bidi="zh-CN"/>
              </w:rPr>
              <w:t>评标价的偏差率计算公式</w:t>
            </w:r>
          </w:p>
        </w:tc>
        <w:tc>
          <w:tcPr>
            <w:tcW w:w="3571" w:type="pct"/>
            <w:vAlign w:val="center"/>
          </w:tcPr>
          <w:p>
            <w:pPr>
              <w:spacing w:after="100" w:afterAutospacing="1" w:line="320" w:lineRule="exact"/>
              <w:ind w:firstLine="0" w:firstLineChars="0"/>
              <w:jc w:val="lef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偏差率=100% ×（投标人评标价－评标基准价）/评标基准价</w:t>
            </w:r>
          </w:p>
          <w:p>
            <w:pPr>
              <w:spacing w:after="100" w:afterAutospacing="1" w:line="320" w:lineRule="exact"/>
              <w:ind w:firstLine="0" w:firstLineChars="0"/>
              <w:jc w:val="lef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偏差率保留</w:t>
            </w:r>
            <w:r>
              <w:rPr>
                <w:rFonts w:hint="eastAsia" w:ascii="宋体" w:hAnsi="宋体" w:cs="宋体"/>
                <w:snapToGrid w:val="0"/>
                <w:sz w:val="21"/>
                <w:szCs w:val="21"/>
                <w:highlight w:val="none"/>
                <w:u w:val="single"/>
                <w:lang w:val="en-US" w:eastAsia="zh-CN"/>
              </w:rPr>
              <w:t>9</w:t>
            </w:r>
            <w:r>
              <w:rPr>
                <w:rFonts w:hint="eastAsia" w:ascii="宋体" w:hAnsi="宋体" w:eastAsia="宋体" w:cs="宋体"/>
                <w:snapToGrid w:val="0"/>
                <w:sz w:val="21"/>
                <w:szCs w:val="21"/>
                <w:highlight w:val="none"/>
              </w:rPr>
              <w:t>位小数，</w:t>
            </w:r>
            <w:r>
              <w:rPr>
                <w:rFonts w:hint="eastAsia" w:ascii="宋体" w:hAnsi="宋体" w:eastAsia="宋体" w:cs="宋体"/>
                <w:sz w:val="21"/>
                <w:szCs w:val="21"/>
                <w:highlight w:val="none"/>
              </w:rPr>
              <w:t>小数点后第</w:t>
            </w:r>
            <w:r>
              <w:rPr>
                <w:rFonts w:hint="eastAsia" w:ascii="宋体" w:hAnsi="宋体" w:cs="宋体"/>
                <w:sz w:val="21"/>
                <w:szCs w:val="21"/>
                <w:highlight w:val="none"/>
                <w:u w:val="single"/>
                <w:lang w:val="en-US" w:eastAsia="zh-CN"/>
              </w:rPr>
              <w:t>10</w:t>
            </w:r>
            <w:r>
              <w:rPr>
                <w:rFonts w:hint="eastAsia" w:ascii="宋体" w:hAnsi="宋体" w:eastAsia="宋体" w:cs="宋体"/>
                <w:sz w:val="21"/>
                <w:szCs w:val="21"/>
                <w:highlight w:val="none"/>
              </w:rPr>
              <w:t>位“四舍五入”</w:t>
            </w:r>
            <w:r>
              <w:rPr>
                <w:rFonts w:hint="eastAsia" w:ascii="宋体" w:hAnsi="宋体" w:eastAsia="宋体" w:cs="宋体"/>
                <w:snapToGrid w:val="0"/>
                <w:sz w:val="21"/>
                <w:szCs w:val="21"/>
                <w:highlight w:val="none"/>
              </w:rPr>
              <w:t>。</w:t>
            </w:r>
          </w:p>
        </w:tc>
      </w:tr>
    </w:tbl>
    <w:p>
      <w:pPr>
        <w:ind w:firstLine="480"/>
        <w:rPr>
          <w:rFonts w:hint="eastAsia" w:ascii="宋体" w:hAnsi="宋体" w:eastAsia="宋体" w:cs="宋体"/>
          <w:highlight w:val="none"/>
        </w:rPr>
      </w:pPr>
    </w:p>
    <w:p>
      <w:pPr>
        <w:adjustRightInd w:val="0"/>
        <w:ind w:firstLine="562"/>
        <w:contextualSpacing/>
        <w:jc w:val="center"/>
        <w:rPr>
          <w:rFonts w:hint="eastAsia" w:ascii="宋体" w:hAnsi="宋体" w:eastAsia="宋体" w:cs="宋体"/>
          <w:b/>
          <w:sz w:val="28"/>
          <w:szCs w:val="28"/>
          <w:highlight w:val="none"/>
        </w:rPr>
      </w:pPr>
    </w:p>
    <w:p>
      <w:pPr>
        <w:pStyle w:val="2"/>
        <w:ind w:left="480" w:firstLine="480"/>
        <w:rPr>
          <w:rFonts w:hint="eastAsia" w:ascii="宋体" w:hAnsi="宋体" w:eastAsia="宋体" w:cs="宋体"/>
          <w:highlight w:val="none"/>
        </w:rPr>
      </w:pPr>
    </w:p>
    <w:p>
      <w:pPr>
        <w:pStyle w:val="2"/>
        <w:ind w:left="480" w:firstLine="480"/>
        <w:rPr>
          <w:rFonts w:hint="eastAsia" w:ascii="宋体" w:hAnsi="宋体" w:eastAsia="宋体" w:cs="宋体"/>
          <w:highlight w:val="none"/>
        </w:rPr>
      </w:pPr>
    </w:p>
    <w:p>
      <w:pPr>
        <w:adjustRightInd w:val="0"/>
        <w:ind w:firstLine="562"/>
        <w:contextualSpacing/>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评审因素、评分值、评分标准</w:t>
      </w:r>
    </w:p>
    <w:p>
      <w:pPr>
        <w:adjustRightInd w:val="0"/>
        <w:ind w:firstLine="480"/>
        <w:contextualSpacing/>
        <w:jc w:val="right"/>
        <w:rPr>
          <w:rFonts w:hint="eastAsia" w:ascii="宋体" w:hAnsi="宋体" w:eastAsia="宋体" w:cs="宋体"/>
          <w:highlight w:val="none"/>
        </w:rPr>
      </w:pPr>
      <w:r>
        <w:rPr>
          <w:rFonts w:hint="eastAsia" w:ascii="宋体" w:hAnsi="宋体" w:eastAsia="宋体" w:cs="宋体"/>
          <w:highlight w:val="none"/>
        </w:rPr>
        <w:t xml:space="preserve"> </w:t>
      </w:r>
    </w:p>
    <w:p>
      <w:pPr>
        <w:adjustRightInd w:val="0"/>
        <w:ind w:firstLine="480"/>
        <w:contextualSpacing/>
        <w:jc w:val="right"/>
        <w:rPr>
          <w:rFonts w:hint="eastAsia" w:ascii="宋体" w:hAnsi="宋体" w:eastAsia="宋体" w:cs="宋体"/>
          <w:highlight w:val="none"/>
        </w:rPr>
      </w:pPr>
      <w:r>
        <w:rPr>
          <w:rFonts w:hint="eastAsia" w:ascii="宋体" w:hAnsi="宋体" w:eastAsia="宋体" w:cs="宋体"/>
          <w:szCs w:val="21"/>
          <w:highlight w:val="none"/>
        </w:rPr>
        <w:t>续上表</w:t>
      </w:r>
    </w:p>
    <w:tbl>
      <w:tblPr>
        <w:tblStyle w:val="7"/>
        <w:tblW w:w="924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0" w:type="dxa"/>
          <w:bottom w:w="0" w:type="dxa"/>
          <w:right w:w="0" w:type="dxa"/>
        </w:tblCellMar>
      </w:tblPr>
      <w:tblGrid>
        <w:gridCol w:w="713"/>
        <w:gridCol w:w="275"/>
        <w:gridCol w:w="439"/>
        <w:gridCol w:w="709"/>
        <w:gridCol w:w="1133"/>
        <w:gridCol w:w="705"/>
        <w:gridCol w:w="715"/>
        <w:gridCol w:w="567"/>
        <w:gridCol w:w="398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82" w:hRule="atLeast"/>
          <w:tblHeader/>
          <w:jc w:val="center"/>
        </w:trPr>
        <w:tc>
          <w:tcPr>
            <w:tcW w:w="713" w:type="dxa"/>
            <w:vMerge w:val="restart"/>
            <w:tcBorders>
              <w:tl2br w:val="nil"/>
              <w:tr2bl w:val="nil"/>
            </w:tcBorders>
            <w:noWrap w:val="0"/>
            <w:vAlign w:val="center"/>
          </w:tcPr>
          <w:p>
            <w:pPr>
              <w:pStyle w:val="11"/>
              <w:spacing w:line="360" w:lineRule="exact"/>
              <w:contextualSpacing/>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4543" w:type="dxa"/>
            <w:gridSpan w:val="7"/>
            <w:tcBorders>
              <w:tl2br w:val="nil"/>
              <w:tr2bl w:val="nil"/>
            </w:tcBorders>
            <w:noWrap w:val="0"/>
            <w:vAlign w:val="center"/>
          </w:tcPr>
          <w:p>
            <w:pPr>
              <w:adjustRightInd w:val="0"/>
              <w:spacing w:line="360" w:lineRule="exact"/>
              <w:contextualSpacing/>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评分因素与权重分值</w:t>
            </w:r>
          </w:p>
        </w:tc>
        <w:tc>
          <w:tcPr>
            <w:tcW w:w="3985" w:type="dxa"/>
            <w:vMerge w:val="restart"/>
            <w:tcBorders>
              <w:tl2br w:val="nil"/>
              <w:tr2bl w:val="nil"/>
            </w:tcBorders>
            <w:noWrap w:val="0"/>
            <w:vAlign w:val="center"/>
          </w:tcPr>
          <w:p>
            <w:pPr>
              <w:pStyle w:val="11"/>
              <w:spacing w:line="360" w:lineRule="exact"/>
              <w:contextualSpacing/>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07" w:hRule="atLeast"/>
          <w:tblHeader/>
          <w:jc w:val="center"/>
        </w:trPr>
        <w:tc>
          <w:tcPr>
            <w:tcW w:w="713"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b/>
                <w:color w:val="000000"/>
                <w:sz w:val="21"/>
                <w:szCs w:val="21"/>
                <w:highlight w:val="none"/>
              </w:rPr>
            </w:pPr>
          </w:p>
        </w:tc>
        <w:tc>
          <w:tcPr>
            <w:tcW w:w="714" w:type="dxa"/>
            <w:gridSpan w:val="2"/>
            <w:tcBorders>
              <w:tl2br w:val="nil"/>
              <w:tr2bl w:val="nil"/>
            </w:tcBorders>
            <w:noWrap w:val="0"/>
            <w:vAlign w:val="center"/>
          </w:tcPr>
          <w:p>
            <w:pPr>
              <w:pStyle w:val="11"/>
              <w:spacing w:line="360" w:lineRule="exact"/>
              <w:contextualSpacing/>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w:t>
            </w:r>
          </w:p>
          <w:p>
            <w:pPr>
              <w:pStyle w:val="11"/>
              <w:spacing w:line="360" w:lineRule="exact"/>
              <w:contextualSpacing/>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因素</w:t>
            </w:r>
          </w:p>
        </w:tc>
        <w:tc>
          <w:tcPr>
            <w:tcW w:w="709" w:type="dxa"/>
            <w:tcBorders>
              <w:tl2br w:val="nil"/>
              <w:tr2bl w:val="nil"/>
            </w:tcBorders>
            <w:noWrap w:val="0"/>
            <w:vAlign w:val="center"/>
          </w:tcPr>
          <w:p>
            <w:pPr>
              <w:pStyle w:val="11"/>
              <w:spacing w:line="360" w:lineRule="exact"/>
              <w:contextualSpacing/>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评分因素权重分值</w:t>
            </w:r>
          </w:p>
        </w:tc>
        <w:tc>
          <w:tcPr>
            <w:tcW w:w="2553" w:type="dxa"/>
            <w:gridSpan w:val="3"/>
            <w:tcBorders>
              <w:tl2br w:val="nil"/>
              <w:tr2bl w:val="nil"/>
            </w:tcBorders>
            <w:noWrap w:val="0"/>
            <w:vAlign w:val="center"/>
          </w:tcPr>
          <w:p>
            <w:pPr>
              <w:pStyle w:val="11"/>
              <w:spacing w:line="360" w:lineRule="exact"/>
              <w:contextualSpacing/>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各评分因素细分项</w:t>
            </w:r>
          </w:p>
        </w:tc>
        <w:tc>
          <w:tcPr>
            <w:tcW w:w="567" w:type="dxa"/>
            <w:tcBorders>
              <w:tl2br w:val="nil"/>
              <w:tr2bl w:val="nil"/>
            </w:tcBorders>
            <w:noWrap w:val="0"/>
            <w:vAlign w:val="center"/>
          </w:tcPr>
          <w:p>
            <w:pPr>
              <w:pStyle w:val="11"/>
              <w:spacing w:line="360" w:lineRule="exact"/>
              <w:contextualSpacing/>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c>
          <w:tcPr>
            <w:tcW w:w="3985" w:type="dxa"/>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713" w:type="dxa"/>
            <w:vMerge w:val="restart"/>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2.2.4（1）</w:t>
            </w:r>
          </w:p>
        </w:tc>
        <w:tc>
          <w:tcPr>
            <w:tcW w:w="714" w:type="dxa"/>
            <w:gridSpan w:val="2"/>
            <w:vMerge w:val="restart"/>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技术建议书</w:t>
            </w:r>
          </w:p>
        </w:tc>
        <w:tc>
          <w:tcPr>
            <w:tcW w:w="709" w:type="dxa"/>
            <w:vMerge w:val="restart"/>
            <w:tcBorders>
              <w:tl2br w:val="nil"/>
              <w:tr2bl w:val="nil"/>
            </w:tcBorders>
            <w:noWrap w:val="0"/>
            <w:vAlign w:val="center"/>
          </w:tcPr>
          <w:p>
            <w:pPr>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40</w:t>
            </w:r>
            <w:r>
              <w:rPr>
                <w:rFonts w:hint="eastAsia" w:ascii="宋体" w:hAnsi="宋体" w:eastAsia="宋体" w:cs="宋体"/>
                <w:color w:val="000000"/>
                <w:sz w:val="21"/>
                <w:szCs w:val="21"/>
                <w:highlight w:val="none"/>
              </w:rPr>
              <w:t>分</w:t>
            </w:r>
          </w:p>
        </w:tc>
        <w:tc>
          <w:tcPr>
            <w:tcW w:w="2553" w:type="dxa"/>
            <w:gridSpan w:val="3"/>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对招标项目的</w:t>
            </w:r>
            <w:r>
              <w:rPr>
                <w:rFonts w:ascii="宋体" w:hAnsi="宋体" w:cs="宋体"/>
                <w:color w:val="auto"/>
                <w:sz w:val="21"/>
                <w:szCs w:val="21"/>
                <w:highlight w:val="none"/>
              </w:rPr>
              <w:t>现状</w:t>
            </w:r>
            <w:r>
              <w:rPr>
                <w:rFonts w:hint="eastAsia" w:ascii="宋体" w:hAnsi="宋体" w:cs="宋体"/>
                <w:color w:val="auto"/>
                <w:sz w:val="21"/>
                <w:szCs w:val="21"/>
                <w:highlight w:val="none"/>
              </w:rPr>
              <w:t>调研、</w:t>
            </w:r>
            <w:r>
              <w:rPr>
                <w:rFonts w:ascii="宋体" w:hAnsi="宋体" w:cs="宋体"/>
                <w:color w:val="auto"/>
                <w:sz w:val="21"/>
                <w:szCs w:val="21"/>
                <w:highlight w:val="none"/>
              </w:rPr>
              <w:t>系统分析</w:t>
            </w:r>
          </w:p>
        </w:tc>
        <w:tc>
          <w:tcPr>
            <w:tcW w:w="567" w:type="dxa"/>
            <w:tcBorders>
              <w:tl2br w:val="nil"/>
              <w:tr2bl w:val="nil"/>
            </w:tcBorders>
            <w:noWrap w:val="0"/>
            <w:vAlign w:val="center"/>
          </w:tcPr>
          <w:p>
            <w:pPr>
              <w:tabs>
                <w:tab w:val="left" w:pos="460"/>
              </w:tabs>
              <w:autoSpaceDE w:val="0"/>
              <w:autoSpaceDN w:val="0"/>
              <w:adjustRightInd w:val="0"/>
              <w:spacing w:line="360" w:lineRule="exact"/>
              <w:ind w:firstLine="0" w:firstLineChars="0"/>
              <w:contextualSpacing/>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10分</w:t>
            </w:r>
          </w:p>
        </w:tc>
        <w:tc>
          <w:tcPr>
            <w:tcW w:w="3985" w:type="dxa"/>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投标人对招标</w:t>
            </w:r>
            <w:r>
              <w:rPr>
                <w:rFonts w:ascii="宋体" w:hAnsi="宋体" w:cs="宋体"/>
                <w:color w:val="auto"/>
                <w:sz w:val="21"/>
                <w:szCs w:val="21"/>
                <w:highlight w:val="none"/>
              </w:rPr>
              <w:t>项目</w:t>
            </w:r>
            <w:r>
              <w:rPr>
                <w:rFonts w:hint="eastAsia" w:ascii="宋体" w:hAnsi="宋体" w:cs="宋体"/>
                <w:color w:val="auto"/>
                <w:sz w:val="21"/>
                <w:szCs w:val="21"/>
                <w:highlight w:val="none"/>
                <w:lang w:val="en-US" w:eastAsia="zh-CN"/>
              </w:rPr>
              <w:t>12个隧道</w:t>
            </w:r>
            <w:r>
              <w:rPr>
                <w:rFonts w:ascii="宋体" w:hAnsi="宋体" w:cs="宋体"/>
                <w:color w:val="auto"/>
                <w:sz w:val="21"/>
                <w:szCs w:val="21"/>
                <w:highlight w:val="none"/>
              </w:rPr>
              <w:t>现状</w:t>
            </w:r>
            <w:r>
              <w:rPr>
                <w:rFonts w:hint="eastAsia" w:ascii="宋体" w:hAnsi="宋体" w:cs="宋体"/>
                <w:color w:val="auto"/>
                <w:sz w:val="21"/>
                <w:szCs w:val="21"/>
                <w:highlight w:val="none"/>
              </w:rPr>
              <w:t>调研、</w:t>
            </w:r>
            <w:r>
              <w:rPr>
                <w:rFonts w:ascii="宋体" w:hAnsi="宋体" w:cs="宋体"/>
                <w:color w:val="auto"/>
                <w:sz w:val="21"/>
                <w:szCs w:val="21"/>
                <w:highlight w:val="none"/>
              </w:rPr>
              <w:t>系统分析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分别</w:t>
            </w:r>
            <w:r>
              <w:rPr>
                <w:rFonts w:hint="eastAsia" w:ascii="宋体" w:hAnsi="宋体" w:cs="宋体"/>
                <w:color w:val="auto"/>
                <w:sz w:val="21"/>
                <w:szCs w:val="21"/>
                <w:highlight w:val="none"/>
              </w:rPr>
              <w:t>进行阐述，阐述得好的，得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分；阐述得较好的，得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分；阐述得一般，得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120" w:hRule="atLeast"/>
          <w:jc w:val="center"/>
        </w:trPr>
        <w:tc>
          <w:tcPr>
            <w:tcW w:w="713" w:type="dxa"/>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p>
        </w:tc>
        <w:tc>
          <w:tcPr>
            <w:tcW w:w="714" w:type="dxa"/>
            <w:gridSpan w:val="2"/>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p>
        </w:tc>
        <w:tc>
          <w:tcPr>
            <w:tcW w:w="709"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2553" w:type="dxa"/>
            <w:gridSpan w:val="3"/>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招标项目勘察设计的特点、关键技术问题的认识及其对策措施</w:t>
            </w:r>
          </w:p>
        </w:tc>
        <w:tc>
          <w:tcPr>
            <w:tcW w:w="567" w:type="dxa"/>
            <w:tcBorders>
              <w:tl2br w:val="nil"/>
              <w:tr2bl w:val="nil"/>
            </w:tcBorders>
            <w:noWrap w:val="0"/>
            <w:vAlign w:val="center"/>
          </w:tcPr>
          <w:p>
            <w:pPr>
              <w:tabs>
                <w:tab w:val="left" w:pos="460"/>
              </w:tabs>
              <w:autoSpaceDE w:val="0"/>
              <w:autoSpaceDN w:val="0"/>
              <w:adjustRightInd w:val="0"/>
              <w:spacing w:line="360" w:lineRule="exact"/>
              <w:ind w:firstLine="0" w:firstLineChars="0"/>
              <w:contextualSpacing/>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10分</w:t>
            </w:r>
          </w:p>
        </w:tc>
        <w:tc>
          <w:tcPr>
            <w:tcW w:w="3985" w:type="dxa"/>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投标人对招标项目</w:t>
            </w:r>
            <w:r>
              <w:rPr>
                <w:rFonts w:hint="eastAsia" w:ascii="宋体" w:hAnsi="宋体" w:cs="宋体"/>
                <w:color w:val="auto"/>
                <w:sz w:val="21"/>
                <w:szCs w:val="21"/>
                <w:highlight w:val="none"/>
                <w:lang w:val="en-US" w:eastAsia="zh-CN"/>
              </w:rPr>
              <w:t>12个</w:t>
            </w:r>
            <w:r>
              <w:rPr>
                <w:rFonts w:hint="eastAsia" w:ascii="宋体" w:hAnsi="宋体" w:cs="宋体"/>
                <w:color w:val="auto"/>
                <w:sz w:val="21"/>
                <w:szCs w:val="21"/>
                <w:highlight w:val="none"/>
              </w:rPr>
              <w:t>隧道的勘察设计特点、关键技术问题的认识及其对策措施等方面进行阐述，阐述得好的，得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分；阐述得较好的，得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分；阐述得一般，得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120" w:hRule="atLeast"/>
          <w:jc w:val="center"/>
        </w:trPr>
        <w:tc>
          <w:tcPr>
            <w:tcW w:w="713" w:type="dxa"/>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p>
        </w:tc>
        <w:tc>
          <w:tcPr>
            <w:tcW w:w="714" w:type="dxa"/>
            <w:gridSpan w:val="2"/>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p>
        </w:tc>
        <w:tc>
          <w:tcPr>
            <w:tcW w:w="709"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2553" w:type="dxa"/>
            <w:gridSpan w:val="3"/>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总体重建设计思路</w:t>
            </w:r>
          </w:p>
        </w:tc>
        <w:tc>
          <w:tcPr>
            <w:tcW w:w="567" w:type="dxa"/>
            <w:tcBorders>
              <w:tl2br w:val="nil"/>
              <w:tr2bl w:val="nil"/>
            </w:tcBorders>
            <w:noWrap w:val="0"/>
            <w:vAlign w:val="center"/>
          </w:tcPr>
          <w:p>
            <w:pPr>
              <w:tabs>
                <w:tab w:val="left" w:pos="460"/>
              </w:tabs>
              <w:autoSpaceDE w:val="0"/>
              <w:autoSpaceDN w:val="0"/>
              <w:adjustRightInd w:val="0"/>
              <w:spacing w:line="360" w:lineRule="exact"/>
              <w:ind w:firstLine="0" w:firstLineChars="0"/>
              <w:contextualSpacing/>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5分</w:t>
            </w:r>
          </w:p>
        </w:tc>
        <w:tc>
          <w:tcPr>
            <w:tcW w:w="3985" w:type="dxa"/>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投标人对招标项目</w:t>
            </w:r>
            <w:r>
              <w:rPr>
                <w:rFonts w:ascii="宋体" w:hAnsi="宋体" w:cs="宋体"/>
                <w:color w:val="auto"/>
                <w:sz w:val="21"/>
                <w:szCs w:val="21"/>
                <w:highlight w:val="none"/>
              </w:rPr>
              <w:t>总体</w:t>
            </w:r>
            <w:r>
              <w:rPr>
                <w:rFonts w:hint="eastAsia" w:ascii="宋体" w:hAnsi="宋体" w:cs="宋体"/>
                <w:color w:val="auto"/>
                <w:sz w:val="21"/>
                <w:szCs w:val="21"/>
                <w:highlight w:val="none"/>
              </w:rPr>
              <w:t>重建</w:t>
            </w:r>
            <w:r>
              <w:rPr>
                <w:rFonts w:ascii="宋体" w:hAnsi="宋体" w:cs="宋体"/>
                <w:color w:val="auto"/>
                <w:sz w:val="21"/>
                <w:szCs w:val="21"/>
                <w:highlight w:val="none"/>
              </w:rPr>
              <w:t>设计思路</w:t>
            </w:r>
            <w:r>
              <w:rPr>
                <w:rFonts w:hint="eastAsia" w:ascii="宋体" w:hAnsi="宋体" w:cs="宋体"/>
                <w:color w:val="auto"/>
                <w:sz w:val="21"/>
                <w:szCs w:val="21"/>
                <w:highlight w:val="none"/>
              </w:rPr>
              <w:t>进行阐述</w:t>
            </w:r>
            <w:r>
              <w:rPr>
                <w:rFonts w:hint="eastAsia" w:ascii="宋体" w:hAnsi="宋体" w:eastAsia="宋体" w:cs="宋体"/>
                <w:color w:val="auto"/>
                <w:sz w:val="21"/>
                <w:szCs w:val="21"/>
                <w:highlight w:val="none"/>
              </w:rPr>
              <w:t>，阐述得好的，得4.5-5分；较好，得3.5-4.5分；一般，得3-3.5分。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80" w:hRule="atLeast"/>
          <w:jc w:val="center"/>
        </w:trPr>
        <w:tc>
          <w:tcPr>
            <w:tcW w:w="713" w:type="dxa"/>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p>
        </w:tc>
        <w:tc>
          <w:tcPr>
            <w:tcW w:w="714" w:type="dxa"/>
            <w:gridSpan w:val="2"/>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p>
        </w:tc>
        <w:tc>
          <w:tcPr>
            <w:tcW w:w="709"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2553" w:type="dxa"/>
            <w:gridSpan w:val="3"/>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勘察设计工作量及计划安排</w:t>
            </w:r>
          </w:p>
        </w:tc>
        <w:tc>
          <w:tcPr>
            <w:tcW w:w="567" w:type="dxa"/>
            <w:tcBorders>
              <w:tl2br w:val="nil"/>
              <w:tr2bl w:val="nil"/>
            </w:tcBorders>
            <w:noWrap w:val="0"/>
            <w:vAlign w:val="center"/>
          </w:tcPr>
          <w:p>
            <w:pPr>
              <w:tabs>
                <w:tab w:val="left" w:pos="460"/>
              </w:tabs>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5分</w:t>
            </w:r>
          </w:p>
        </w:tc>
        <w:tc>
          <w:tcPr>
            <w:tcW w:w="3985" w:type="dxa"/>
            <w:tcBorders>
              <w:tl2br w:val="nil"/>
              <w:tr2bl w:val="nil"/>
            </w:tcBorders>
            <w:noWrap w:val="0"/>
            <w:vAlign w:val="center"/>
          </w:tcPr>
          <w:p>
            <w:pPr>
              <w:adjustRightInd w:val="0"/>
              <w:spacing w:line="360" w:lineRule="exact"/>
              <w:ind w:firstLine="210" w:firstLineChars="10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投标人对招标项目的勘察设计工作量及计划安排等方面进行阐述，阐述得好的，得4.5-5分；较好，得3.5-4.5分；一般，得3-3.5分。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80" w:hRule="atLeast"/>
          <w:jc w:val="center"/>
        </w:trPr>
        <w:tc>
          <w:tcPr>
            <w:tcW w:w="713" w:type="dxa"/>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p>
        </w:tc>
        <w:tc>
          <w:tcPr>
            <w:tcW w:w="714" w:type="dxa"/>
            <w:gridSpan w:val="2"/>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p>
        </w:tc>
        <w:tc>
          <w:tcPr>
            <w:tcW w:w="709"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2553" w:type="dxa"/>
            <w:gridSpan w:val="3"/>
            <w:tcBorders>
              <w:tl2br w:val="nil"/>
              <w:tr2bl w:val="nil"/>
            </w:tcBorders>
            <w:noWrap w:val="0"/>
            <w:vAlign w:val="center"/>
          </w:tcPr>
          <w:p>
            <w:pPr>
              <w:autoSpaceDE w:val="0"/>
              <w:autoSpaceDN w:val="0"/>
              <w:adjustRightInd w:val="0"/>
              <w:spacing w:line="360" w:lineRule="exact"/>
              <w:ind w:firstLine="105" w:firstLineChars="5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勘察设计的质量保证措施、进度保证措施、安全保证措施</w:t>
            </w:r>
          </w:p>
        </w:tc>
        <w:tc>
          <w:tcPr>
            <w:tcW w:w="567" w:type="dxa"/>
            <w:tcBorders>
              <w:tl2br w:val="nil"/>
              <w:tr2bl w:val="nil"/>
            </w:tcBorders>
            <w:noWrap w:val="0"/>
            <w:vAlign w:val="center"/>
          </w:tcPr>
          <w:p>
            <w:pPr>
              <w:tabs>
                <w:tab w:val="left" w:pos="460"/>
              </w:tabs>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5分</w:t>
            </w:r>
          </w:p>
        </w:tc>
        <w:tc>
          <w:tcPr>
            <w:tcW w:w="3985" w:type="dxa"/>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投标人对招标项目的（1）本项目质量保证措施（2）本项目进度保证措施（3）本项目安全保证措施等方面进行阐述，阐述得好的，得4.5-5分；较好，得3.5-4.5分；一般，得3-3.5分。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80" w:hRule="atLeast"/>
          <w:jc w:val="center"/>
        </w:trPr>
        <w:tc>
          <w:tcPr>
            <w:tcW w:w="713" w:type="dxa"/>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p>
        </w:tc>
        <w:tc>
          <w:tcPr>
            <w:tcW w:w="714" w:type="dxa"/>
            <w:gridSpan w:val="2"/>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p>
        </w:tc>
        <w:tc>
          <w:tcPr>
            <w:tcW w:w="709"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2553" w:type="dxa"/>
            <w:gridSpan w:val="3"/>
            <w:tcBorders>
              <w:tl2br w:val="nil"/>
              <w:tr2bl w:val="nil"/>
            </w:tcBorders>
            <w:noWrap w:val="0"/>
            <w:vAlign w:val="center"/>
          </w:tcPr>
          <w:p>
            <w:pPr>
              <w:autoSpaceDE w:val="0"/>
              <w:autoSpaceDN w:val="0"/>
              <w:adjustRightInd w:val="0"/>
              <w:spacing w:line="360" w:lineRule="exact"/>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后续人员</w:t>
            </w:r>
          </w:p>
        </w:tc>
        <w:tc>
          <w:tcPr>
            <w:tcW w:w="567" w:type="dxa"/>
            <w:tcBorders>
              <w:tl2br w:val="nil"/>
              <w:tr2bl w:val="nil"/>
            </w:tcBorders>
            <w:noWrap w:val="0"/>
            <w:vAlign w:val="center"/>
          </w:tcPr>
          <w:p>
            <w:pPr>
              <w:tabs>
                <w:tab w:val="left" w:pos="460"/>
              </w:tabs>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2分</w:t>
            </w:r>
          </w:p>
        </w:tc>
        <w:tc>
          <w:tcPr>
            <w:tcW w:w="3985" w:type="dxa"/>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后续服务人员数量、资历、进场时间满足招标文件要求得1.2分，设计代表处负责人为项目负责人的加0.8分。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81" w:hRule="atLeast"/>
          <w:jc w:val="center"/>
        </w:trPr>
        <w:tc>
          <w:tcPr>
            <w:tcW w:w="713"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714" w:type="dxa"/>
            <w:gridSpan w:val="2"/>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709"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2553" w:type="dxa"/>
            <w:gridSpan w:val="3"/>
            <w:tcBorders>
              <w:tl2br w:val="nil"/>
              <w:tr2bl w:val="nil"/>
            </w:tcBorders>
            <w:noWrap w:val="0"/>
            <w:vAlign w:val="center"/>
          </w:tcPr>
          <w:p>
            <w:pPr>
              <w:autoSpaceDE w:val="0"/>
              <w:autoSpaceDN w:val="0"/>
              <w:adjustRightInd w:val="0"/>
              <w:spacing w:line="360" w:lineRule="exact"/>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后续服务承诺</w:t>
            </w:r>
          </w:p>
        </w:tc>
        <w:tc>
          <w:tcPr>
            <w:tcW w:w="567" w:type="dxa"/>
            <w:tcBorders>
              <w:tl2br w:val="nil"/>
              <w:tr2bl w:val="nil"/>
            </w:tcBorders>
            <w:noWrap w:val="0"/>
            <w:vAlign w:val="center"/>
          </w:tcPr>
          <w:p>
            <w:pPr>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1分</w:t>
            </w:r>
          </w:p>
        </w:tc>
        <w:tc>
          <w:tcPr>
            <w:tcW w:w="3985" w:type="dxa"/>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后续服务技术处理时间、服务质量承诺满足招标文件要求得1分。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66" w:hRule="atLeast"/>
          <w:jc w:val="center"/>
        </w:trPr>
        <w:tc>
          <w:tcPr>
            <w:tcW w:w="713"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714" w:type="dxa"/>
            <w:gridSpan w:val="2"/>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709"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2553" w:type="dxa"/>
            <w:gridSpan w:val="3"/>
            <w:tcBorders>
              <w:tl2br w:val="nil"/>
              <w:tr2bl w:val="nil"/>
            </w:tcBorders>
            <w:noWrap w:val="0"/>
            <w:vAlign w:val="center"/>
          </w:tcPr>
          <w:p>
            <w:pPr>
              <w:autoSpaceDE w:val="0"/>
              <w:autoSpaceDN w:val="0"/>
              <w:adjustRightInd w:val="0"/>
              <w:spacing w:line="360" w:lineRule="exact"/>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已完成项目的后续服务质量评价</w:t>
            </w:r>
          </w:p>
        </w:tc>
        <w:tc>
          <w:tcPr>
            <w:tcW w:w="567" w:type="dxa"/>
            <w:tcBorders>
              <w:tl2br w:val="nil"/>
              <w:tr2bl w:val="nil"/>
            </w:tcBorders>
            <w:noWrap w:val="0"/>
            <w:vAlign w:val="center"/>
          </w:tcPr>
          <w:p>
            <w:pPr>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2分</w:t>
            </w:r>
          </w:p>
        </w:tc>
        <w:tc>
          <w:tcPr>
            <w:tcW w:w="3985" w:type="dxa"/>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视其以往后续服务质量评价情况给分，好的，得1.8-2分；较好，得1.4-1.8分；一般，得1.2-1.4分。（以业主出具的履约证明为依据）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19" w:hRule="atLeast"/>
          <w:jc w:val="center"/>
        </w:trPr>
        <w:tc>
          <w:tcPr>
            <w:tcW w:w="713" w:type="dxa"/>
            <w:vMerge w:val="restart"/>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2.2.4（2）</w:t>
            </w:r>
          </w:p>
        </w:tc>
        <w:tc>
          <w:tcPr>
            <w:tcW w:w="714" w:type="dxa"/>
            <w:gridSpan w:val="2"/>
            <w:vMerge w:val="restart"/>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w:t>
            </w:r>
          </w:p>
          <w:p>
            <w:pPr>
              <w:pStyle w:val="11"/>
              <w:spacing w:line="360" w:lineRule="exact"/>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w:t>
            </w:r>
          </w:p>
        </w:tc>
        <w:tc>
          <w:tcPr>
            <w:tcW w:w="709" w:type="dxa"/>
            <w:vMerge w:val="restart"/>
            <w:tcBorders>
              <w:tl2br w:val="nil"/>
              <w:tr2bl w:val="nil"/>
            </w:tcBorders>
            <w:noWrap w:val="0"/>
            <w:vAlign w:val="center"/>
          </w:tcPr>
          <w:p>
            <w:pPr>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20分</w:t>
            </w:r>
          </w:p>
        </w:tc>
        <w:tc>
          <w:tcPr>
            <w:tcW w:w="1133" w:type="dxa"/>
            <w:vMerge w:val="restart"/>
            <w:tcBorders>
              <w:tl2br w:val="nil"/>
              <w:tr2bl w:val="nil"/>
            </w:tcBorders>
            <w:noWrap w:val="0"/>
            <w:vAlign w:val="center"/>
          </w:tcPr>
          <w:p>
            <w:pPr>
              <w:pStyle w:val="1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项目负责人任职资格与业绩</w:t>
            </w:r>
          </w:p>
        </w:tc>
        <w:tc>
          <w:tcPr>
            <w:tcW w:w="1420" w:type="dxa"/>
            <w:gridSpan w:val="2"/>
            <w:tcBorders>
              <w:tl2br w:val="nil"/>
              <w:tr2bl w:val="nil"/>
            </w:tcBorders>
            <w:noWrap w:val="0"/>
            <w:vAlign w:val="center"/>
          </w:tcPr>
          <w:p>
            <w:pPr>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基本分</w:t>
            </w:r>
          </w:p>
        </w:tc>
        <w:tc>
          <w:tcPr>
            <w:tcW w:w="567" w:type="dxa"/>
            <w:tcBorders>
              <w:tl2br w:val="nil"/>
              <w:tr2bl w:val="nil"/>
            </w:tcBorders>
            <w:noWrap w:val="0"/>
            <w:vAlign w:val="center"/>
          </w:tcPr>
          <w:p>
            <w:pPr>
              <w:tabs>
                <w:tab w:val="left" w:pos="460"/>
              </w:tabs>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12分</w:t>
            </w:r>
          </w:p>
        </w:tc>
        <w:tc>
          <w:tcPr>
            <w:tcW w:w="3985" w:type="dxa"/>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满足招标文件资格审查条件最低要求的，得基本分12分。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120" w:hRule="atLeast"/>
          <w:jc w:val="center"/>
        </w:trPr>
        <w:tc>
          <w:tcPr>
            <w:tcW w:w="713" w:type="dxa"/>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p>
        </w:tc>
        <w:tc>
          <w:tcPr>
            <w:tcW w:w="714" w:type="dxa"/>
            <w:gridSpan w:val="2"/>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p>
        </w:tc>
        <w:tc>
          <w:tcPr>
            <w:tcW w:w="709"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1133" w:type="dxa"/>
            <w:vMerge w:val="continue"/>
            <w:tcBorders>
              <w:tl2br w:val="nil"/>
              <w:tr2bl w:val="nil"/>
            </w:tcBorders>
            <w:noWrap w:val="0"/>
            <w:vAlign w:val="center"/>
          </w:tcPr>
          <w:p>
            <w:pPr>
              <w:pStyle w:val="11"/>
              <w:spacing w:line="360" w:lineRule="exact"/>
              <w:ind w:firstLine="210" w:firstLineChars="100"/>
              <w:contextualSpacing/>
              <w:jc w:val="center"/>
              <w:rPr>
                <w:rFonts w:hint="eastAsia" w:ascii="宋体" w:hAnsi="宋体" w:eastAsia="宋体" w:cs="宋体"/>
                <w:sz w:val="21"/>
                <w:szCs w:val="21"/>
                <w:highlight w:val="none"/>
              </w:rPr>
            </w:pPr>
          </w:p>
        </w:tc>
        <w:tc>
          <w:tcPr>
            <w:tcW w:w="1420" w:type="dxa"/>
            <w:gridSpan w:val="2"/>
            <w:tcBorders>
              <w:tl2br w:val="nil"/>
              <w:tr2bl w:val="nil"/>
            </w:tcBorders>
            <w:noWrap w:val="0"/>
            <w:vAlign w:val="center"/>
          </w:tcPr>
          <w:p>
            <w:pPr>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p>
        </w:tc>
        <w:tc>
          <w:tcPr>
            <w:tcW w:w="567" w:type="dxa"/>
            <w:tcBorders>
              <w:tl2br w:val="nil"/>
              <w:tr2bl w:val="nil"/>
            </w:tcBorders>
            <w:noWrap w:val="0"/>
            <w:vAlign w:val="center"/>
          </w:tcPr>
          <w:p>
            <w:pPr>
              <w:tabs>
                <w:tab w:val="left" w:pos="460"/>
              </w:tabs>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8分</w:t>
            </w:r>
          </w:p>
        </w:tc>
        <w:tc>
          <w:tcPr>
            <w:tcW w:w="3985" w:type="dxa"/>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项目负责人具备正高级职称的加4分；</w:t>
            </w:r>
          </w:p>
          <w:p>
            <w:pPr>
              <w:adjustRightInd w:val="0"/>
              <w:spacing w:line="360" w:lineRule="exact"/>
              <w:ind w:firstLine="210" w:firstLineChars="10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项目负责人的业绩满足招标文件资格审查条件最低要求基础上，每增加1个高速公路隧道机电系统设计或高速公路勘察设计含隧道机电设计项目的业绩，加2分，最多加4分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289" w:hRule="atLeast"/>
          <w:jc w:val="center"/>
        </w:trPr>
        <w:tc>
          <w:tcPr>
            <w:tcW w:w="713" w:type="dxa"/>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2.2.4（3）</w:t>
            </w:r>
          </w:p>
        </w:tc>
        <w:tc>
          <w:tcPr>
            <w:tcW w:w="714" w:type="dxa"/>
            <w:gridSpan w:val="2"/>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评标价</w:t>
            </w:r>
          </w:p>
          <w:p>
            <w:pPr>
              <w:adjustRightInd w:val="0"/>
              <w:spacing w:line="360" w:lineRule="exact"/>
              <w:contextualSpacing/>
              <w:jc w:val="center"/>
              <w:rPr>
                <w:rFonts w:hint="eastAsia" w:ascii="宋体" w:hAnsi="宋体" w:eastAsia="宋体" w:cs="宋体"/>
                <w:color w:val="000000"/>
                <w:sz w:val="21"/>
                <w:szCs w:val="21"/>
                <w:highlight w:val="none"/>
              </w:rPr>
            </w:pPr>
          </w:p>
        </w:tc>
        <w:tc>
          <w:tcPr>
            <w:tcW w:w="709" w:type="dxa"/>
            <w:tcBorders>
              <w:tl2br w:val="nil"/>
              <w:tr2bl w:val="nil"/>
            </w:tcBorders>
            <w:noWrap w:val="0"/>
            <w:vAlign w:val="center"/>
          </w:tcPr>
          <w:p>
            <w:pPr>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10分</w:t>
            </w:r>
          </w:p>
        </w:tc>
        <w:tc>
          <w:tcPr>
            <w:tcW w:w="7105" w:type="dxa"/>
            <w:gridSpan w:val="5"/>
            <w:tcBorders>
              <w:tl2br w:val="nil"/>
              <w:tr2bl w:val="nil"/>
            </w:tcBorders>
            <w:noWrap w:val="0"/>
            <w:vAlign w:val="center"/>
          </w:tcPr>
          <w:p>
            <w:pPr>
              <w:pStyle w:val="11"/>
              <w:spacing w:line="360" w:lineRule="exact"/>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评标价得分计算公式示例：</w:t>
            </w:r>
          </w:p>
          <w:p>
            <w:pPr>
              <w:pStyle w:val="11"/>
              <w:spacing w:line="360" w:lineRule="exact"/>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（1）如果投标人的评标价&gt;评标基准价，则评标价得分＝F－偏差率×100× E1；</w:t>
            </w:r>
          </w:p>
          <w:p>
            <w:pPr>
              <w:pStyle w:val="11"/>
              <w:spacing w:line="360" w:lineRule="exact"/>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（2）如果投标人的评标价≤评标基准价，则评标价得分＝F＋偏差率× 100× E2。</w:t>
            </w:r>
          </w:p>
          <w:p>
            <w:pPr>
              <w:pStyle w:val="11"/>
              <w:spacing w:line="360" w:lineRule="exact"/>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其中：F是投标价所占的评分满分值10分，E1是评标价每高于评标基准价一个百分点的扣分值0.</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，E2是评标价每低于评标基准价一个百分点的扣分值0.</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投标价最低得分为0分。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61" w:hRule="atLeast"/>
          <w:jc w:val="center"/>
        </w:trPr>
        <w:tc>
          <w:tcPr>
            <w:tcW w:w="713" w:type="dxa"/>
            <w:vMerge w:val="restart"/>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2.2.4（4）</w:t>
            </w:r>
          </w:p>
          <w:p>
            <w:pPr>
              <w:adjustRightInd w:val="0"/>
              <w:spacing w:line="360" w:lineRule="exact"/>
              <w:contextualSpacing/>
              <w:jc w:val="center"/>
              <w:rPr>
                <w:rFonts w:hint="eastAsia" w:ascii="宋体" w:hAnsi="宋体" w:eastAsia="宋体" w:cs="宋体"/>
                <w:color w:val="000000"/>
                <w:sz w:val="21"/>
                <w:szCs w:val="21"/>
                <w:highlight w:val="none"/>
              </w:rPr>
            </w:pPr>
          </w:p>
        </w:tc>
        <w:tc>
          <w:tcPr>
            <w:tcW w:w="275" w:type="dxa"/>
            <w:vMerge w:val="restart"/>
            <w:tcBorders>
              <w:tl2br w:val="nil"/>
              <w:tr2bl w:val="nil"/>
            </w:tcBorders>
            <w:noWrap w:val="0"/>
            <w:vAlign w:val="center"/>
          </w:tcPr>
          <w:p>
            <w:pPr>
              <w:adjustRightInd w:val="0"/>
              <w:spacing w:line="360" w:lineRule="exact"/>
              <w:ind w:left="0" w:leftChars="0" w:firstLine="0" w:firstLineChars="0"/>
              <w:contextualSpacing/>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其他因素</w:t>
            </w:r>
          </w:p>
        </w:tc>
        <w:tc>
          <w:tcPr>
            <w:tcW w:w="439" w:type="dxa"/>
            <w:vMerge w:val="restart"/>
            <w:tcBorders>
              <w:tl2br w:val="nil"/>
              <w:tr2bl w:val="nil"/>
            </w:tcBorders>
            <w:noWrap w:val="0"/>
            <w:vAlign w:val="center"/>
          </w:tcPr>
          <w:p>
            <w:pPr>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技术能力</w:t>
            </w:r>
          </w:p>
        </w:tc>
        <w:tc>
          <w:tcPr>
            <w:tcW w:w="709" w:type="dxa"/>
            <w:vMerge w:val="restart"/>
            <w:tcBorders>
              <w:tl2br w:val="nil"/>
              <w:tr2bl w:val="nil"/>
            </w:tcBorders>
            <w:noWrap w:val="0"/>
            <w:vAlign w:val="center"/>
          </w:tcPr>
          <w:p>
            <w:pPr>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5分</w:t>
            </w:r>
          </w:p>
        </w:tc>
        <w:tc>
          <w:tcPr>
            <w:tcW w:w="1133" w:type="dxa"/>
            <w:tcBorders>
              <w:tl2br w:val="nil"/>
              <w:tr2bl w:val="nil"/>
            </w:tcBorders>
            <w:noWrap w:val="0"/>
            <w:vAlign w:val="center"/>
          </w:tcPr>
          <w:p>
            <w:pPr>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基本分</w:t>
            </w:r>
          </w:p>
        </w:tc>
        <w:tc>
          <w:tcPr>
            <w:tcW w:w="705" w:type="dxa"/>
            <w:tcBorders>
              <w:tl2br w:val="nil"/>
              <w:tr2bl w:val="nil"/>
            </w:tcBorders>
            <w:noWrap w:val="0"/>
            <w:vAlign w:val="center"/>
          </w:tcPr>
          <w:p>
            <w:pPr>
              <w:tabs>
                <w:tab w:val="left" w:pos="460"/>
              </w:tabs>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3分</w:t>
            </w:r>
          </w:p>
        </w:tc>
        <w:tc>
          <w:tcPr>
            <w:tcW w:w="5267" w:type="dxa"/>
            <w:gridSpan w:val="3"/>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满足招标文件资格审查条件最低要求的，得基本分3分。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118" w:hRule="atLeast"/>
          <w:jc w:val="center"/>
        </w:trPr>
        <w:tc>
          <w:tcPr>
            <w:tcW w:w="713" w:type="dxa"/>
            <w:vMerge w:val="continue"/>
            <w:tcBorders>
              <w:tl2br w:val="nil"/>
              <w:tr2bl w:val="nil"/>
            </w:tcBorders>
            <w:noWrap w:val="0"/>
            <w:vAlign w:val="center"/>
          </w:tcPr>
          <w:p>
            <w:pPr>
              <w:pStyle w:val="11"/>
              <w:spacing w:line="360" w:lineRule="exact"/>
              <w:contextualSpacing/>
              <w:jc w:val="center"/>
              <w:rPr>
                <w:rFonts w:hint="eastAsia" w:ascii="宋体" w:hAnsi="宋体" w:eastAsia="宋体" w:cs="宋体"/>
                <w:sz w:val="21"/>
                <w:szCs w:val="21"/>
                <w:highlight w:val="none"/>
              </w:rPr>
            </w:pPr>
          </w:p>
        </w:tc>
        <w:tc>
          <w:tcPr>
            <w:tcW w:w="275"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439"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709"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1133" w:type="dxa"/>
            <w:tcBorders>
              <w:tl2br w:val="nil"/>
              <w:tr2bl w:val="nil"/>
            </w:tcBorders>
            <w:noWrap w:val="0"/>
            <w:vAlign w:val="center"/>
          </w:tcPr>
          <w:p>
            <w:pPr>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获奖情况</w:t>
            </w:r>
          </w:p>
        </w:tc>
        <w:tc>
          <w:tcPr>
            <w:tcW w:w="705" w:type="dxa"/>
            <w:tcBorders>
              <w:tl2br w:val="nil"/>
              <w:tr2bl w:val="nil"/>
            </w:tcBorders>
            <w:noWrap w:val="0"/>
            <w:vAlign w:val="center"/>
          </w:tcPr>
          <w:p>
            <w:pPr>
              <w:tabs>
                <w:tab w:val="left" w:pos="460"/>
              </w:tabs>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2分</w:t>
            </w:r>
          </w:p>
        </w:tc>
        <w:tc>
          <w:tcPr>
            <w:tcW w:w="5267" w:type="dxa"/>
            <w:gridSpan w:val="3"/>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投标人工程勘察设计项目获省、部级及以上的优秀工程设计奖或科研项目获科学技术进步奖的每一个奖项加1分，本项最高得2分。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713"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275"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439" w:type="dxa"/>
            <w:vMerge w:val="restart"/>
            <w:tcBorders>
              <w:tl2br w:val="nil"/>
              <w:tr2bl w:val="nil"/>
            </w:tcBorders>
            <w:noWrap w:val="0"/>
            <w:vAlign w:val="center"/>
          </w:tcPr>
          <w:p>
            <w:pPr>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业绩</w:t>
            </w:r>
          </w:p>
        </w:tc>
        <w:tc>
          <w:tcPr>
            <w:tcW w:w="709" w:type="dxa"/>
            <w:vMerge w:val="restart"/>
            <w:tcBorders>
              <w:tl2br w:val="nil"/>
              <w:tr2bl w:val="nil"/>
            </w:tcBorders>
            <w:noWrap w:val="0"/>
            <w:vAlign w:val="center"/>
          </w:tcPr>
          <w:p>
            <w:pPr>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分</w:t>
            </w:r>
          </w:p>
        </w:tc>
        <w:tc>
          <w:tcPr>
            <w:tcW w:w="1133" w:type="dxa"/>
            <w:tcBorders>
              <w:tl2br w:val="nil"/>
              <w:tr2bl w:val="nil"/>
            </w:tcBorders>
            <w:noWrap w:val="0"/>
            <w:vAlign w:val="center"/>
          </w:tcPr>
          <w:p>
            <w:pPr>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基本分</w:t>
            </w:r>
          </w:p>
        </w:tc>
        <w:tc>
          <w:tcPr>
            <w:tcW w:w="705" w:type="dxa"/>
            <w:tcBorders>
              <w:tl2br w:val="nil"/>
              <w:tr2bl w:val="nil"/>
            </w:tcBorders>
            <w:noWrap w:val="0"/>
            <w:vAlign w:val="center"/>
          </w:tcPr>
          <w:p>
            <w:pPr>
              <w:tabs>
                <w:tab w:val="left" w:pos="460"/>
              </w:tabs>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分</w:t>
            </w:r>
          </w:p>
        </w:tc>
        <w:tc>
          <w:tcPr>
            <w:tcW w:w="5267" w:type="dxa"/>
            <w:gridSpan w:val="3"/>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满足招标文件资格审查条件最低要求的，得基本分</w:t>
            </w: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713"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275"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439"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709"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1133" w:type="dxa"/>
            <w:tcBorders>
              <w:tl2br w:val="nil"/>
              <w:tr2bl w:val="nil"/>
            </w:tcBorders>
            <w:noWrap w:val="0"/>
            <w:vAlign w:val="center"/>
          </w:tcPr>
          <w:p>
            <w:pPr>
              <w:autoSpaceDE w:val="0"/>
              <w:autoSpaceDN w:val="0"/>
              <w:adjustRightInd w:val="0"/>
              <w:spacing w:line="360" w:lineRule="exact"/>
              <w:contextualSpacing/>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业绩</w:t>
            </w:r>
          </w:p>
        </w:tc>
        <w:tc>
          <w:tcPr>
            <w:tcW w:w="705" w:type="dxa"/>
            <w:tcBorders>
              <w:tl2br w:val="nil"/>
              <w:tr2bl w:val="nil"/>
            </w:tcBorders>
            <w:noWrap w:val="0"/>
            <w:vAlign w:val="center"/>
          </w:tcPr>
          <w:p>
            <w:pPr>
              <w:tabs>
                <w:tab w:val="left" w:pos="460"/>
              </w:tabs>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分</w:t>
            </w:r>
          </w:p>
        </w:tc>
        <w:tc>
          <w:tcPr>
            <w:tcW w:w="5267" w:type="dxa"/>
            <w:gridSpan w:val="3"/>
            <w:tcBorders>
              <w:tl2br w:val="nil"/>
              <w:tr2bl w:val="nil"/>
            </w:tcBorders>
            <w:noWrap w:val="0"/>
            <w:vAlign w:val="center"/>
          </w:tcPr>
          <w:p>
            <w:pPr>
              <w:adjustRightInd w:val="0"/>
              <w:spacing w:line="360" w:lineRule="exact"/>
              <w:ind w:firstLine="210" w:firstLineChars="100"/>
              <w:contextualSpacing/>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投标人近5年每完成1个高速公路隧道机电系统设计或高速公路勘察设计含隧道机电设计项目的业绩的加2分，最高加8分。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85" w:hRule="atLeast"/>
          <w:jc w:val="center"/>
        </w:trPr>
        <w:tc>
          <w:tcPr>
            <w:tcW w:w="713"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275" w:type="dxa"/>
            <w:vMerge w:val="continue"/>
            <w:tcBorders>
              <w:tl2br w:val="nil"/>
              <w:tr2bl w:val="nil"/>
            </w:tcBorders>
            <w:noWrap w:val="0"/>
            <w:vAlign w:val="center"/>
          </w:tcPr>
          <w:p>
            <w:pPr>
              <w:adjustRightInd w:val="0"/>
              <w:spacing w:line="360" w:lineRule="exact"/>
              <w:contextualSpacing/>
              <w:jc w:val="center"/>
              <w:rPr>
                <w:rFonts w:hint="eastAsia" w:ascii="宋体" w:hAnsi="宋体" w:eastAsia="宋体" w:cs="宋体"/>
                <w:color w:val="000000"/>
                <w:sz w:val="21"/>
                <w:szCs w:val="21"/>
                <w:highlight w:val="none"/>
              </w:rPr>
            </w:pPr>
          </w:p>
        </w:tc>
        <w:tc>
          <w:tcPr>
            <w:tcW w:w="439" w:type="dxa"/>
            <w:tcBorders>
              <w:tl2br w:val="nil"/>
              <w:tr2bl w:val="nil"/>
            </w:tcBorders>
            <w:noWrap w:val="0"/>
            <w:vAlign w:val="center"/>
          </w:tcPr>
          <w:p>
            <w:pPr>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履约信誉</w:t>
            </w:r>
          </w:p>
        </w:tc>
        <w:tc>
          <w:tcPr>
            <w:tcW w:w="709" w:type="dxa"/>
            <w:tcBorders>
              <w:tl2br w:val="nil"/>
              <w:tr2bl w:val="nil"/>
            </w:tcBorders>
            <w:noWrap w:val="0"/>
            <w:vAlign w:val="center"/>
          </w:tcPr>
          <w:p>
            <w:pPr>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5分</w:t>
            </w:r>
          </w:p>
        </w:tc>
        <w:tc>
          <w:tcPr>
            <w:tcW w:w="1133" w:type="dxa"/>
            <w:tcBorders>
              <w:tl2br w:val="nil"/>
              <w:tr2bl w:val="nil"/>
            </w:tcBorders>
            <w:noWrap w:val="0"/>
            <w:vAlign w:val="center"/>
          </w:tcPr>
          <w:p>
            <w:pPr>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履约信誉</w:t>
            </w:r>
          </w:p>
        </w:tc>
        <w:tc>
          <w:tcPr>
            <w:tcW w:w="705" w:type="dxa"/>
            <w:tcBorders>
              <w:tl2br w:val="nil"/>
              <w:tr2bl w:val="nil"/>
            </w:tcBorders>
            <w:noWrap w:val="0"/>
            <w:vAlign w:val="center"/>
          </w:tcPr>
          <w:p>
            <w:pPr>
              <w:autoSpaceDE w:val="0"/>
              <w:autoSpaceDN w:val="0"/>
              <w:adjustRightInd w:val="0"/>
              <w:spacing w:line="360" w:lineRule="exact"/>
              <w:ind w:left="0" w:leftChars="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5分</w:t>
            </w:r>
          </w:p>
        </w:tc>
        <w:tc>
          <w:tcPr>
            <w:tcW w:w="5267" w:type="dxa"/>
            <w:gridSpan w:val="3"/>
            <w:tcBorders>
              <w:tl2br w:val="nil"/>
              <w:tr2bl w:val="nil"/>
            </w:tcBorders>
            <w:noWrap w:val="0"/>
            <w:vAlign w:val="center"/>
          </w:tcPr>
          <w:p>
            <w:pPr>
              <w:adjustRightInd w:val="0"/>
              <w:spacing w:line="360" w:lineRule="exact"/>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满足招标文件资格审查条件最低要求的，得基本分5分。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581" w:hRule="atLeast"/>
          <w:jc w:val="center"/>
        </w:trPr>
        <w:tc>
          <w:tcPr>
            <w:tcW w:w="9241" w:type="dxa"/>
            <w:gridSpan w:val="9"/>
            <w:tcBorders>
              <w:tl2br w:val="nil"/>
              <w:tr2bl w:val="nil"/>
            </w:tcBorders>
            <w:noWrap w:val="0"/>
            <w:vAlign w:val="center"/>
          </w:tcPr>
          <w:p>
            <w:pPr>
              <w:adjustRightInd w:val="0"/>
              <w:spacing w:line="320" w:lineRule="exact"/>
              <w:ind w:firstLine="42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需要补充的其他内容：</w:t>
            </w:r>
          </w:p>
          <w:p>
            <w:pPr>
              <w:adjustRightInd w:val="0"/>
              <w:spacing w:line="360" w:lineRule="exact"/>
              <w:contextualSpacing/>
              <w:jc w:val="lef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招标人应根据项目具体情况确定各评分因素及评分因素权重分值，并对各评分因素进行细分（如有）、确定各评分因素细分项的分值，各评分因素权重分值合计应为 100 分。 各评分因素（评标价和履约信誉评分项除外） 得分一般不得低于其权重分值的 60%，且各评分因素得分应以评标委员会各成员的打分平均值确定，评标委员会成员总数为7人以上时， 该平均值以去掉一个最高分和一个最低分后计算。评标委员会成员对某一项评分因素的评分低于权重分值 60%的，应在评标报告中作出说明。</w:t>
            </w:r>
          </w:p>
        </w:tc>
      </w:tr>
    </w:tbl>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bookmarkStart w:id="8" w:name="_GoBack"/>
      <w:bookmarkEnd w:id="8"/>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15481"/>
    <w:rsid w:val="04C71D67"/>
    <w:rsid w:val="061D4332"/>
    <w:rsid w:val="168C540A"/>
    <w:rsid w:val="56915481"/>
    <w:rsid w:val="79ED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Calibri" w:hAnsi="Calibri" w:eastAsia="宋体" w:cs="Times New Roman"/>
      <w:kern w:val="2"/>
      <w:sz w:val="24"/>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qFormat/>
    <w:uiPriority w:val="9"/>
    <w:pPr>
      <w:keepNext/>
      <w:keepLines/>
      <w:spacing w:before="260" w:after="260" w:line="416" w:lineRule="auto"/>
      <w:outlineLvl w:val="2"/>
    </w:pPr>
    <w:rPr>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qFormat/>
    <w:uiPriority w:val="0"/>
    <w:rPr>
      <w:rFonts w:eastAsia="宋体"/>
      <w:bCs/>
      <w:sz w:val="24"/>
    </w:rPr>
  </w:style>
  <w:style w:type="character" w:styleId="10">
    <w:name w:val="Hyperlink"/>
    <w:basedOn w:val="8"/>
    <w:qFormat/>
    <w:uiPriority w:val="0"/>
    <w:rPr>
      <w:color w:val="0000FF"/>
      <w:u w:val="single"/>
    </w:rPr>
  </w:style>
  <w:style w:type="paragraph" w:customStyle="1" w:styleId="11">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customStyle="1" w:styleId="12">
    <w:name w:val="Char Char Char Char Char Char1"/>
    <w:basedOn w:val="1"/>
    <w:qFormat/>
    <w:uiPriority w:val="0"/>
    <w:pPr>
      <w:ind w:firstLine="0" w:firstLineChars="0"/>
    </w:pPr>
    <w:rPr>
      <w:sz w:val="21"/>
    </w:rPr>
  </w:style>
  <w:style w:type="paragraph" w:customStyle="1" w:styleId="13">
    <w:name w:val="资审正文"/>
    <w:basedOn w:val="1"/>
    <w:qFormat/>
    <w:uiPriority w:val="0"/>
    <w:pPr>
      <w:spacing w:beforeLines="10" w:afterLines="10" w:line="460" w:lineRule="exact"/>
      <w:ind w:firstLine="520"/>
    </w:pPr>
    <w:rPr>
      <w:rFonts w:ascii="华文细黑" w:hAnsi="华文细黑"/>
      <w:sz w:val="26"/>
      <w:szCs w:val="26"/>
    </w:rPr>
  </w:style>
  <w:style w:type="paragraph" w:customStyle="1" w:styleId="14">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2021-08-19T01:00:00Z</dcterms:created>
  <dc:creator>WPS_1600825042</dc:creator>
  <cp:lastModifiedBy>WPS_1600825042</cp:lastModifiedBy>
  <dcterms:modified xsi:type="dcterms:W3CDTF">2021-08-19T08:00:36Z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C20BD66E9D274C46AF6D3AE5D56C62DD</vt:lpwstr>
  </property>
</Properties>
</file>