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20"/>
          <w:tab w:val="left" w:pos="5602"/>
        </w:tabs>
        <w:spacing w:before="224"/>
        <w:jc w:val="center"/>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lang w:eastAsia="zh-CN"/>
        </w:rPr>
        <w:t>大广高速公路龙杨段路面病害处治工程</w:t>
      </w:r>
      <w:r>
        <w:rPr>
          <w:rFonts w:hint="eastAsia" w:ascii="黑体" w:hAnsi="黑体" w:eastAsia="黑体" w:cs="黑体"/>
          <w:b/>
          <w:bCs/>
          <w:color w:val="auto"/>
          <w:sz w:val="36"/>
          <w:szCs w:val="36"/>
          <w:highlight w:val="none"/>
        </w:rPr>
        <w:t>施工招标公告</w:t>
      </w:r>
    </w:p>
    <w:p>
      <w:pPr>
        <w:pStyle w:val="2"/>
        <w:rPr>
          <w:rFonts w:hint="eastAsia"/>
          <w:highlight w:val="none"/>
        </w:rPr>
      </w:pPr>
    </w:p>
    <w:p>
      <w:pPr>
        <w:pStyle w:val="3"/>
        <w:spacing w:before="11"/>
        <w:rPr>
          <w:rFonts w:hint="eastAsia" w:ascii="宋体" w:hAnsi="宋体" w:eastAsia="宋体" w:cs="宋体"/>
          <w:color w:val="auto"/>
          <w:sz w:val="23"/>
          <w:highlight w:val="none"/>
        </w:rPr>
      </w:pPr>
    </w:p>
    <w:p>
      <w:pPr>
        <w:numPr>
          <w:ilvl w:val="0"/>
          <w:numId w:val="2"/>
        </w:numPr>
        <w:tabs>
          <w:tab w:val="left" w:pos="718"/>
        </w:tabs>
        <w:outlineLvl w:val="2"/>
        <w:rPr>
          <w:rFonts w:hint="eastAsia" w:ascii="宋体" w:hAnsi="宋体" w:eastAsia="宋体" w:cs="宋体"/>
          <w:b/>
          <w:color w:val="auto"/>
          <w:sz w:val="28"/>
          <w:highlight w:val="none"/>
        </w:rPr>
      </w:pPr>
      <w:bookmarkStart w:id="0" w:name="_bookmark1"/>
      <w:bookmarkEnd w:id="0"/>
      <w:bookmarkStart w:id="1" w:name="_Toc26092"/>
      <w:bookmarkStart w:id="2" w:name="_Toc31182"/>
      <w:r>
        <w:rPr>
          <w:rFonts w:hint="eastAsia" w:ascii="宋体" w:hAnsi="宋体" w:eastAsia="宋体" w:cs="宋体"/>
          <w:b/>
          <w:color w:val="auto"/>
          <w:sz w:val="28"/>
          <w:highlight w:val="none"/>
        </w:rPr>
        <w:t>招标条件</w:t>
      </w:r>
      <w:bookmarkEnd w:id="1"/>
      <w:bookmarkEnd w:id="2"/>
    </w:p>
    <w:p>
      <w:pPr>
        <w:pStyle w:val="3"/>
        <w:spacing w:before="11"/>
        <w:rPr>
          <w:rFonts w:hint="eastAsia" w:ascii="宋体" w:hAnsi="宋体" w:eastAsia="宋体" w:cs="宋体"/>
          <w:b/>
          <w:color w:val="auto"/>
          <w:sz w:val="25"/>
          <w:highlight w:val="none"/>
        </w:rPr>
      </w:pPr>
    </w:p>
    <w:p>
      <w:pPr>
        <w:pStyle w:val="3"/>
        <w:keepNext w:val="0"/>
        <w:keepLines w:val="0"/>
        <w:pageBreakBefore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6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本招标项目</w:t>
      </w:r>
      <w:r>
        <w:rPr>
          <w:rFonts w:hint="eastAsia" w:eastAsia="宋体" w:cs="宋体"/>
          <w:color w:val="auto"/>
          <w:highlight w:val="none"/>
          <w:u w:val="single"/>
          <w:lang w:eastAsia="zh-CN"/>
        </w:rPr>
        <w:t>大广高速公路龙杨段路面病害处治工程</w:t>
      </w:r>
      <w:r>
        <w:rPr>
          <w:rFonts w:hint="eastAsia" w:ascii="宋体" w:hAnsi="宋体" w:eastAsia="宋体" w:cs="宋体"/>
          <w:color w:val="auto"/>
          <w:highlight w:val="none"/>
        </w:rPr>
        <w:t>施工图设计已由</w:t>
      </w:r>
      <w:r>
        <w:rPr>
          <w:rFonts w:hint="eastAsia" w:eastAsia="宋体" w:cs="宋体"/>
          <w:color w:val="auto"/>
          <w:highlight w:val="none"/>
          <w:u w:val="single"/>
          <w:lang w:val="en-US" w:eastAsia="zh-CN"/>
        </w:rPr>
        <w:t>赣州交通控股集团有限公司</w:t>
      </w:r>
      <w:r>
        <w:rPr>
          <w:rFonts w:hint="eastAsia" w:ascii="宋体" w:hAnsi="宋体" w:eastAsia="宋体" w:cs="宋体"/>
          <w:color w:val="auto"/>
          <w:highlight w:val="none"/>
        </w:rPr>
        <w:t>以</w:t>
      </w:r>
      <w:r>
        <w:rPr>
          <w:rFonts w:hint="eastAsia" w:ascii="宋体" w:hAnsi="宋体" w:eastAsia="宋体" w:cs="宋体"/>
          <w:color w:val="auto"/>
          <w:highlight w:val="none"/>
          <w:u w:val="single"/>
          <w:lang w:val="en-US"/>
        </w:rPr>
        <w:t>赣市交控字[</w:t>
      </w:r>
      <w:r>
        <w:rPr>
          <w:rFonts w:hint="eastAsia" w:eastAsia="宋体" w:cs="宋体"/>
          <w:color w:val="auto"/>
          <w:highlight w:val="none"/>
          <w:u w:val="single"/>
          <w:lang w:val="en-US" w:eastAsia="zh-CN"/>
        </w:rPr>
        <w:t>2021</w:t>
      </w:r>
      <w:r>
        <w:rPr>
          <w:rFonts w:hint="eastAsia" w:ascii="宋体" w:hAnsi="宋体" w:eastAsia="宋体" w:cs="宋体"/>
          <w:color w:val="auto"/>
          <w:highlight w:val="none"/>
          <w:u w:val="single"/>
          <w:lang w:val="en-US"/>
        </w:rPr>
        <w:t>]</w:t>
      </w:r>
      <w:r>
        <w:rPr>
          <w:rFonts w:hint="eastAsia" w:eastAsia="宋体" w:cs="宋体"/>
          <w:color w:val="auto"/>
          <w:highlight w:val="none"/>
          <w:u w:val="single"/>
          <w:lang w:val="en-US" w:eastAsia="zh-CN"/>
        </w:rPr>
        <w:t>145</w:t>
      </w:r>
      <w:r>
        <w:rPr>
          <w:rFonts w:hint="eastAsia" w:ascii="宋体" w:hAnsi="宋体" w:eastAsia="宋体" w:cs="宋体"/>
          <w:color w:val="auto"/>
          <w:highlight w:val="none"/>
          <w:u w:val="single"/>
          <w:lang w:val="en-US"/>
        </w:rPr>
        <w:t>号文</w:t>
      </w:r>
      <w:r>
        <w:rPr>
          <w:rFonts w:hint="eastAsia" w:ascii="宋体" w:hAnsi="宋体" w:eastAsia="宋体" w:cs="宋体"/>
          <w:color w:val="auto"/>
          <w:highlight w:val="none"/>
        </w:rPr>
        <w:t>批准，项目业主为</w:t>
      </w:r>
      <w:r>
        <w:rPr>
          <w:rFonts w:hint="eastAsia" w:eastAsia="宋体" w:cs="宋体"/>
          <w:color w:val="auto"/>
          <w:highlight w:val="none"/>
          <w:u w:val="single"/>
          <w:lang w:eastAsia="zh-CN"/>
        </w:rPr>
        <w:t>赣州高速公路有限责任公司</w:t>
      </w:r>
      <w:r>
        <w:rPr>
          <w:rFonts w:hint="eastAsia" w:ascii="宋体" w:hAnsi="宋体" w:eastAsia="宋体" w:cs="宋体"/>
          <w:color w:val="auto"/>
          <w:spacing w:val="-32"/>
          <w:highlight w:val="none"/>
        </w:rPr>
        <w:t>，</w:t>
      </w:r>
      <w:r>
        <w:rPr>
          <w:rFonts w:hint="eastAsia" w:ascii="宋体" w:hAnsi="宋体" w:eastAsia="宋体" w:cs="宋体"/>
          <w:color w:val="auto"/>
          <w:highlight w:val="none"/>
        </w:rPr>
        <w:t>建设资金来自</w:t>
      </w:r>
      <w:r>
        <w:rPr>
          <w:rFonts w:hint="eastAsia" w:ascii="宋体" w:hAnsi="宋体" w:eastAsia="宋体" w:cs="宋体"/>
          <w:color w:val="auto"/>
          <w:highlight w:val="none"/>
          <w:u w:val="single"/>
          <w:lang w:val="en-US"/>
        </w:rPr>
        <w:t>业主自筹</w:t>
      </w:r>
      <w:r>
        <w:rPr>
          <w:rFonts w:hint="eastAsia" w:ascii="宋体" w:hAnsi="宋体" w:eastAsia="宋体" w:cs="宋体"/>
          <w:color w:val="auto"/>
          <w:spacing w:val="-76"/>
          <w:highlight w:val="none"/>
        </w:rPr>
        <w:t>，</w:t>
      </w:r>
      <w:r>
        <w:rPr>
          <w:rFonts w:hint="eastAsia" w:ascii="宋体" w:hAnsi="宋体" w:eastAsia="宋体" w:cs="宋体"/>
          <w:color w:val="auto"/>
          <w:highlight w:val="none"/>
        </w:rPr>
        <w:t>出资比例为</w:t>
      </w:r>
      <w:r>
        <w:rPr>
          <w:rFonts w:hint="eastAsia" w:ascii="宋体" w:hAnsi="宋体" w:eastAsia="宋体" w:cs="宋体"/>
          <w:color w:val="auto"/>
          <w:highlight w:val="none"/>
          <w:u w:val="single"/>
          <w:lang w:val="en-US"/>
        </w:rPr>
        <w:t>100%</w:t>
      </w:r>
      <w:r>
        <w:rPr>
          <w:rFonts w:hint="eastAsia" w:ascii="宋体" w:hAnsi="宋体" w:eastAsia="宋体" w:cs="宋体"/>
          <w:color w:val="auto"/>
          <w:spacing w:val="-32"/>
          <w:highlight w:val="none"/>
        </w:rPr>
        <w:t>，</w:t>
      </w:r>
      <w:r>
        <w:rPr>
          <w:rFonts w:hint="eastAsia" w:ascii="宋体" w:hAnsi="宋体" w:eastAsia="宋体" w:cs="宋体"/>
          <w:color w:val="auto"/>
          <w:highlight w:val="none"/>
        </w:rPr>
        <w:t>招标人为</w:t>
      </w:r>
      <w:r>
        <w:rPr>
          <w:rFonts w:hint="eastAsia" w:eastAsia="宋体" w:cs="宋体"/>
          <w:color w:val="auto"/>
          <w:highlight w:val="none"/>
          <w:u w:val="single"/>
          <w:lang w:eastAsia="zh-CN"/>
        </w:rPr>
        <w:t>赣州高速公路有限责任公司</w:t>
      </w:r>
      <w:r>
        <w:rPr>
          <w:rFonts w:hint="eastAsia" w:ascii="宋体" w:hAnsi="宋体" w:eastAsia="宋体" w:cs="宋体"/>
          <w:color w:val="auto"/>
          <w:spacing w:val="-32"/>
          <w:highlight w:val="none"/>
        </w:rPr>
        <w:t>。</w:t>
      </w:r>
      <w:r>
        <w:rPr>
          <w:rFonts w:hint="eastAsia" w:ascii="宋体" w:hAnsi="宋体" w:eastAsia="宋体" w:cs="宋体"/>
          <w:color w:val="auto"/>
          <w:highlight w:val="none"/>
        </w:rPr>
        <w:t>项目已具备招标条件</w:t>
      </w:r>
      <w:r>
        <w:rPr>
          <w:rFonts w:hint="eastAsia" w:ascii="宋体" w:hAnsi="宋体" w:eastAsia="宋体" w:cs="宋体"/>
          <w:color w:val="auto"/>
          <w:spacing w:val="-32"/>
          <w:highlight w:val="none"/>
        </w:rPr>
        <w:t>，</w:t>
      </w:r>
      <w:r>
        <w:rPr>
          <w:rFonts w:hint="eastAsia" w:ascii="宋体" w:hAnsi="宋体" w:eastAsia="宋体" w:cs="宋体"/>
          <w:color w:val="auto"/>
          <w:highlight w:val="none"/>
        </w:rPr>
        <w:t>现对该项目的施工进行公开招标。</w:t>
      </w:r>
    </w:p>
    <w:p>
      <w:pPr>
        <w:keepNext w:val="0"/>
        <w:keepLines w:val="0"/>
        <w:pageBreakBefore w:val="0"/>
        <w:numPr>
          <w:ilvl w:val="0"/>
          <w:numId w:val="2"/>
        </w:numPr>
        <w:tabs>
          <w:tab w:val="left" w:pos="718"/>
        </w:tabs>
        <w:kinsoku/>
        <w:wordWrap/>
        <w:overflowPunct/>
        <w:bidi w:val="0"/>
        <w:spacing w:before="154" w:line="360" w:lineRule="auto"/>
        <w:jc w:val="both"/>
        <w:textAlignment w:val="auto"/>
        <w:outlineLvl w:val="2"/>
        <w:rPr>
          <w:rFonts w:hint="eastAsia" w:ascii="宋体" w:hAnsi="宋体" w:eastAsia="宋体" w:cs="宋体"/>
          <w:b/>
          <w:color w:val="auto"/>
          <w:sz w:val="28"/>
          <w:highlight w:val="none"/>
        </w:rPr>
      </w:pPr>
      <w:bookmarkStart w:id="3" w:name="_bookmark2"/>
      <w:bookmarkEnd w:id="3"/>
      <w:bookmarkStart w:id="4" w:name="_Toc6643"/>
      <w:bookmarkStart w:id="5" w:name="_Toc22202"/>
      <w:r>
        <w:rPr>
          <w:rFonts w:hint="eastAsia" w:ascii="宋体" w:hAnsi="宋体" w:eastAsia="宋体" w:cs="宋体"/>
          <w:b/>
          <w:color w:val="auto"/>
          <w:sz w:val="28"/>
          <w:highlight w:val="none"/>
        </w:rPr>
        <w:t>项目概况与招标范围</w:t>
      </w:r>
      <w:bookmarkEnd w:id="4"/>
      <w:bookmarkEnd w:id="5"/>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0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（1）建设地点：</w:t>
      </w:r>
      <w:r>
        <w:rPr>
          <w:rFonts w:hint="eastAsia" w:ascii="宋体" w:hAnsi="宋体" w:eastAsia="宋体" w:cs="宋体"/>
          <w:color w:val="auto"/>
          <w:highlight w:val="none"/>
          <w:lang w:eastAsia="zh-CN"/>
        </w:rPr>
        <w:t>龙南</w:t>
      </w:r>
      <w:r>
        <w:rPr>
          <w:rFonts w:hint="eastAsia" w:eastAsia="宋体" w:cs="宋体"/>
          <w:color w:val="auto"/>
          <w:highlight w:val="none"/>
          <w:lang w:eastAsia="zh-CN"/>
        </w:rPr>
        <w:t>县</w:t>
      </w:r>
      <w:r>
        <w:rPr>
          <w:rFonts w:hint="eastAsia" w:ascii="宋体" w:hAnsi="宋体" w:eastAsia="宋体" w:cs="宋体"/>
          <w:color w:val="auto"/>
          <w:highlight w:val="none"/>
          <w:lang w:eastAsia="zh-CN"/>
        </w:rPr>
        <w:t>、全南县</w:t>
      </w:r>
      <w:r>
        <w:rPr>
          <w:rFonts w:hint="eastAsia" w:ascii="宋体" w:hAnsi="宋体" w:eastAsia="宋体" w:cs="宋体"/>
          <w:color w:val="auto"/>
          <w:highlight w:val="none"/>
        </w:rPr>
        <w:t>；</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0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bookmarkStart w:id="6" w:name="OLE_LINK14"/>
      <w:r>
        <w:rPr>
          <w:rFonts w:hint="eastAsia" w:ascii="宋体" w:hAnsi="宋体" w:eastAsia="宋体" w:cs="宋体"/>
          <w:color w:val="auto"/>
          <w:highlight w:val="none"/>
        </w:rPr>
        <w:t>项目性质：</w:t>
      </w:r>
      <w:bookmarkEnd w:id="6"/>
      <w:r>
        <w:rPr>
          <w:rFonts w:hint="eastAsia" w:ascii="宋体" w:hAnsi="宋体" w:eastAsia="宋体" w:cs="宋体"/>
          <w:color w:val="auto"/>
          <w:highlight w:val="none"/>
          <w:lang w:eastAsia="zh-CN"/>
        </w:rPr>
        <w:t>路面病害处治工程</w:t>
      </w:r>
      <w:r>
        <w:rPr>
          <w:rFonts w:hint="eastAsia" w:ascii="宋体" w:hAnsi="宋体" w:eastAsia="宋体" w:cs="宋体"/>
          <w:color w:val="auto"/>
          <w:highlight w:val="none"/>
        </w:rPr>
        <w:t xml:space="preserve">；       </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0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（3）工程概况：</w:t>
      </w:r>
    </w:p>
    <w:p>
      <w:pPr>
        <w:pStyle w:val="8"/>
        <w:keepNext w:val="0"/>
        <w:keepLines w:val="0"/>
        <w:pageBreakBefore w:val="0"/>
        <w:widowControl w:val="0"/>
        <w:numPr>
          <w:ilvl w:val="0"/>
          <w:numId w:val="0"/>
        </w:numPr>
        <w:kinsoku/>
        <w:wordWrap/>
        <w:overflowPunct/>
        <w:bidi w:val="0"/>
        <w:spacing w:line="300" w:lineRule="auto"/>
        <w:ind w:firstLine="480" w:firstLineChars="200"/>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路线起于龙南市里仁镇，与广东省连平县段相接，途径龙南、全南县，止于全南县杨村。路线全长61.073km。本项目为高速公路，设计速度 100Km/h，路基宽33.5米。大广高速龙杨段公路自通车以来，随着运营时间的推移，沥青路面就出现了不同程度的病害，如裂缝、车辙、坑槽、沉陷、龟裂、松散等病害，严重影响了道路的使用功能和服务质量。</w:t>
      </w:r>
      <w:r>
        <w:rPr>
          <w:rFonts w:hint="eastAsia" w:ascii="宋体" w:hAnsi="宋体" w:eastAsia="宋体" w:cs="宋体"/>
          <w:color w:val="auto"/>
          <w:sz w:val="24"/>
          <w:szCs w:val="24"/>
          <w:highlight w:val="none"/>
          <w:lang w:val="zh-CN" w:eastAsia="zh-CN" w:bidi="zh-CN"/>
        </w:rPr>
        <w:t>为了提高道路通行能力和服务水平。急需对大广高速公路（龙杨段）出现的路面病害进行处治。</w:t>
      </w:r>
      <w:r>
        <w:rPr>
          <w:rFonts w:hint="eastAsia" w:ascii="宋体" w:hAnsi="宋体" w:eastAsia="宋体" w:cs="宋体"/>
          <w:color w:val="auto"/>
          <w:sz w:val="24"/>
          <w:szCs w:val="24"/>
          <w:highlight w:val="none"/>
          <w:lang w:val="en-US" w:eastAsia="zh-CN" w:bidi="zh-CN"/>
        </w:rPr>
        <w:t>建安费约为5187万元。</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0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（4）计划工期:</w:t>
      </w:r>
      <w:r>
        <w:rPr>
          <w:rFonts w:hint="eastAsia" w:eastAsia="宋体" w:cs="宋体"/>
          <w:color w:val="auto"/>
          <w:highlight w:val="none"/>
          <w:lang w:val="en-US" w:eastAsia="zh-CN"/>
        </w:rPr>
        <w:t>90日历天</w:t>
      </w:r>
      <w:r>
        <w:rPr>
          <w:rFonts w:hint="eastAsia" w:ascii="宋体" w:hAnsi="宋体" w:eastAsia="宋体" w:cs="宋体"/>
          <w:color w:val="auto"/>
          <w:highlight w:val="none"/>
        </w:rPr>
        <w:t>；</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00" w:lineRule="auto"/>
        <w:ind w:right="232" w:firstLine="480" w:firstLineChars="200"/>
        <w:jc w:val="both"/>
        <w:textAlignment w:val="auto"/>
        <w:rPr>
          <w:rFonts w:hint="eastAsia" w:ascii="宋体" w:hAnsi="宋体" w:eastAsia="宋体" w:cs="宋体"/>
          <w:color w:val="auto"/>
          <w:highlight w:val="none"/>
        </w:rPr>
      </w:pPr>
      <w:bookmarkStart w:id="7" w:name="_Toc251405531"/>
      <w:bookmarkStart w:id="8" w:name="_Toc251311788"/>
      <w:bookmarkStart w:id="9" w:name="_Toc246687273"/>
      <w:bookmarkStart w:id="10" w:name="_Toc245436929"/>
      <w:bookmarkStart w:id="11" w:name="_Toc251405727"/>
      <w:bookmarkStart w:id="12" w:name="_Toc246050791"/>
      <w:bookmarkStart w:id="13" w:name="_Toc246300072"/>
      <w:bookmarkStart w:id="14" w:name="_Toc245567558"/>
      <w:bookmarkStart w:id="15" w:name="_Toc245388704"/>
      <w:bookmarkStart w:id="16" w:name="_Toc245292075"/>
      <w:bookmarkStart w:id="17" w:name="_Toc246911479"/>
      <w:bookmarkStart w:id="18" w:name="_Toc246299429"/>
      <w:bookmarkStart w:id="19" w:name="_Toc251788053"/>
      <w:bookmarkStart w:id="20" w:name="_Toc245358272"/>
      <w:bookmarkStart w:id="21" w:name="_Toc251658769"/>
      <w:bookmarkStart w:id="22" w:name="_Toc245374230"/>
      <w:bookmarkStart w:id="23" w:name="_Toc245548095"/>
      <w:bookmarkStart w:id="24" w:name="_Toc250908462"/>
      <w:bookmarkStart w:id="25" w:name="_Toc245388138"/>
      <w:bookmarkStart w:id="26" w:name="_Toc246338190"/>
      <w:r>
        <w:rPr>
          <w:rFonts w:hint="eastAsia" w:ascii="宋体" w:hAnsi="宋体" w:eastAsia="宋体" w:cs="宋体"/>
          <w:color w:val="auto"/>
          <w:highlight w:val="none"/>
        </w:rPr>
        <w:t>（5）招标范围：</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eastAsia" w:ascii="宋体" w:hAnsi="宋体" w:eastAsia="宋体" w:cs="宋体"/>
          <w:color w:val="auto"/>
          <w:highlight w:val="none"/>
        </w:rPr>
        <w:t>工程量清单及招标图纸所涵盖的所有内容；</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0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（6）标段划分：一个合同段；</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0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（7）资格审查方式：资格后审；</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00" w:lineRule="auto"/>
        <w:ind w:right="232"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）评标办法：合理低价法；</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0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bookmarkStart w:id="27" w:name="OLE_LINK13"/>
      <w:r>
        <w:rPr>
          <w:rFonts w:hint="eastAsia" w:ascii="宋体" w:hAnsi="宋体" w:eastAsia="宋体" w:cs="宋体"/>
          <w:color w:val="auto"/>
          <w:highlight w:val="none"/>
        </w:rPr>
        <w:t>工程质量要求达到公路工程质量检验评定标准交工验收合格</w:t>
      </w:r>
      <w:bookmarkEnd w:id="27"/>
      <w:r>
        <w:rPr>
          <w:rFonts w:hint="eastAsia" w:ascii="宋体" w:hAnsi="宋体" w:eastAsia="宋体" w:cs="宋体"/>
          <w:color w:val="auto"/>
          <w:highlight w:val="none"/>
        </w:rPr>
        <w:t>等级，竣工验收合格等级。</w:t>
      </w:r>
    </w:p>
    <w:p>
      <w:pPr>
        <w:keepNext w:val="0"/>
        <w:keepLines w:val="0"/>
        <w:pageBreakBefore w:val="0"/>
        <w:numPr>
          <w:ilvl w:val="0"/>
          <w:numId w:val="2"/>
        </w:numPr>
        <w:tabs>
          <w:tab w:val="left" w:pos="718"/>
        </w:tabs>
        <w:kinsoku/>
        <w:wordWrap/>
        <w:overflowPunct/>
        <w:bidi w:val="0"/>
        <w:spacing w:before="152" w:line="360" w:lineRule="auto"/>
        <w:ind w:left="714" w:hanging="346"/>
        <w:jc w:val="both"/>
        <w:textAlignment w:val="auto"/>
        <w:outlineLvl w:val="2"/>
        <w:rPr>
          <w:rFonts w:hint="eastAsia" w:ascii="宋体" w:hAnsi="宋体" w:eastAsia="宋体" w:cs="宋体"/>
          <w:b/>
          <w:color w:val="auto"/>
          <w:sz w:val="28"/>
          <w:highlight w:val="none"/>
        </w:rPr>
      </w:pPr>
      <w:bookmarkStart w:id="28" w:name="_bookmark3"/>
      <w:bookmarkEnd w:id="28"/>
      <w:bookmarkStart w:id="29" w:name="_Toc22760"/>
      <w:bookmarkStart w:id="30" w:name="_Toc7819"/>
      <w:r>
        <w:rPr>
          <w:rFonts w:hint="eastAsia" w:ascii="宋体" w:hAnsi="宋体" w:eastAsia="宋体" w:cs="宋体"/>
          <w:b/>
          <w:color w:val="auto"/>
          <w:sz w:val="28"/>
          <w:highlight w:val="none"/>
        </w:rPr>
        <w:t>投标人资格要求</w:t>
      </w:r>
      <w:bookmarkEnd w:id="29"/>
      <w:bookmarkEnd w:id="30"/>
    </w:p>
    <w:p>
      <w:pPr>
        <w:pStyle w:val="3"/>
        <w:keepNext w:val="0"/>
        <w:keepLines w:val="0"/>
        <w:pageBreakBefore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60" w:lineRule="auto"/>
        <w:ind w:right="232" w:firstLine="48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rPr>
        <w:t>3.1</w:t>
      </w:r>
      <w:r>
        <w:rPr>
          <w:rFonts w:hint="eastAsia" w:ascii="宋体" w:hAnsi="宋体" w:eastAsia="宋体" w:cs="宋体"/>
          <w:color w:val="auto"/>
          <w:highlight w:val="none"/>
          <w:lang w:val="en-US"/>
        </w:rPr>
        <w:t>本次招标要求投标人须具备</w:t>
      </w:r>
      <w:r>
        <w:rPr>
          <w:rFonts w:hint="eastAsia" w:eastAsia="宋体" w:cs="宋体"/>
          <w:color w:val="auto"/>
          <w:highlight w:val="none"/>
          <w:lang w:val="en-US" w:eastAsia="zh-CN"/>
        </w:rPr>
        <w:t>的</w:t>
      </w:r>
      <w:r>
        <w:rPr>
          <w:rFonts w:hint="eastAsia" w:ascii="宋体" w:hAnsi="宋体" w:eastAsia="宋体" w:cs="宋体"/>
          <w:color w:val="auto"/>
          <w:highlight w:val="none"/>
          <w:lang w:val="en-US"/>
        </w:rPr>
        <w:t>资质</w:t>
      </w:r>
      <w:r>
        <w:rPr>
          <w:rFonts w:hint="eastAsia" w:eastAsia="宋体" w:cs="宋体"/>
          <w:color w:val="auto"/>
          <w:highlight w:val="none"/>
          <w:lang w:val="en-US" w:eastAsia="zh-CN"/>
        </w:rPr>
        <w:t>条件</w:t>
      </w:r>
      <w:r>
        <w:rPr>
          <w:rFonts w:hint="eastAsia" w:ascii="宋体" w:hAnsi="宋体" w:eastAsia="宋体" w:cs="宋体"/>
          <w:color w:val="auto"/>
          <w:highlight w:val="none"/>
          <w:lang w:val="en-US"/>
        </w:rPr>
        <w:t>、</w:t>
      </w:r>
      <w:r>
        <w:rPr>
          <w:rFonts w:hint="eastAsia" w:eastAsia="宋体" w:cs="宋体"/>
          <w:color w:val="auto"/>
          <w:highlight w:val="none"/>
          <w:lang w:val="en-US" w:eastAsia="zh-CN"/>
        </w:rPr>
        <w:t>财务要求、</w:t>
      </w:r>
      <w:r>
        <w:rPr>
          <w:rFonts w:hint="eastAsia" w:ascii="宋体" w:hAnsi="宋体" w:eastAsia="宋体" w:cs="宋体"/>
          <w:color w:val="auto"/>
          <w:highlight w:val="none"/>
          <w:lang w:val="en-US"/>
        </w:rPr>
        <w:t>业绩</w:t>
      </w:r>
      <w:r>
        <w:rPr>
          <w:rFonts w:hint="eastAsia" w:eastAsia="宋体" w:cs="宋体"/>
          <w:color w:val="auto"/>
          <w:highlight w:val="none"/>
          <w:lang w:val="en-US" w:eastAsia="zh-CN"/>
        </w:rPr>
        <w:t>要求、信誉要求、项目经理和项目总工资格要求见附表一、附表二、附表三、附表四、附表五</w:t>
      </w:r>
      <w:r>
        <w:rPr>
          <w:rFonts w:hint="eastAsia" w:ascii="宋体" w:hAnsi="宋体" w:eastAsia="宋体" w:cs="宋体"/>
          <w:color w:val="auto"/>
          <w:highlight w:val="none"/>
          <w:lang w:val="en-US"/>
        </w:rPr>
        <w:t>，并在设备等方面具有相应的施工能力。其中，具备公路工程施工资质的投标人应进入交通运输部“ 全国公路建设市场信用信息管理系统（http：//glxy.mot.gov.cn）”中的公路工程施工资质企业名录，且投标人名称和资质与该名录中的相应企业名称和资质完全一致。</w:t>
      </w:r>
    </w:p>
    <w:p>
      <w:pPr>
        <w:pStyle w:val="3"/>
        <w:keepNext w:val="0"/>
        <w:keepLines w:val="0"/>
        <w:pageBreakBefore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6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3.2本次招标不接受联合体投标。</w:t>
      </w:r>
    </w:p>
    <w:p>
      <w:pPr>
        <w:pStyle w:val="3"/>
        <w:keepNext w:val="0"/>
        <w:keepLines w:val="0"/>
        <w:pageBreakBefore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6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3.3每个投标人最多可对</w:t>
      </w:r>
      <w:r>
        <w:rPr>
          <w:rFonts w:hint="eastAsia" w:ascii="宋体" w:hAnsi="宋体" w:eastAsia="宋体" w:cs="宋体"/>
          <w:color w:val="auto"/>
          <w:highlight w:val="none"/>
          <w:u w:val="single"/>
          <w:lang w:val="en-US"/>
        </w:rPr>
        <w:t>1</w:t>
      </w:r>
      <w:r>
        <w:rPr>
          <w:rFonts w:hint="eastAsia" w:ascii="宋体" w:hAnsi="宋体" w:eastAsia="宋体" w:cs="宋体"/>
          <w:color w:val="auto"/>
          <w:highlight w:val="none"/>
        </w:rPr>
        <w:t>个标段投标；被招标项目所在地省级交通运输主管部门评为</w:t>
      </w:r>
      <w:r>
        <w:rPr>
          <w:rFonts w:hint="eastAsia" w:ascii="宋体" w:hAnsi="宋体" w:eastAsia="宋体" w:cs="宋体"/>
          <w:color w:val="auto"/>
          <w:highlight w:val="none"/>
          <w:u w:val="single"/>
        </w:rPr>
        <w:t>/</w:t>
      </w:r>
      <w:r>
        <w:rPr>
          <w:rFonts w:hint="eastAsia" w:ascii="宋体" w:hAnsi="宋体" w:eastAsia="宋体" w:cs="宋体"/>
          <w:color w:val="auto"/>
          <w:highlight w:val="none"/>
        </w:rPr>
        <w:t>信用等级的投标人，最多可对</w:t>
      </w:r>
      <w:r>
        <w:rPr>
          <w:rFonts w:hint="eastAsia" w:ascii="宋体" w:hAnsi="宋体" w:eastAsia="宋体" w:cs="宋体"/>
          <w:color w:val="auto"/>
          <w:highlight w:val="none"/>
          <w:u w:val="single"/>
          <w:lang w:val="en-US"/>
        </w:rPr>
        <w:t>1</w:t>
      </w:r>
      <w:r>
        <w:rPr>
          <w:rFonts w:hint="eastAsia" w:ascii="宋体" w:hAnsi="宋体" w:eastAsia="宋体" w:cs="宋体"/>
          <w:color w:val="auto"/>
          <w:highlight w:val="none"/>
        </w:rPr>
        <w:t>个标段投标。每个投标人允许中</w:t>
      </w:r>
      <w:r>
        <w:rPr>
          <w:rFonts w:hint="eastAsia" w:ascii="宋体" w:hAnsi="宋体" w:eastAsia="宋体" w:cs="宋体"/>
          <w:color w:val="auto"/>
          <w:highlight w:val="none"/>
          <w:u w:val="single"/>
        </w:rPr>
        <w:t>1</w:t>
      </w:r>
      <w:r>
        <w:rPr>
          <w:rFonts w:hint="eastAsia" w:ascii="宋体" w:hAnsi="宋体" w:eastAsia="宋体" w:cs="宋体"/>
          <w:color w:val="auto"/>
          <w:highlight w:val="none"/>
        </w:rPr>
        <w:t>个标。对投标人信用等级的认定条件为：</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pPr>
        <w:pStyle w:val="3"/>
        <w:keepNext w:val="0"/>
        <w:keepLines w:val="0"/>
        <w:pageBreakBefore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6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3.4与招标人存在利害关系可能影响招标公正性的单位，不得参加投标。单位负责人为同一人或存在控股、管理关系的不同单位，不得参加同一标段投标，否则，相关投标均无效。</w:t>
      </w:r>
    </w:p>
    <w:p>
      <w:pPr>
        <w:pStyle w:val="3"/>
        <w:keepNext w:val="0"/>
        <w:keepLines w:val="0"/>
        <w:pageBreakBefore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6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3.5在“信用中国”网站（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）中被列入失信被执行人名单的投标人，不得参加投标。</w:t>
      </w:r>
    </w:p>
    <w:p>
      <w:pPr>
        <w:keepNext w:val="0"/>
        <w:keepLines w:val="0"/>
        <w:pageBreakBefore w:val="0"/>
        <w:numPr>
          <w:ilvl w:val="0"/>
          <w:numId w:val="2"/>
        </w:numPr>
        <w:tabs>
          <w:tab w:val="left" w:pos="718"/>
        </w:tabs>
        <w:kinsoku/>
        <w:wordWrap/>
        <w:overflowPunct/>
        <w:bidi w:val="0"/>
        <w:spacing w:before="152" w:line="360" w:lineRule="auto"/>
        <w:ind w:left="714" w:hanging="346"/>
        <w:jc w:val="both"/>
        <w:textAlignment w:val="auto"/>
        <w:outlineLvl w:val="2"/>
        <w:rPr>
          <w:rFonts w:hint="eastAsia" w:ascii="宋体" w:hAnsi="宋体" w:eastAsia="宋体" w:cs="宋体"/>
          <w:b/>
          <w:color w:val="auto"/>
          <w:sz w:val="28"/>
          <w:highlight w:val="none"/>
        </w:rPr>
      </w:pPr>
      <w:bookmarkStart w:id="31" w:name="_bookmark4"/>
      <w:bookmarkEnd w:id="31"/>
      <w:bookmarkStart w:id="32" w:name="_Toc18360"/>
      <w:bookmarkStart w:id="33" w:name="_Toc22254"/>
      <w:r>
        <w:rPr>
          <w:rFonts w:hint="eastAsia" w:ascii="宋体" w:hAnsi="宋体" w:eastAsia="宋体" w:cs="宋体"/>
          <w:b/>
          <w:color w:val="auto"/>
          <w:sz w:val="28"/>
          <w:highlight w:val="none"/>
        </w:rPr>
        <w:t>招标文件的获取</w:t>
      </w:r>
      <w:bookmarkEnd w:id="32"/>
      <w:bookmarkEnd w:id="33"/>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adjustRightInd/>
        <w:snapToGrid/>
        <w:spacing w:line="500" w:lineRule="exact"/>
        <w:ind w:right="232"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凡有意参加投标者，请于</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val="en-US" w:eastAsia="zh-CN"/>
        </w:rPr>
        <w:t>2</w:t>
      </w:r>
      <w:r>
        <w:rPr>
          <w:rFonts w:hint="eastAsia"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年</w:t>
      </w:r>
      <w:r>
        <w:rPr>
          <w:rFonts w:hint="eastAsia" w:eastAsia="宋体" w:cs="宋体"/>
          <w:color w:val="auto"/>
          <w:kern w:val="0"/>
          <w:sz w:val="24"/>
          <w:szCs w:val="24"/>
          <w:highlight w:val="none"/>
          <w:u w:val="single"/>
          <w:lang w:val="en-US" w:eastAsia="zh-CN"/>
        </w:rPr>
        <w:t>08</w:t>
      </w:r>
      <w:r>
        <w:rPr>
          <w:rFonts w:hint="eastAsia" w:ascii="宋体" w:hAnsi="宋体" w:eastAsia="宋体" w:cs="宋体"/>
          <w:color w:val="auto"/>
          <w:kern w:val="0"/>
          <w:sz w:val="24"/>
          <w:szCs w:val="24"/>
          <w:highlight w:val="none"/>
          <w:u w:val="single"/>
        </w:rPr>
        <w:t>月</w:t>
      </w:r>
      <w:r>
        <w:rPr>
          <w:rFonts w:hint="eastAsia" w:cs="宋体"/>
          <w:color w:val="auto"/>
          <w:kern w:val="0"/>
          <w:sz w:val="24"/>
          <w:szCs w:val="24"/>
          <w:highlight w:val="none"/>
          <w:u w:val="single"/>
          <w:lang w:val="en-US" w:eastAsia="zh-CN"/>
        </w:rPr>
        <w:t>20</w:t>
      </w:r>
      <w:r>
        <w:rPr>
          <w:rFonts w:hint="eastAsia" w:ascii="宋体" w:hAnsi="宋体" w:eastAsia="宋体" w:cs="宋体"/>
          <w:color w:val="auto"/>
          <w:kern w:val="0"/>
          <w:sz w:val="24"/>
          <w:szCs w:val="24"/>
          <w:highlight w:val="none"/>
          <w:u w:val="single"/>
        </w:rPr>
        <w:t>日0：00至20</w:t>
      </w:r>
      <w:r>
        <w:rPr>
          <w:rFonts w:hint="eastAsia" w:ascii="宋体" w:hAnsi="宋体" w:eastAsia="宋体" w:cs="宋体"/>
          <w:color w:val="auto"/>
          <w:kern w:val="0"/>
          <w:sz w:val="24"/>
          <w:szCs w:val="24"/>
          <w:highlight w:val="none"/>
          <w:u w:val="single"/>
          <w:lang w:val="en-US" w:eastAsia="zh-CN"/>
        </w:rPr>
        <w:t>2</w:t>
      </w:r>
      <w:r>
        <w:rPr>
          <w:rFonts w:hint="eastAsia"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年</w:t>
      </w:r>
      <w:r>
        <w:rPr>
          <w:rFonts w:hint="eastAsia" w:eastAsia="宋体" w:cs="宋体"/>
          <w:color w:val="auto"/>
          <w:kern w:val="0"/>
          <w:sz w:val="24"/>
          <w:szCs w:val="24"/>
          <w:highlight w:val="none"/>
          <w:u w:val="single"/>
          <w:lang w:val="en-US" w:eastAsia="zh-CN"/>
        </w:rPr>
        <w:t>0</w:t>
      </w:r>
      <w:r>
        <w:rPr>
          <w:rFonts w:hint="eastAsia" w:cs="宋体"/>
          <w:color w:val="auto"/>
          <w:kern w:val="0"/>
          <w:sz w:val="24"/>
          <w:szCs w:val="24"/>
          <w:highlight w:val="none"/>
          <w:u w:val="single"/>
          <w:lang w:val="en-US" w:eastAsia="zh-CN"/>
        </w:rPr>
        <w:t>8</w:t>
      </w:r>
      <w:r>
        <w:rPr>
          <w:rFonts w:hint="eastAsia" w:ascii="宋体" w:hAnsi="宋体" w:eastAsia="宋体" w:cs="宋体"/>
          <w:color w:val="auto"/>
          <w:kern w:val="0"/>
          <w:sz w:val="24"/>
          <w:szCs w:val="24"/>
          <w:highlight w:val="none"/>
          <w:u w:val="single"/>
        </w:rPr>
        <w:t>月</w:t>
      </w:r>
      <w:r>
        <w:rPr>
          <w:rFonts w:hint="eastAsia" w:cs="宋体"/>
          <w:color w:val="auto"/>
          <w:kern w:val="0"/>
          <w:sz w:val="24"/>
          <w:szCs w:val="24"/>
          <w:highlight w:val="none"/>
          <w:u w:val="single"/>
          <w:lang w:val="en-US" w:eastAsia="zh-CN"/>
        </w:rPr>
        <w:t>25</w:t>
      </w:r>
      <w:r>
        <w:rPr>
          <w:rFonts w:hint="eastAsia" w:ascii="宋体" w:hAnsi="宋体" w:eastAsia="宋体" w:cs="宋体"/>
          <w:color w:val="auto"/>
          <w:kern w:val="0"/>
          <w:sz w:val="24"/>
          <w:szCs w:val="24"/>
          <w:highlight w:val="none"/>
          <w:u w:val="single"/>
        </w:rPr>
        <w:t>日</w:t>
      </w:r>
      <w:r>
        <w:rPr>
          <w:rFonts w:hint="eastAsia" w:cs="宋体"/>
          <w:color w:val="auto"/>
          <w:kern w:val="0"/>
          <w:sz w:val="24"/>
          <w:szCs w:val="24"/>
          <w:highlight w:val="none"/>
          <w:u w:val="single"/>
          <w:lang w:val="en-US" w:eastAsia="zh-CN"/>
        </w:rPr>
        <w:t>23</w:t>
      </w:r>
      <w:r>
        <w:rPr>
          <w:rFonts w:hint="eastAsia" w:ascii="宋体" w:hAnsi="宋体" w:eastAsia="宋体" w:cs="宋体"/>
          <w:color w:val="auto"/>
          <w:kern w:val="0"/>
          <w:sz w:val="24"/>
          <w:szCs w:val="24"/>
          <w:highlight w:val="none"/>
          <w:u w:val="single"/>
        </w:rPr>
        <w:t>：</w:t>
      </w:r>
      <w:r>
        <w:rPr>
          <w:rFonts w:hint="eastAsia"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（北京时间，下同），凭其数字证书CA锁在江西省公共资源交易系统（http://www.jxsggzy.cn/web/）进行投标报名（备注：投标人必须添加身份“其他类型（投标人）”，并按照“交通工程非自动评审</w:t>
      </w:r>
      <w:r>
        <w:rPr>
          <w:rFonts w:hint="eastAsia" w:cs="宋体"/>
          <w:color w:val="auto"/>
          <w:kern w:val="0"/>
          <w:sz w:val="24"/>
          <w:szCs w:val="24"/>
          <w:highlight w:val="none"/>
          <w:lang w:eastAsia="zh-CN"/>
        </w:rPr>
        <w:t>业务</w:t>
      </w:r>
      <w:r>
        <w:rPr>
          <w:rFonts w:hint="eastAsia" w:ascii="宋体" w:hAnsi="宋体" w:eastAsia="宋体" w:cs="宋体"/>
          <w:color w:val="auto"/>
          <w:kern w:val="0"/>
          <w:sz w:val="24"/>
          <w:szCs w:val="24"/>
          <w:highlight w:val="none"/>
        </w:rPr>
        <w:t>系统”有关操作流程进行投标，未在上述报名截止时间前报名成功的投标人将不能参加本工程投标</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并下载电子版招标文件、图纸</w:t>
      </w:r>
      <w:r>
        <w:rPr>
          <w:rFonts w:hint="eastAsia" w:ascii="宋体" w:hAnsi="宋体" w:eastAsia="宋体" w:cs="宋体"/>
          <w:color w:val="auto"/>
          <w:kern w:val="0"/>
          <w:sz w:val="24"/>
          <w:szCs w:val="24"/>
          <w:highlight w:val="none"/>
          <w:lang w:eastAsia="zh-CN"/>
        </w:rPr>
        <w:t>、工程量固化清单</w:t>
      </w:r>
      <w:r>
        <w:rPr>
          <w:rFonts w:hint="eastAsia" w:ascii="宋体" w:hAnsi="宋体" w:eastAsia="宋体" w:cs="宋体"/>
          <w:color w:val="auto"/>
          <w:kern w:val="0"/>
          <w:sz w:val="24"/>
          <w:szCs w:val="24"/>
          <w:highlight w:val="none"/>
        </w:rPr>
        <w:t>等资料进行投标。</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adjustRightInd/>
        <w:snapToGrid/>
        <w:spacing w:line="500" w:lineRule="exact"/>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4.2</w:t>
      </w:r>
      <w:bookmarkStart w:id="34" w:name="OLE_LINK8"/>
      <w:r>
        <w:rPr>
          <w:rFonts w:hint="eastAsia" w:ascii="宋体" w:hAnsi="宋体" w:eastAsia="宋体" w:cs="宋体"/>
          <w:color w:val="auto"/>
          <w:highlight w:val="none"/>
        </w:rPr>
        <w:t>招标文件及图纸每套售价</w:t>
      </w:r>
      <w:r>
        <w:rPr>
          <w:rFonts w:hint="eastAsia" w:ascii="宋体" w:hAnsi="宋体" w:eastAsia="宋体" w:cs="宋体"/>
          <w:color w:val="auto"/>
          <w:highlight w:val="none"/>
          <w:u w:val="single"/>
        </w:rPr>
        <w:t>/</w:t>
      </w:r>
      <w:r>
        <w:rPr>
          <w:rFonts w:hint="eastAsia" w:ascii="宋体" w:hAnsi="宋体" w:eastAsia="宋体" w:cs="宋体"/>
          <w:color w:val="auto"/>
          <w:highlight w:val="none"/>
        </w:rPr>
        <w:t>元</w:t>
      </w:r>
      <w:bookmarkEnd w:id="34"/>
      <w:r>
        <w:rPr>
          <w:rFonts w:hint="eastAsia" w:ascii="宋体" w:hAnsi="宋体" w:eastAsia="宋体" w:cs="宋体"/>
          <w:color w:val="auto"/>
          <w:highlight w:val="none"/>
        </w:rPr>
        <w:t>，逾期不售，售后不退。</w:t>
      </w:r>
    </w:p>
    <w:p>
      <w:pPr>
        <w:keepNext w:val="0"/>
        <w:keepLines w:val="0"/>
        <w:pageBreakBefore w:val="0"/>
        <w:widowControl w:val="0"/>
        <w:numPr>
          <w:ilvl w:val="0"/>
          <w:numId w:val="2"/>
        </w:numPr>
        <w:tabs>
          <w:tab w:val="left" w:pos="718"/>
        </w:tabs>
        <w:kinsoku/>
        <w:wordWrap/>
        <w:overflowPunct/>
        <w:bidi w:val="0"/>
        <w:adjustRightInd/>
        <w:snapToGrid/>
        <w:spacing w:line="500" w:lineRule="exact"/>
        <w:ind w:left="369" w:firstLine="0"/>
        <w:jc w:val="both"/>
        <w:textAlignment w:val="auto"/>
        <w:outlineLvl w:val="2"/>
        <w:rPr>
          <w:rFonts w:hint="eastAsia" w:ascii="宋体" w:hAnsi="宋体" w:eastAsia="宋体" w:cs="宋体"/>
          <w:b/>
          <w:color w:val="auto"/>
          <w:sz w:val="28"/>
          <w:highlight w:val="none"/>
        </w:rPr>
      </w:pPr>
      <w:bookmarkStart w:id="35" w:name="_bookmark5"/>
      <w:bookmarkEnd w:id="35"/>
      <w:bookmarkStart w:id="36" w:name="_Toc6830"/>
      <w:bookmarkStart w:id="37" w:name="_Toc8883"/>
      <w:r>
        <w:rPr>
          <w:rFonts w:hint="eastAsia" w:ascii="宋体" w:hAnsi="宋体" w:eastAsia="宋体" w:cs="宋体"/>
          <w:b/>
          <w:color w:val="auto"/>
          <w:sz w:val="28"/>
          <w:highlight w:val="none"/>
        </w:rPr>
        <w:t>投标文件的递交及相关事宜</w:t>
      </w:r>
      <w:bookmarkEnd w:id="36"/>
      <w:bookmarkEnd w:id="37"/>
    </w:p>
    <w:p>
      <w:pPr>
        <w:pStyle w:val="3"/>
        <w:keepNext w:val="0"/>
        <w:keepLines w:val="0"/>
        <w:pageBreakBefore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spacing w:line="36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5.1招标人不组织进行工程现场踏勘及不召开投标预备会。</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adjustRightInd w:val="0"/>
        <w:snapToGrid w:val="0"/>
        <w:spacing w:line="360" w:lineRule="auto"/>
        <w:ind w:left="0" w:leftChars="0" w:right="0" w:firstLine="480" w:firstLineChars="200"/>
        <w:jc w:val="both"/>
        <w:textAlignment w:val="auto"/>
        <w:rPr>
          <w:rFonts w:hint="eastAsia" w:ascii="宋体" w:hAnsi="宋体" w:eastAsia="宋体" w:cs="宋体"/>
          <w:color w:val="auto"/>
          <w:highlight w:val="none"/>
        </w:rPr>
      </w:pPr>
      <w:bookmarkStart w:id="38" w:name="_bookmark6"/>
      <w:bookmarkEnd w:id="38"/>
      <w:bookmarkStart w:id="39" w:name="_Toc1356"/>
      <w:r>
        <w:rPr>
          <w:rFonts w:hint="eastAsia" w:ascii="宋体" w:hAnsi="宋体" w:eastAsia="宋体" w:cs="宋体"/>
          <w:color w:val="auto"/>
          <w:highlight w:val="none"/>
        </w:rPr>
        <w:t>5.2投标文件应为加密的、交易系统可识别格式的投标文件。投标文件递交的截止时间（投标截止时间，下同）为202</w:t>
      </w:r>
      <w:r>
        <w:rPr>
          <w:rFonts w:hint="eastAsia" w:eastAsia="宋体" w:cs="宋体"/>
          <w:color w:val="auto"/>
          <w:highlight w:val="none"/>
          <w:lang w:val="en-US" w:eastAsia="zh-CN"/>
        </w:rPr>
        <w:t>1</w:t>
      </w:r>
      <w:r>
        <w:rPr>
          <w:rFonts w:hint="eastAsia" w:ascii="宋体" w:hAnsi="宋体" w:eastAsia="宋体" w:cs="宋体"/>
          <w:color w:val="auto"/>
          <w:highlight w:val="none"/>
        </w:rPr>
        <w:t>年</w:t>
      </w:r>
      <w:r>
        <w:rPr>
          <w:rFonts w:hint="eastAsia" w:eastAsia="宋体" w:cs="宋体"/>
          <w:color w:val="auto"/>
          <w:highlight w:val="none"/>
          <w:lang w:val="en-US" w:eastAsia="zh-CN"/>
        </w:rPr>
        <w:t>09</w:t>
      </w:r>
      <w:r>
        <w:rPr>
          <w:rFonts w:hint="eastAsia" w:ascii="宋体" w:hAnsi="宋体" w:eastAsia="宋体" w:cs="宋体"/>
          <w:color w:val="auto"/>
          <w:highlight w:val="none"/>
        </w:rPr>
        <w:t>月</w:t>
      </w:r>
      <w:r>
        <w:rPr>
          <w:rFonts w:hint="eastAsia" w:cs="宋体"/>
          <w:color w:val="auto"/>
          <w:highlight w:val="none"/>
          <w:lang w:val="en-US" w:eastAsia="zh-CN"/>
        </w:rPr>
        <w:t>14</w:t>
      </w:r>
      <w:r>
        <w:rPr>
          <w:rFonts w:hint="eastAsia" w:ascii="宋体" w:hAnsi="宋体" w:eastAsia="宋体" w:cs="宋体"/>
          <w:color w:val="auto"/>
          <w:highlight w:val="none"/>
        </w:rPr>
        <w:t>日9时</w:t>
      </w:r>
      <w:r>
        <w:rPr>
          <w:rFonts w:hint="eastAsia" w:eastAsia="宋体" w:cs="宋体"/>
          <w:color w:val="auto"/>
          <w:highlight w:val="none"/>
          <w:lang w:val="en-US" w:eastAsia="zh-CN"/>
        </w:rPr>
        <w:t>3</w:t>
      </w:r>
      <w:r>
        <w:rPr>
          <w:rFonts w:hint="eastAsia" w:ascii="宋体" w:hAnsi="宋体" w:eastAsia="宋体" w:cs="宋体"/>
          <w:color w:val="auto"/>
          <w:highlight w:val="none"/>
        </w:rPr>
        <w:t>0分，投标人应于投标截止时间前，通过互联网使用CA数字证书登录交易系统，将加密的投标文件上传到达交易系统。逾期未完成上传或未按时到达交易系统或未按规定加密或未采用交易系统可识别格式的投标文件，交易系统将予以拒收。</w:t>
      </w:r>
    </w:p>
    <w:p>
      <w:pPr>
        <w:pStyle w:val="3"/>
        <w:keepNext w:val="0"/>
        <w:keepLines w:val="0"/>
        <w:pageBreakBefore w:val="0"/>
        <w:widowControl w:val="0"/>
        <w:tabs>
          <w:tab w:val="left" w:pos="1929"/>
          <w:tab w:val="left" w:pos="2289"/>
          <w:tab w:val="left" w:pos="3129"/>
          <w:tab w:val="left" w:pos="3705"/>
          <w:tab w:val="left" w:pos="4401"/>
          <w:tab w:val="left" w:pos="4898"/>
          <w:tab w:val="left" w:pos="6370"/>
          <w:tab w:val="left" w:pos="6667"/>
          <w:tab w:val="left" w:pos="7260"/>
        </w:tabs>
        <w:kinsoku/>
        <w:wordWrap/>
        <w:overflowPunct/>
        <w:topLinePunct/>
        <w:autoSpaceDE/>
        <w:autoSpaceDN/>
        <w:bidi w:val="0"/>
        <w:adjustRightInd/>
        <w:snapToGrid/>
        <w:spacing w:line="360" w:lineRule="auto"/>
        <w:ind w:right="232"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5.3鉴于我国目前还处于新冠肺炎疫情防控期间，本项目开评标工作将按照疫情防控相关文件要求严格执行，请所有投标人知晓并自行遵照，并在开标签到时提交“开评标人员健康信息登记表”（格式见附件</w:t>
      </w:r>
      <w:r>
        <w:rPr>
          <w:rFonts w:hint="eastAsia" w:eastAsia="宋体" w:cs="宋体"/>
          <w:color w:val="auto"/>
          <w:highlight w:val="none"/>
          <w:lang w:val="en-US" w:eastAsia="zh-CN"/>
        </w:rPr>
        <w:t>1</w:t>
      </w:r>
      <w:r>
        <w:rPr>
          <w:rFonts w:hint="eastAsia" w:ascii="宋体" w:hAnsi="宋体" w:eastAsia="宋体" w:cs="宋体"/>
          <w:color w:val="auto"/>
          <w:highlight w:val="none"/>
        </w:rPr>
        <w:t>）。</w:t>
      </w:r>
    </w:p>
    <w:p>
      <w:pPr>
        <w:keepNext w:val="0"/>
        <w:keepLines w:val="0"/>
        <w:pageBreakBefore w:val="0"/>
        <w:numPr>
          <w:ilvl w:val="0"/>
          <w:numId w:val="2"/>
        </w:numPr>
        <w:tabs>
          <w:tab w:val="left" w:pos="718"/>
        </w:tabs>
        <w:kinsoku/>
        <w:wordWrap/>
        <w:overflowPunct/>
        <w:bidi w:val="0"/>
        <w:spacing w:line="360" w:lineRule="auto"/>
        <w:ind w:left="714" w:hanging="346"/>
        <w:textAlignment w:val="auto"/>
        <w:outlineLvl w:val="2"/>
        <w:rPr>
          <w:rFonts w:hint="eastAsia" w:ascii="宋体" w:hAnsi="宋体" w:eastAsia="宋体" w:cs="宋体"/>
          <w:b/>
          <w:color w:val="auto"/>
          <w:sz w:val="28"/>
          <w:highlight w:val="none"/>
        </w:rPr>
      </w:pPr>
      <w:bookmarkStart w:id="40" w:name="_Toc19016"/>
      <w:r>
        <w:rPr>
          <w:rFonts w:hint="eastAsia" w:ascii="宋体" w:hAnsi="宋体" w:eastAsia="宋体" w:cs="宋体"/>
          <w:b/>
          <w:color w:val="auto"/>
          <w:sz w:val="28"/>
          <w:highlight w:val="none"/>
        </w:rPr>
        <w:t>发布公告的媒介</w:t>
      </w:r>
      <w:bookmarkEnd w:id="39"/>
      <w:bookmarkEnd w:id="40"/>
    </w:p>
    <w:p>
      <w:pPr>
        <w:keepNext w:val="0"/>
        <w:keepLines w:val="0"/>
        <w:pageBreakBefore w:val="0"/>
        <w:widowControl/>
        <w:kinsoku/>
        <w:wordWrap/>
        <w:overflowPunct/>
        <w:topLinePunct w:val="0"/>
        <w:autoSpaceDE/>
        <w:autoSpaceDN/>
        <w:bidi w:val="0"/>
        <w:adjustRightInd/>
        <w:snapToGrid w:val="0"/>
        <w:spacing w:line="360" w:lineRule="auto"/>
        <w:ind w:left="44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Times New Roman"/>
          <w:sz w:val="24"/>
          <w:highlight w:val="none"/>
          <w:lang w:val="en-US" w:eastAsia="zh-CN"/>
        </w:rPr>
        <w:t>本次招标公告同时在江西省公共资源交易网（http://www.jxsggzy.cn/web/）、江西省招标投标网(http://www.jxtb.org.cn)、赣州交通控股集团有限公司网站（http://www.gzjtkgjt.com）上发布，招标文件的关键内容在上述网站同步公开。</w:t>
      </w:r>
    </w:p>
    <w:p>
      <w:pPr>
        <w:keepNext w:val="0"/>
        <w:keepLines w:val="0"/>
        <w:pageBreakBefore w:val="0"/>
        <w:widowControl/>
        <w:numPr>
          <w:ilvl w:val="0"/>
          <w:numId w:val="2"/>
        </w:numPr>
        <w:kinsoku/>
        <w:wordWrap/>
        <w:overflowPunct/>
        <w:topLinePunct w:val="0"/>
        <w:autoSpaceDE/>
        <w:autoSpaceDN/>
        <w:bidi w:val="0"/>
        <w:adjustRightInd/>
        <w:snapToGrid w:val="0"/>
        <w:spacing w:line="360" w:lineRule="auto"/>
        <w:ind w:left="0" w:leftChars="0" w:firstLine="346" w:firstLineChars="0"/>
        <w:textAlignment w:val="auto"/>
        <w:outlineLvl w:val="2"/>
        <w:rPr>
          <w:rFonts w:hint="eastAsia" w:ascii="宋体" w:hAnsi="宋体" w:eastAsia="宋体" w:cs="宋体"/>
          <w:color w:val="auto"/>
          <w:highlight w:val="none"/>
          <w:lang w:val="en-US" w:eastAsia="zh-CN"/>
        </w:rPr>
      </w:pPr>
      <w:bookmarkStart w:id="41" w:name="_Toc13773"/>
      <w:r>
        <w:rPr>
          <w:rFonts w:hint="eastAsia" w:ascii="宋体" w:hAnsi="宋体" w:eastAsia="宋体" w:cs="宋体"/>
          <w:color w:val="auto"/>
          <w:sz w:val="24"/>
          <w:highlight w:val="none"/>
          <w:lang w:val="en-US" w:eastAsia="zh-CN"/>
        </w:rPr>
        <w:t>投标人在本项目投标过程中遇到技术问题可直接与新点软件公司联系。新点软件公司咨询电话：400-998-0000。</w:t>
      </w:r>
      <w:bookmarkEnd w:id="41"/>
    </w:p>
    <w:p>
      <w:pPr>
        <w:numPr>
          <w:ilvl w:val="0"/>
          <w:numId w:val="2"/>
        </w:numPr>
        <w:tabs>
          <w:tab w:val="left" w:pos="718"/>
        </w:tabs>
        <w:spacing w:line="500" w:lineRule="exact"/>
        <w:ind w:left="714" w:hanging="346"/>
        <w:outlineLvl w:val="2"/>
        <w:rPr>
          <w:rFonts w:hint="eastAsia" w:ascii="宋体" w:hAnsi="宋体" w:eastAsia="宋体" w:cs="宋体"/>
          <w:b/>
          <w:color w:val="auto"/>
          <w:sz w:val="28"/>
          <w:highlight w:val="none"/>
        </w:rPr>
      </w:pPr>
      <w:bookmarkStart w:id="42" w:name="_bookmark7"/>
      <w:bookmarkEnd w:id="42"/>
      <w:bookmarkStart w:id="43" w:name="_Toc5596"/>
      <w:bookmarkStart w:id="44" w:name="_Toc928"/>
      <w:r>
        <w:rPr>
          <w:rFonts w:hint="eastAsia" w:ascii="宋体" w:hAnsi="宋体" w:eastAsia="宋体" w:cs="宋体"/>
          <w:b/>
          <w:color w:val="auto"/>
          <w:sz w:val="28"/>
          <w:highlight w:val="none"/>
        </w:rPr>
        <w:t>联系方式</w:t>
      </w:r>
      <w:bookmarkEnd w:id="43"/>
      <w:bookmarkEnd w:id="44"/>
    </w:p>
    <w:p>
      <w:pPr>
        <w:keepNext w:val="0"/>
        <w:keepLines w:val="0"/>
        <w:pageBreakBefore w:val="0"/>
        <w:widowControl w:val="0"/>
        <w:tabs>
          <w:tab w:val="left" w:pos="4536"/>
        </w:tabs>
        <w:kinsoku/>
        <w:wordWrap/>
        <w:overflowPunct/>
        <w:topLinePunct w:val="0"/>
        <w:autoSpaceDE/>
        <w:autoSpaceDN/>
        <w:bidi w:val="0"/>
        <w:adjustRightInd/>
        <w:snapToGrid/>
        <w:spacing w:line="300" w:lineRule="auto"/>
        <w:ind w:left="7471" w:leftChars="201" w:hanging="7029" w:hangingChars="2929"/>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   标   人：</w:t>
      </w:r>
      <w:r>
        <w:rPr>
          <w:rFonts w:hint="eastAsia" w:eastAsia="宋体" w:cs="宋体"/>
          <w:color w:val="auto"/>
          <w:sz w:val="24"/>
          <w:highlight w:val="none"/>
          <w:lang w:eastAsia="zh-CN"/>
        </w:rPr>
        <w:t>赣州高速公路有限责任公司</w:t>
      </w:r>
      <w:r>
        <w:rPr>
          <w:rFonts w:hint="eastAsia" w:ascii="宋体" w:hAnsi="宋体" w:eastAsia="宋体" w:cs="宋体"/>
          <w:color w:val="auto"/>
          <w:sz w:val="24"/>
          <w:highlight w:val="none"/>
        </w:rPr>
        <w:t xml:space="preserve">          </w:t>
      </w:r>
    </w:p>
    <w:p>
      <w:pPr>
        <w:keepNext w:val="0"/>
        <w:keepLines w:val="0"/>
        <w:pageBreakBefore w:val="0"/>
        <w:widowControl w:val="0"/>
        <w:tabs>
          <w:tab w:val="left" w:pos="4536"/>
        </w:tabs>
        <w:kinsoku/>
        <w:wordWrap/>
        <w:overflowPunct/>
        <w:topLinePunct w:val="0"/>
        <w:autoSpaceDE/>
        <w:autoSpaceDN/>
        <w:bidi w:val="0"/>
        <w:adjustRightInd/>
        <w:snapToGrid/>
        <w:spacing w:line="300" w:lineRule="auto"/>
        <w:ind w:left="1280" w:leftChars="200" w:hanging="840" w:hangingChars="350"/>
        <w:textAlignment w:val="auto"/>
        <w:rPr>
          <w:rFonts w:hint="eastAsia" w:ascii="宋体" w:hAnsi="宋体" w:eastAsia="宋体" w:cs="宋体"/>
          <w:color w:val="auto"/>
          <w:spacing w:val="-8"/>
          <w:sz w:val="24"/>
          <w:highlight w:val="none"/>
        </w:rPr>
      </w:pPr>
      <w:r>
        <w:rPr>
          <w:rFonts w:hint="eastAsia" w:ascii="宋体" w:hAnsi="宋体" w:eastAsia="宋体" w:cs="宋体"/>
          <w:color w:val="auto"/>
          <w:sz w:val="24"/>
          <w:highlight w:val="none"/>
        </w:rPr>
        <w:t>地        址：</w:t>
      </w:r>
      <w:r>
        <w:rPr>
          <w:rFonts w:hint="eastAsia" w:eastAsia="宋体" w:cs="宋体"/>
          <w:color w:val="auto"/>
          <w:sz w:val="24"/>
          <w:highlight w:val="none"/>
          <w:lang w:eastAsia="zh-CN"/>
        </w:rPr>
        <w:t>江西省赣州市章贡区沙河镇赣州绕城高速赣州东出口</w:t>
      </w:r>
      <w:r>
        <w:rPr>
          <w:rFonts w:hint="eastAsia" w:ascii="宋体" w:hAnsi="宋体" w:eastAsia="宋体" w:cs="宋体"/>
          <w:color w:val="auto"/>
          <w:sz w:val="24"/>
          <w:highlight w:val="none"/>
        </w:rPr>
        <w:t xml:space="preserve">    </w:t>
      </w:r>
    </w:p>
    <w:p>
      <w:pPr>
        <w:keepNext w:val="0"/>
        <w:keepLines w:val="0"/>
        <w:pageBreakBefore w:val="0"/>
        <w:widowControl w:val="0"/>
        <w:tabs>
          <w:tab w:val="left" w:pos="4678"/>
        </w:tabs>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4"/>
          <w:highlight w:val="none"/>
        </w:rPr>
        <w:t>联   系   人：</w:t>
      </w:r>
      <w:r>
        <w:rPr>
          <w:rFonts w:hint="eastAsia" w:eastAsia="宋体" w:cs="宋体"/>
          <w:color w:val="auto"/>
          <w:sz w:val="24"/>
          <w:szCs w:val="24"/>
          <w:highlight w:val="none"/>
          <w:lang w:eastAsia="zh-CN"/>
        </w:rPr>
        <w:t>温女士</w:t>
      </w:r>
      <w:r>
        <w:rPr>
          <w:rFonts w:hint="eastAsia" w:ascii="宋体" w:hAnsi="宋体" w:eastAsia="宋体" w:cs="宋体"/>
          <w:color w:val="auto"/>
          <w:sz w:val="24"/>
          <w:highlight w:val="none"/>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宋体" w:cs="宋体"/>
          <w:color w:val="auto"/>
          <w:sz w:val="24"/>
          <w:szCs w:val="24"/>
          <w:highlight w:val="none"/>
          <w:lang w:eastAsia="zh-CN"/>
        </w:rPr>
      </w:pPr>
      <w:r>
        <w:rPr>
          <w:rFonts w:hint="eastAsia" w:ascii="宋体" w:hAnsi="宋体" w:eastAsia="宋体" w:cs="宋体"/>
          <w:color w:val="auto"/>
          <w:sz w:val="24"/>
          <w:highlight w:val="none"/>
        </w:rPr>
        <w:t>电        话：</w:t>
      </w:r>
      <w:r>
        <w:rPr>
          <w:rFonts w:hint="eastAsia" w:eastAsia="宋体" w:cs="宋体"/>
          <w:color w:val="auto"/>
          <w:sz w:val="24"/>
          <w:szCs w:val="24"/>
          <w:highlight w:val="none"/>
          <w:lang w:eastAsia="zh-CN"/>
        </w:rPr>
        <w:t>0797-8289692</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eastAsia="宋体" w:cs="宋体"/>
          <w:color w:val="auto"/>
          <w:sz w:val="24"/>
          <w:szCs w:val="24"/>
          <w:highlight w:val="none"/>
          <w:lang w:eastAsia="zh-CN"/>
        </w:rPr>
      </w:pPr>
      <w:r>
        <w:rPr>
          <w:rFonts w:hint="eastAsia" w:eastAsia="宋体" w:cs="宋体"/>
          <w:color w:val="auto"/>
          <w:sz w:val="24"/>
          <w:highlight w:val="none"/>
          <w:lang w:eastAsia="zh-CN"/>
        </w:rPr>
        <w:t>传</w:t>
      </w:r>
      <w:r>
        <w:rPr>
          <w:rFonts w:hint="eastAsia" w:ascii="宋体" w:hAnsi="宋体" w:eastAsia="宋体" w:cs="宋体"/>
          <w:color w:val="auto"/>
          <w:sz w:val="24"/>
          <w:highlight w:val="none"/>
        </w:rPr>
        <w:t xml:space="preserve">        </w:t>
      </w:r>
      <w:r>
        <w:rPr>
          <w:rFonts w:hint="eastAsia" w:eastAsia="宋体" w:cs="宋体"/>
          <w:color w:val="auto"/>
          <w:sz w:val="24"/>
          <w:highlight w:val="none"/>
          <w:lang w:eastAsia="zh-CN"/>
        </w:rPr>
        <w:t>真</w:t>
      </w:r>
      <w:r>
        <w:rPr>
          <w:rFonts w:hint="eastAsia" w:ascii="宋体" w:hAnsi="宋体" w:eastAsia="宋体" w:cs="宋体"/>
          <w:color w:val="auto"/>
          <w:sz w:val="24"/>
          <w:highlight w:val="none"/>
        </w:rPr>
        <w:t>：</w:t>
      </w:r>
      <w:r>
        <w:rPr>
          <w:rFonts w:hint="eastAsia" w:eastAsia="宋体" w:cs="宋体"/>
          <w:color w:val="auto"/>
          <w:sz w:val="24"/>
          <w:szCs w:val="24"/>
          <w:highlight w:val="none"/>
          <w:lang w:eastAsia="zh-CN"/>
        </w:rPr>
        <w:t>0797-8289692</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lang w:eastAsia="zh-CN"/>
        </w:rPr>
        <w:t>341000</w:t>
      </w:r>
      <w:r>
        <w:rPr>
          <w:rFonts w:hint="eastAsia" w:ascii="宋体" w:hAnsi="宋体" w:eastAsia="宋体" w:cs="宋体"/>
          <w:color w:val="auto"/>
          <w:sz w:val="24"/>
          <w:highlight w:val="none"/>
        </w:rPr>
        <w:t xml:space="preserve">            </w:t>
      </w:r>
    </w:p>
    <w:p>
      <w:pPr>
        <w:autoSpaceDE/>
        <w:autoSpaceDN/>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tabs>
          <w:tab w:val="left" w:pos="4536"/>
        </w:tabs>
        <w:autoSpaceDE/>
        <w:autoSpaceDN/>
        <w:spacing w:line="500" w:lineRule="exact"/>
        <w:ind w:left="1280" w:leftChars="20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招标代理机构：江西省赣南公路勘察设计院</w:t>
      </w:r>
    </w:p>
    <w:p>
      <w:pPr>
        <w:autoSpaceDE/>
        <w:autoSpaceDN/>
        <w:spacing w:line="500" w:lineRule="exact"/>
        <w:ind w:left="19" w:leftChars="-95" w:hanging="228" w:hangingChars="95"/>
        <w:rPr>
          <w:rFonts w:hint="eastAsia" w:ascii="宋体" w:hAnsi="宋体" w:eastAsia="宋体" w:cs="宋体"/>
          <w:color w:val="auto"/>
          <w:spacing w:val="-8"/>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pacing w:val="-8"/>
          <w:sz w:val="24"/>
          <w:highlight w:val="none"/>
        </w:rPr>
        <w:t>赣州市章江新区赞贤路36号</w:t>
      </w:r>
    </w:p>
    <w:p>
      <w:pPr>
        <w:autoSpaceDE/>
        <w:autoSpaceDN/>
        <w:spacing w:line="500" w:lineRule="exact"/>
        <w:ind w:left="3" w:leftChars="-95" w:hanging="212" w:hangingChars="95"/>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 xml:space="preserve">      </w:t>
      </w:r>
      <w:r>
        <w:rPr>
          <w:rFonts w:hint="eastAsia" w:ascii="宋体" w:hAnsi="宋体" w:eastAsia="宋体" w:cs="宋体"/>
          <w:color w:val="auto"/>
          <w:sz w:val="24"/>
          <w:highlight w:val="none"/>
        </w:rPr>
        <w:t xml:space="preserve">联   系   人：赖工 </w:t>
      </w:r>
      <w:r>
        <w:rPr>
          <w:rFonts w:hint="eastAsia" w:ascii="宋体" w:hAnsi="宋体" w:eastAsia="宋体" w:cs="宋体"/>
          <w:color w:val="auto"/>
          <w:szCs w:val="21"/>
          <w:highlight w:val="none"/>
        </w:rPr>
        <w:t xml:space="preserve">    </w:t>
      </w:r>
    </w:p>
    <w:p>
      <w:pPr>
        <w:autoSpaceDE/>
        <w:autoSpaceDN/>
        <w:spacing w:line="500" w:lineRule="exact"/>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电        话：0797-8088235</w:t>
      </w:r>
      <w:r>
        <w:rPr>
          <w:rFonts w:hint="eastAsia" w:ascii="宋体" w:hAnsi="宋体" w:eastAsia="宋体" w:cs="宋体"/>
          <w:color w:val="auto"/>
          <w:sz w:val="24"/>
          <w:highlight w:val="none"/>
          <w:lang w:val="en-US"/>
        </w:rPr>
        <w:t xml:space="preserve"> </w:t>
      </w:r>
    </w:p>
    <w:p>
      <w:pPr>
        <w:autoSpaceDE/>
        <w:autoSpaceDN/>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邮        编：341000 </w:t>
      </w:r>
    </w:p>
    <w:p>
      <w:pPr>
        <w:autoSpaceDE/>
        <w:autoSpaceDN/>
        <w:spacing w:line="500" w:lineRule="exact"/>
        <w:ind w:firstLine="480" w:firstLineChars="200"/>
        <w:rPr>
          <w:rFonts w:hint="eastAsia" w:ascii="宋体" w:hAnsi="宋体" w:eastAsia="宋体" w:cs="宋体"/>
          <w:color w:val="auto"/>
          <w:sz w:val="24"/>
          <w:highlight w:val="none"/>
        </w:rPr>
      </w:pPr>
      <w:r>
        <w:rPr>
          <w:rFonts w:hint="eastAsia" w:eastAsia="宋体" w:cs="宋体"/>
          <w:color w:val="auto"/>
          <w:sz w:val="24"/>
          <w:highlight w:val="none"/>
          <w:lang w:eastAsia="zh-CN"/>
        </w:rPr>
        <w:t>电子邮箱：</w:t>
      </w:r>
      <w:r>
        <w:rPr>
          <w:rFonts w:hint="default" w:eastAsia="宋体" w:cs="宋体"/>
          <w:color w:val="auto"/>
          <w:sz w:val="24"/>
          <w:highlight w:val="none"/>
          <w:lang w:val="en-US" w:eastAsia="zh-CN"/>
        </w:rPr>
        <w:t>gnglkcsjy@163.com</w:t>
      </w:r>
      <w:r>
        <w:rPr>
          <w:rFonts w:hint="eastAsia" w:ascii="宋体" w:hAnsi="宋体" w:eastAsia="宋体" w:cs="宋体"/>
          <w:color w:val="auto"/>
          <w:sz w:val="24"/>
          <w:highlight w:val="none"/>
        </w:rPr>
        <w:t xml:space="preserve">  </w:t>
      </w:r>
    </w:p>
    <w:p>
      <w:pPr>
        <w:autoSpaceDE/>
        <w:autoSpaceDN/>
        <w:spacing w:line="500" w:lineRule="exact"/>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 督 单 位： 赣州市交通运输局 、赣州交通控股集团有限公司风控审计部、赣州交通控股集团有限公司纪检监察室 </w:t>
      </w:r>
    </w:p>
    <w:p>
      <w:pPr>
        <w:autoSpaceDE/>
        <w:autoSpaceDN/>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 督 电 话： 0797-8996559、0797-8289879、0797-8282685</w:t>
      </w:r>
    </w:p>
    <w:p>
      <w:pPr>
        <w:autoSpaceDE/>
        <w:autoSpaceDN/>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jc w:val="right"/>
        <w:rPr>
          <w:rFonts w:hint="eastAsia" w:ascii="宋体" w:hAnsi="宋体" w:eastAsia="宋体" w:cs="宋体"/>
          <w:color w:val="auto"/>
          <w:highlight w:val="none"/>
        </w:rPr>
        <w:sectPr>
          <w:footerReference r:id="rId4" w:type="default"/>
          <w:headerReference r:id="rId3" w:type="even"/>
          <w:footerReference r:id="rId5" w:type="even"/>
          <w:pgSz w:w="11907" w:h="16840"/>
          <w:pgMar w:top="1361" w:right="1134" w:bottom="1361" w:left="1134" w:header="567" w:footer="567" w:gutter="0"/>
          <w:pgBorders>
            <w:top w:val="none" w:sz="0" w:space="0"/>
            <w:left w:val="none" w:sz="0" w:space="0"/>
            <w:bottom w:val="none" w:sz="0" w:space="0"/>
            <w:right w:val="none" w:sz="0" w:space="0"/>
          </w:pgBorders>
          <w:cols w:space="720" w:num="1"/>
          <w:docGrid w:linePitch="299" w:charSpace="0"/>
        </w:sectPr>
      </w:pP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w:t>
      </w:r>
      <w:r>
        <w:rPr>
          <w:rFonts w:hint="eastAsia" w:eastAsia="宋体" w:cs="宋体"/>
          <w:color w:val="auto"/>
          <w:sz w:val="24"/>
          <w:highlight w:val="none"/>
          <w:u w:val="single"/>
          <w:lang w:val="en-US" w:eastAsia="zh-CN"/>
        </w:rPr>
        <w:t>1</w:t>
      </w:r>
      <w:r>
        <w:rPr>
          <w:rFonts w:hint="eastAsia" w:ascii="宋体" w:hAnsi="宋体" w:eastAsia="宋体" w:cs="宋体"/>
          <w:color w:val="auto"/>
          <w:sz w:val="24"/>
          <w:highlight w:val="none"/>
        </w:rPr>
        <w:t>年</w:t>
      </w:r>
      <w:r>
        <w:rPr>
          <w:rFonts w:hint="eastAsia" w:eastAsia="宋体" w:cs="宋体"/>
          <w:color w:val="auto"/>
          <w:sz w:val="24"/>
          <w:highlight w:val="none"/>
          <w:u w:val="single"/>
          <w:lang w:val="en-US" w:eastAsia="zh-CN"/>
        </w:rPr>
        <w:t>08</w:t>
      </w:r>
      <w:r>
        <w:rPr>
          <w:rFonts w:hint="eastAsia" w:ascii="宋体" w:hAnsi="宋体" w:eastAsia="宋体" w:cs="宋体"/>
          <w:color w:val="auto"/>
          <w:sz w:val="24"/>
          <w:highlight w:val="none"/>
        </w:rPr>
        <w:t>月</w:t>
      </w:r>
      <w:r>
        <w:rPr>
          <w:rFonts w:hint="eastAsia" w:cs="宋体"/>
          <w:color w:val="auto"/>
          <w:sz w:val="24"/>
          <w:highlight w:val="none"/>
          <w:u w:val="single"/>
          <w:lang w:val="en-US" w:eastAsia="zh-CN"/>
        </w:rPr>
        <w:t>20</w:t>
      </w:r>
      <w:r>
        <w:rPr>
          <w:rFonts w:hint="eastAsia" w:ascii="宋体" w:hAnsi="宋体" w:eastAsia="宋体" w:cs="宋体"/>
          <w:color w:val="auto"/>
          <w:sz w:val="24"/>
          <w:highlight w:val="none"/>
        </w:rPr>
        <w:t>日</w:t>
      </w:r>
    </w:p>
    <w:p>
      <w:pPr>
        <w:tabs>
          <w:tab w:val="left" w:pos="1095"/>
        </w:tabs>
        <w:spacing w:before="69"/>
        <w:ind w:left="39"/>
        <w:jc w:val="center"/>
        <w:outlineLvl w:val="2"/>
        <w:rPr>
          <w:rFonts w:hint="eastAsia" w:ascii="宋体" w:hAnsi="宋体" w:eastAsia="宋体" w:cs="宋体"/>
          <w:b/>
          <w:color w:val="auto"/>
          <w:sz w:val="14"/>
          <w:highlight w:val="none"/>
        </w:rPr>
      </w:pPr>
      <w:bookmarkStart w:id="45" w:name="_bookmark8"/>
      <w:bookmarkEnd w:id="45"/>
      <w:bookmarkStart w:id="46" w:name="_bookmark18"/>
      <w:bookmarkEnd w:id="46"/>
      <w:bookmarkStart w:id="47" w:name="_Toc876"/>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ascii="宋体" w:hAnsi="宋体" w:eastAsia="宋体" w:cs="宋体"/>
          <w:b/>
          <w:color w:val="auto"/>
          <w:spacing w:val="-71"/>
          <w:sz w:val="28"/>
          <w:highlight w:val="none"/>
        </w:rPr>
        <w:t xml:space="preserve"> </w:t>
      </w:r>
      <w:r>
        <w:rPr>
          <w:rFonts w:hint="eastAsia" w:cs="宋体"/>
          <w:b/>
          <w:color w:val="auto"/>
          <w:sz w:val="28"/>
          <w:highlight w:val="none"/>
          <w:lang w:eastAsia="zh-CN"/>
        </w:rPr>
        <w:t>一</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资格审查条件（资质最低要求）</w:t>
      </w:r>
      <w:bookmarkEnd w:id="47"/>
    </w:p>
    <w:p>
      <w:pPr>
        <w:pStyle w:val="3"/>
        <w:spacing w:before="2"/>
        <w:rPr>
          <w:rFonts w:hint="eastAsia" w:ascii="宋体" w:hAnsi="宋体" w:eastAsia="宋体" w:cs="宋体"/>
          <w:b/>
          <w:color w:val="auto"/>
          <w:highlight w:val="none"/>
        </w:rPr>
      </w:pPr>
    </w:p>
    <w:tbl>
      <w:tblPr>
        <w:tblStyle w:val="6"/>
        <w:tblpPr w:leftFromText="180" w:rightFromText="180" w:vertAnchor="text" w:horzAnchor="margin" w:tblpXSpec="center" w:tblpY="35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8" w:hRule="atLeast"/>
        </w:trPr>
        <w:tc>
          <w:tcPr>
            <w:tcW w:w="899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7" w:hRule="atLeast"/>
        </w:trPr>
        <w:tc>
          <w:tcPr>
            <w:tcW w:w="8994" w:type="dxa"/>
            <w:noWrap w:val="0"/>
            <w:vAlign w:val="center"/>
          </w:tcPr>
          <w:p>
            <w:pPr>
              <w:autoSpaceDE/>
              <w:autoSpaceDN/>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具备公路工程施工总承包</w:t>
            </w:r>
            <w:r>
              <w:rPr>
                <w:rFonts w:hint="eastAsia" w:ascii="宋体" w:hAnsi="宋体" w:eastAsia="宋体" w:cs="宋体"/>
                <w:color w:val="auto"/>
                <w:sz w:val="24"/>
                <w:highlight w:val="none"/>
                <w:lang w:eastAsia="zh-CN"/>
              </w:rPr>
              <w:t>壹</w:t>
            </w:r>
            <w:r>
              <w:rPr>
                <w:rFonts w:hint="eastAsia" w:ascii="宋体" w:hAnsi="宋体" w:eastAsia="宋体" w:cs="宋体"/>
                <w:color w:val="auto"/>
                <w:sz w:val="24"/>
                <w:highlight w:val="none"/>
              </w:rPr>
              <w:t>级及以上或公路养护工程二类</w:t>
            </w:r>
            <w:r>
              <w:rPr>
                <w:rFonts w:hint="eastAsia" w:ascii="宋体" w:hAnsi="宋体" w:eastAsia="宋体" w:cs="宋体"/>
                <w:color w:val="auto"/>
                <w:sz w:val="24"/>
                <w:highlight w:val="none"/>
                <w:lang w:eastAsia="zh-CN"/>
              </w:rPr>
              <w:t>甲</w:t>
            </w:r>
            <w:r>
              <w:rPr>
                <w:rFonts w:hint="eastAsia" w:ascii="宋体" w:hAnsi="宋体" w:eastAsia="宋体" w:cs="宋体"/>
                <w:color w:val="auto"/>
                <w:sz w:val="24"/>
                <w:highlight w:val="none"/>
              </w:rPr>
              <w:t>级施工资质。具备公路工程施工资质的投标人应进入交通运输部“ 全国公路建设市场信用信息管理系统（http：//glxy.mot.gov.cn）”中的公路工程施工资质企业名录，且投标人名称和资质与该名录中的相应企业名称和资质完全一致。</w:t>
            </w:r>
          </w:p>
        </w:tc>
      </w:tr>
    </w:tbl>
    <w:p>
      <w:pPr>
        <w:tabs>
          <w:tab w:val="left" w:pos="3254"/>
        </w:tabs>
        <w:spacing w:before="109"/>
        <w:ind w:left="2198"/>
        <w:rPr>
          <w:rFonts w:hint="eastAsia" w:ascii="宋体" w:hAnsi="宋体" w:eastAsia="宋体" w:cs="宋体"/>
          <w:b/>
          <w:color w:val="auto"/>
          <w:sz w:val="28"/>
          <w:highlight w:val="none"/>
        </w:rPr>
      </w:pPr>
    </w:p>
    <w:p>
      <w:pPr>
        <w:tabs>
          <w:tab w:val="left" w:pos="3254"/>
        </w:tabs>
        <w:spacing w:before="109"/>
        <w:ind w:left="2198"/>
        <w:rPr>
          <w:rFonts w:hint="eastAsia" w:ascii="宋体" w:hAnsi="宋体" w:eastAsia="宋体" w:cs="宋体"/>
          <w:b/>
          <w:color w:val="auto"/>
          <w:sz w:val="28"/>
          <w:highlight w:val="none"/>
        </w:rPr>
      </w:pPr>
    </w:p>
    <w:p>
      <w:pPr>
        <w:tabs>
          <w:tab w:val="left" w:pos="3254"/>
        </w:tabs>
        <w:spacing w:before="109"/>
        <w:ind w:left="2198"/>
        <w:outlineLvl w:val="2"/>
        <w:rPr>
          <w:rFonts w:hint="eastAsia" w:ascii="宋体" w:hAnsi="宋体" w:eastAsia="宋体" w:cs="宋体"/>
          <w:b/>
          <w:color w:val="auto"/>
          <w:sz w:val="14"/>
          <w:highlight w:val="none"/>
        </w:rPr>
      </w:pPr>
      <w:bookmarkStart w:id="48" w:name="_Toc14571"/>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ascii="宋体" w:hAnsi="宋体" w:eastAsia="宋体" w:cs="宋体"/>
          <w:b/>
          <w:color w:val="auto"/>
          <w:spacing w:val="-71"/>
          <w:sz w:val="28"/>
          <w:highlight w:val="none"/>
        </w:rPr>
        <w:t xml:space="preserve"> </w:t>
      </w:r>
      <w:r>
        <w:rPr>
          <w:rFonts w:hint="eastAsia" w:cs="宋体"/>
          <w:b/>
          <w:color w:val="auto"/>
          <w:sz w:val="28"/>
          <w:highlight w:val="none"/>
          <w:lang w:eastAsia="zh-CN"/>
        </w:rPr>
        <w:t>二</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资格审查条件（财务最低要求）</w:t>
      </w:r>
      <w:bookmarkEnd w:id="48"/>
    </w:p>
    <w:p>
      <w:pPr>
        <w:pStyle w:val="3"/>
        <w:jc w:val="center"/>
        <w:rPr>
          <w:rFonts w:hint="eastAsia" w:ascii="宋体" w:hAnsi="宋体" w:eastAsia="宋体" w:cs="宋体"/>
          <w:b/>
          <w:color w:val="auto"/>
          <w:sz w:val="20"/>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6" w:hRule="atLeast"/>
          <w:jc w:val="center"/>
        </w:trPr>
        <w:tc>
          <w:tcPr>
            <w:tcW w:w="899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8999" w:type="dxa"/>
            <w:noWrap w:val="0"/>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bl>
    <w:p>
      <w:pPr>
        <w:pStyle w:val="3"/>
        <w:rPr>
          <w:rFonts w:hint="eastAsia" w:ascii="宋体" w:hAnsi="宋体" w:eastAsia="宋体" w:cs="宋体"/>
          <w:b/>
          <w:color w:val="auto"/>
          <w:sz w:val="20"/>
          <w:highlight w:val="none"/>
        </w:rPr>
      </w:pPr>
    </w:p>
    <w:p>
      <w:pPr>
        <w:pStyle w:val="3"/>
        <w:rPr>
          <w:rFonts w:hint="eastAsia" w:ascii="宋体" w:hAnsi="宋体" w:eastAsia="宋体" w:cs="宋体"/>
          <w:b/>
          <w:color w:val="auto"/>
          <w:sz w:val="20"/>
          <w:highlight w:val="none"/>
        </w:rPr>
      </w:pPr>
    </w:p>
    <w:p>
      <w:pPr>
        <w:pStyle w:val="3"/>
        <w:rPr>
          <w:rFonts w:hint="eastAsia" w:ascii="宋体" w:hAnsi="宋体" w:eastAsia="宋体" w:cs="宋体"/>
          <w:b/>
          <w:color w:val="auto"/>
          <w:sz w:val="20"/>
          <w:highlight w:val="none"/>
        </w:rPr>
      </w:pPr>
    </w:p>
    <w:p>
      <w:pPr>
        <w:pStyle w:val="3"/>
        <w:spacing w:before="10"/>
        <w:rPr>
          <w:rFonts w:hint="eastAsia" w:ascii="宋体" w:hAnsi="宋体" w:eastAsia="宋体" w:cs="宋体"/>
          <w:color w:val="auto"/>
          <w:sz w:val="21"/>
          <w:highlight w:val="none"/>
        </w:rPr>
      </w:pPr>
    </w:p>
    <w:p>
      <w:pPr>
        <w:tabs>
          <w:tab w:val="left" w:pos="1095"/>
        </w:tabs>
        <w:spacing w:before="70"/>
        <w:ind w:left="39"/>
        <w:jc w:val="center"/>
        <w:outlineLvl w:val="2"/>
        <w:rPr>
          <w:rFonts w:hint="eastAsia" w:ascii="宋体" w:hAnsi="宋体" w:eastAsia="宋体" w:cs="宋体"/>
          <w:b/>
          <w:color w:val="auto"/>
          <w:sz w:val="28"/>
          <w:highlight w:val="none"/>
        </w:rPr>
      </w:pPr>
      <w:bookmarkStart w:id="49" w:name="_Toc26551"/>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ascii="宋体" w:hAnsi="宋体" w:eastAsia="宋体" w:cs="宋体"/>
          <w:b/>
          <w:color w:val="auto"/>
          <w:spacing w:val="-71"/>
          <w:sz w:val="28"/>
          <w:highlight w:val="none"/>
        </w:rPr>
        <w:t xml:space="preserve"> </w:t>
      </w:r>
      <w:r>
        <w:rPr>
          <w:rFonts w:hint="eastAsia" w:cs="宋体"/>
          <w:b/>
          <w:color w:val="auto"/>
          <w:sz w:val="28"/>
          <w:highlight w:val="none"/>
          <w:lang w:eastAsia="zh-CN"/>
        </w:rPr>
        <w:t>三</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资格审查条件（业绩最低要求）</w:t>
      </w:r>
      <w:bookmarkEnd w:id="49"/>
    </w:p>
    <w:p>
      <w:pPr>
        <w:tabs>
          <w:tab w:val="left" w:pos="1095"/>
        </w:tabs>
        <w:spacing w:before="70"/>
        <w:ind w:left="39"/>
        <w:jc w:val="center"/>
        <w:rPr>
          <w:rFonts w:hint="eastAsia" w:ascii="宋体" w:hAnsi="宋体" w:eastAsia="宋体" w:cs="宋体"/>
          <w:b/>
          <w:color w:val="auto"/>
          <w:sz w:val="14"/>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156" w:type="dxa"/>
            <w:tcBorders>
              <w:left w:val="single" w:color="auto" w:sz="12"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9156" w:type="dxa"/>
            <w:tcBorders>
              <w:left w:val="single" w:color="auto" w:sz="12" w:space="0"/>
            </w:tcBorders>
            <w:noWrap w:val="0"/>
            <w:vAlign w:val="center"/>
          </w:tcPr>
          <w:p>
            <w:p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无</w:t>
            </w:r>
          </w:p>
        </w:tc>
      </w:tr>
    </w:tbl>
    <w:p>
      <w:pPr>
        <w:pStyle w:val="3"/>
        <w:rPr>
          <w:rFonts w:hint="eastAsia" w:ascii="宋体" w:hAnsi="宋体" w:eastAsia="宋体" w:cs="宋体"/>
          <w:b/>
          <w:color w:val="auto"/>
          <w:sz w:val="28"/>
          <w:highlight w:val="none"/>
        </w:rPr>
      </w:pPr>
    </w:p>
    <w:p>
      <w:pPr>
        <w:pStyle w:val="3"/>
        <w:spacing w:before="2"/>
        <w:rPr>
          <w:rFonts w:hint="eastAsia" w:ascii="宋体" w:hAnsi="宋体" w:eastAsia="宋体" w:cs="宋体"/>
          <w:b/>
          <w:color w:val="auto"/>
          <w:highlight w:val="none"/>
        </w:rPr>
      </w:pPr>
    </w:p>
    <w:p>
      <w:pPr>
        <w:pStyle w:val="3"/>
        <w:rPr>
          <w:rFonts w:hint="eastAsia" w:ascii="宋体" w:hAnsi="宋体" w:eastAsia="宋体" w:cs="宋体"/>
          <w:color w:val="auto"/>
          <w:sz w:val="20"/>
          <w:highlight w:val="none"/>
        </w:rPr>
      </w:pPr>
    </w:p>
    <w:p>
      <w:pPr>
        <w:spacing w:line="312" w:lineRule="auto"/>
        <w:rPr>
          <w:rFonts w:hint="eastAsia" w:ascii="宋体" w:hAnsi="宋体" w:eastAsia="宋体" w:cs="宋体"/>
          <w:color w:val="auto"/>
          <w:sz w:val="18"/>
          <w:highlight w:val="none"/>
        </w:rPr>
        <w:sectPr>
          <w:type w:val="nextColumn"/>
          <w:pgSz w:w="11907" w:h="16840"/>
          <w:pgMar w:top="1361" w:right="1134" w:bottom="1361" w:left="1134" w:header="567" w:footer="567" w:gutter="0"/>
          <w:pgBorders>
            <w:top w:val="none" w:sz="0" w:space="0"/>
            <w:left w:val="none" w:sz="0" w:space="0"/>
            <w:bottom w:val="none" w:sz="0" w:space="0"/>
            <w:right w:val="none" w:sz="0" w:space="0"/>
          </w:pgBorders>
          <w:cols w:space="720" w:num="1"/>
        </w:sectPr>
      </w:pPr>
    </w:p>
    <w:p>
      <w:pPr>
        <w:tabs>
          <w:tab w:val="left" w:pos="1095"/>
        </w:tabs>
        <w:spacing w:before="109"/>
        <w:ind w:left="39"/>
        <w:jc w:val="center"/>
        <w:outlineLvl w:val="2"/>
        <w:rPr>
          <w:rFonts w:hint="eastAsia" w:ascii="宋体" w:hAnsi="宋体" w:eastAsia="宋体" w:cs="宋体"/>
          <w:b/>
          <w:color w:val="auto"/>
          <w:sz w:val="14"/>
          <w:highlight w:val="none"/>
        </w:rPr>
      </w:pPr>
      <w:bookmarkStart w:id="50" w:name="_Toc25516"/>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ascii="宋体" w:hAnsi="宋体" w:eastAsia="宋体" w:cs="宋体"/>
          <w:b/>
          <w:color w:val="auto"/>
          <w:spacing w:val="-71"/>
          <w:sz w:val="28"/>
          <w:highlight w:val="none"/>
        </w:rPr>
        <w:t xml:space="preserve"> </w:t>
      </w:r>
      <w:r>
        <w:rPr>
          <w:rFonts w:hint="eastAsia" w:cs="宋体"/>
          <w:b/>
          <w:color w:val="auto"/>
          <w:sz w:val="28"/>
          <w:highlight w:val="none"/>
          <w:lang w:eastAsia="zh-CN"/>
        </w:rPr>
        <w:t>四</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资格审查条件（信誉最低要求）</w:t>
      </w:r>
      <w:bookmarkEnd w:id="50"/>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9300"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7" w:hRule="atLeast"/>
          <w:jc w:val="center"/>
        </w:trPr>
        <w:tc>
          <w:tcPr>
            <w:tcW w:w="9300" w:type="dxa"/>
            <w:noWrap w:val="0"/>
            <w:vAlign w:val="center"/>
          </w:tcPr>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1</w:t>
            </w:r>
            <w:r>
              <w:rPr>
                <w:rFonts w:hint="eastAsia" w:ascii="宋体" w:hAnsi="宋体" w:eastAsia="宋体" w:cs="宋体"/>
                <w:color w:val="auto"/>
                <w:sz w:val="24"/>
                <w:highlight w:val="none"/>
              </w:rPr>
              <w:t>、投标人财产没有被接管或冻结。</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2</w:t>
            </w:r>
            <w:r>
              <w:rPr>
                <w:rFonts w:hint="eastAsia" w:ascii="宋体" w:hAnsi="宋体" w:eastAsia="宋体" w:cs="宋体"/>
                <w:color w:val="auto"/>
                <w:sz w:val="24"/>
                <w:highlight w:val="none"/>
              </w:rPr>
              <w:t>、投标人在最近三年内（发布招标公告前一日回溯三年，下同）没有骗取中标或合同中严重违约而被驱逐。</w:t>
            </w:r>
          </w:p>
          <w:p>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rPr>
              <w:t>在江西省交通运输厅</w:t>
            </w:r>
            <w:r>
              <w:rPr>
                <w:rFonts w:hint="eastAsia" w:ascii="宋体" w:hAnsi="宋体" w:eastAsia="宋体" w:cs="宋体"/>
                <w:color w:val="auto"/>
                <w:sz w:val="24"/>
                <w:highlight w:val="none"/>
                <w:lang w:val="en-US" w:eastAsia="zh-CN"/>
              </w:rPr>
              <w:t>最新</w:t>
            </w:r>
            <w:r>
              <w:rPr>
                <w:rFonts w:hint="eastAsia" w:ascii="宋体" w:hAnsi="宋体" w:eastAsia="宋体" w:cs="宋体"/>
                <w:color w:val="auto"/>
                <w:sz w:val="24"/>
                <w:highlight w:val="none"/>
                <w:lang w:val="en-US"/>
              </w:rPr>
              <w:t>发布的交通建设市场信用评价结果中未被评为D级（</w:t>
            </w:r>
            <w:r>
              <w:rPr>
                <w:rFonts w:hint="eastAsia" w:ascii="宋体" w:hAnsi="宋体" w:eastAsia="宋体" w:cs="宋体"/>
                <w:color w:val="auto"/>
                <w:sz w:val="24"/>
                <w:highlight w:val="none"/>
                <w:lang w:val="en-US" w:eastAsia="zh-CN"/>
              </w:rPr>
              <w:t>未被评价的投标人</w:t>
            </w:r>
            <w:r>
              <w:rPr>
                <w:rFonts w:hint="eastAsia" w:ascii="宋体" w:hAnsi="宋体" w:eastAsia="宋体" w:cs="宋体"/>
                <w:color w:val="auto"/>
                <w:sz w:val="24"/>
                <w:highlight w:val="none"/>
                <w:lang w:val="en-US"/>
              </w:rPr>
              <w:t>按B级</w:t>
            </w:r>
            <w:r>
              <w:rPr>
                <w:rFonts w:hint="eastAsia" w:ascii="宋体" w:hAnsi="宋体" w:eastAsia="宋体" w:cs="宋体"/>
                <w:color w:val="auto"/>
                <w:sz w:val="24"/>
                <w:highlight w:val="none"/>
                <w:lang w:val="en-US" w:eastAsia="zh-CN"/>
              </w:rPr>
              <w:t>信用对待</w:t>
            </w:r>
            <w:r>
              <w:rPr>
                <w:rFonts w:hint="eastAsia" w:ascii="宋体" w:hAnsi="宋体" w:eastAsia="宋体" w:cs="宋体"/>
                <w:color w:val="auto"/>
                <w:sz w:val="24"/>
                <w:highlight w:val="none"/>
                <w:lang w:val="en-US"/>
              </w:rPr>
              <w:t>）。</w:t>
            </w:r>
          </w:p>
          <w:p>
            <w:pPr>
              <w:pStyle w:val="2"/>
              <w:rPr>
                <w:rFonts w:hint="eastAsia"/>
                <w:highlight w:val="none"/>
              </w:rPr>
            </w:pPr>
          </w:p>
          <w:p>
            <w:pPr>
              <w:spacing w:line="360" w:lineRule="auto"/>
              <w:ind w:firstLine="482" w:firstLineChars="200"/>
              <w:rPr>
                <w:rFonts w:hint="eastAsia" w:ascii="宋体" w:hAnsi="宋体" w:eastAsia="宋体" w:cs="宋体"/>
                <w:color w:val="auto"/>
                <w:sz w:val="24"/>
                <w:highlight w:val="none"/>
                <w:lang w:val="en-US" w:eastAsia="zh-CN"/>
              </w:rPr>
            </w:pPr>
            <w:r>
              <w:rPr>
                <w:b/>
                <w:sz w:val="24"/>
                <w:highlight w:val="none"/>
              </w:rPr>
              <w:t>注：投标人信誉应同时符合</w:t>
            </w:r>
            <w:r>
              <w:rPr>
                <w:rFonts w:hint="eastAsia"/>
                <w:b/>
                <w:sz w:val="24"/>
                <w:highlight w:val="none"/>
                <w:lang w:eastAsia="zh-CN"/>
              </w:rPr>
              <w:t>交通运输部</w:t>
            </w:r>
            <w:r>
              <w:rPr>
                <w:b/>
                <w:sz w:val="24"/>
                <w:highlight w:val="none"/>
              </w:rPr>
              <w:t>《</w:t>
            </w:r>
            <w:r>
              <w:rPr>
                <w:rFonts w:hint="eastAsia"/>
                <w:b/>
                <w:sz w:val="24"/>
                <w:highlight w:val="none"/>
                <w:lang w:eastAsia="zh-CN"/>
              </w:rPr>
              <w:t>公路工程标准施工</w:t>
            </w:r>
            <w:r>
              <w:rPr>
                <w:b/>
                <w:sz w:val="24"/>
                <w:highlight w:val="none"/>
              </w:rPr>
              <w:t>招标文件》</w:t>
            </w:r>
            <w:r>
              <w:rPr>
                <w:rFonts w:hint="eastAsia"/>
                <w:b/>
                <w:sz w:val="24"/>
                <w:highlight w:val="none"/>
                <w:lang w:eastAsia="zh-CN"/>
              </w:rPr>
              <w:t>（</w:t>
            </w:r>
            <w:r>
              <w:rPr>
                <w:rFonts w:hint="eastAsia"/>
                <w:b/>
                <w:sz w:val="24"/>
                <w:highlight w:val="none"/>
                <w:lang w:val="en-US" w:eastAsia="zh-CN"/>
              </w:rPr>
              <w:t>2018年版第一册</w:t>
            </w:r>
            <w:r>
              <w:rPr>
                <w:rFonts w:hint="eastAsia"/>
                <w:b/>
                <w:sz w:val="24"/>
                <w:highlight w:val="none"/>
                <w:lang w:eastAsia="zh-CN"/>
              </w:rPr>
              <w:t>）</w:t>
            </w:r>
            <w:r>
              <w:rPr>
                <w:b/>
                <w:sz w:val="24"/>
                <w:highlight w:val="none"/>
              </w:rPr>
              <w:t>第二章“投标人须知”第 1.4.4 项的规定。</w:t>
            </w:r>
          </w:p>
          <w:p>
            <w:pPr>
              <w:spacing w:line="360" w:lineRule="auto"/>
              <w:ind w:firstLine="480" w:firstLineChars="200"/>
              <w:rPr>
                <w:rFonts w:hint="eastAsia" w:ascii="宋体" w:hAnsi="宋体" w:eastAsia="宋体" w:cs="宋体"/>
                <w:color w:val="auto"/>
                <w:sz w:val="24"/>
                <w:highlight w:val="none"/>
                <w:lang w:val="en-US"/>
              </w:rPr>
            </w:pPr>
          </w:p>
        </w:tc>
      </w:tr>
    </w:tbl>
    <w:p>
      <w:pPr>
        <w:pStyle w:val="3"/>
        <w:rPr>
          <w:rFonts w:hint="eastAsia" w:ascii="宋体" w:hAnsi="宋体" w:eastAsia="宋体" w:cs="宋体"/>
          <w:color w:val="auto"/>
          <w:sz w:val="20"/>
          <w:highlight w:val="none"/>
        </w:rPr>
      </w:pPr>
    </w:p>
    <w:p>
      <w:pPr>
        <w:tabs>
          <w:tab w:val="left" w:pos="2269"/>
        </w:tabs>
        <w:spacing w:before="226"/>
        <w:ind w:left="1214"/>
        <w:outlineLvl w:val="2"/>
        <w:rPr>
          <w:rFonts w:hint="eastAsia" w:ascii="宋体" w:hAnsi="宋体" w:eastAsia="宋体" w:cs="宋体"/>
          <w:b/>
          <w:color w:val="auto"/>
          <w:sz w:val="14"/>
          <w:highlight w:val="none"/>
        </w:rPr>
      </w:pPr>
      <w:bookmarkStart w:id="51" w:name="_Toc13361"/>
      <w:r>
        <w:rPr>
          <w:rFonts w:hint="eastAsia" w:ascii="宋体" w:hAnsi="宋体" w:eastAsia="宋体" w:cs="宋体"/>
          <w:b/>
          <w:color w:val="auto"/>
          <w:sz w:val="28"/>
          <w:highlight w:val="none"/>
        </w:rPr>
        <w:t>附</w:t>
      </w:r>
      <w:r>
        <w:rPr>
          <w:rFonts w:hint="eastAsia" w:eastAsia="宋体" w:cs="宋体"/>
          <w:b/>
          <w:color w:val="auto"/>
          <w:sz w:val="28"/>
          <w:highlight w:val="none"/>
          <w:lang w:eastAsia="zh-CN"/>
        </w:rPr>
        <w:t>表</w:t>
      </w:r>
      <w:r>
        <w:rPr>
          <w:rFonts w:hint="eastAsia" w:cs="宋体"/>
          <w:b/>
          <w:color w:val="auto"/>
          <w:spacing w:val="-72"/>
          <w:sz w:val="28"/>
          <w:highlight w:val="none"/>
          <w:lang w:eastAsia="zh-CN"/>
        </w:rPr>
        <w:t>五</w:t>
      </w:r>
      <w:r>
        <w:rPr>
          <w:rFonts w:hint="eastAsia" w:ascii="宋体" w:hAnsi="宋体" w:eastAsia="宋体" w:cs="宋体"/>
          <w:b/>
          <w:color w:val="auto"/>
          <w:sz w:val="28"/>
          <w:highlight w:val="none"/>
        </w:rPr>
        <w:tab/>
      </w:r>
      <w:r>
        <w:rPr>
          <w:rFonts w:hint="eastAsia" w:ascii="宋体" w:hAnsi="宋体" w:eastAsia="宋体" w:cs="宋体"/>
          <w:b/>
          <w:color w:val="auto"/>
          <w:sz w:val="28"/>
          <w:highlight w:val="none"/>
        </w:rPr>
        <w:t>资格审查条件（项目经理和项目总工最低要求）</w:t>
      </w:r>
      <w:bookmarkEnd w:id="51"/>
    </w:p>
    <w:p>
      <w:pPr>
        <w:pStyle w:val="3"/>
        <w:spacing w:before="12"/>
        <w:rPr>
          <w:rFonts w:hint="eastAsia" w:ascii="宋体" w:hAnsi="宋体" w:eastAsia="宋体" w:cs="宋体"/>
          <w:b/>
          <w:color w:val="auto"/>
          <w:sz w:val="18"/>
          <w:highlight w:val="none"/>
        </w:rPr>
      </w:pP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315"/>
        <w:gridCol w:w="3564"/>
        <w:gridCol w:w="2976"/>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425" w:type="dxa"/>
            <w:noWrap w:val="0"/>
            <w:vAlign w:val="top"/>
          </w:tcPr>
          <w:p>
            <w:pPr>
              <w:pStyle w:val="10"/>
              <w:tabs>
                <w:tab w:val="left" w:pos="432"/>
              </w:tabs>
              <w:spacing w:before="171"/>
              <w:ind w:left="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员</w:t>
            </w:r>
          </w:p>
        </w:tc>
        <w:tc>
          <w:tcPr>
            <w:tcW w:w="1315" w:type="dxa"/>
            <w:noWrap w:val="0"/>
            <w:vAlign w:val="top"/>
          </w:tcPr>
          <w:p>
            <w:pPr>
              <w:pStyle w:val="10"/>
              <w:tabs>
                <w:tab w:val="left" w:pos="883"/>
              </w:tabs>
              <w:spacing w:before="171"/>
              <w:ind w:left="4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量</w:t>
            </w:r>
          </w:p>
        </w:tc>
        <w:tc>
          <w:tcPr>
            <w:tcW w:w="3564" w:type="dxa"/>
            <w:noWrap w:val="0"/>
            <w:vAlign w:val="top"/>
          </w:tcPr>
          <w:p>
            <w:pPr>
              <w:pStyle w:val="10"/>
              <w:spacing w:before="171"/>
              <w:ind w:left="8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 格 要 求</w:t>
            </w:r>
          </w:p>
        </w:tc>
        <w:tc>
          <w:tcPr>
            <w:tcW w:w="2976" w:type="dxa"/>
            <w:noWrap w:val="0"/>
            <w:vAlign w:val="top"/>
          </w:tcPr>
          <w:p>
            <w:pPr>
              <w:pStyle w:val="10"/>
              <w:spacing w:before="171"/>
              <w:ind w:right="99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在岗要求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25" w:type="dxa"/>
            <w:noWrap w:val="0"/>
            <w:vAlign w:val="center"/>
          </w:tcPr>
          <w:p>
            <w:pPr>
              <w:pStyle w:val="10"/>
              <w:spacing w:before="157"/>
              <w:ind w:left="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3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64" w:type="dxa"/>
            <w:noWrap w:val="0"/>
            <w:vAlign w:val="center"/>
          </w:tcPr>
          <w:p>
            <w:pPr>
              <w:spacing w:line="360" w:lineRule="auto"/>
              <w:rPr>
                <w:rFonts w:hint="eastAsia" w:ascii="宋体" w:hAnsi="宋体" w:eastAsia="宋体" w:cs="宋体"/>
                <w:color w:val="auto"/>
                <w:spacing w:val="-14"/>
                <w:sz w:val="24"/>
                <w:szCs w:val="24"/>
                <w:highlight w:val="none"/>
                <w:lang w:val="en-US" w:eastAsia="zh-CN"/>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val="en-US" w:eastAsia="zh-CN"/>
              </w:rPr>
              <w:t>具有</w:t>
            </w:r>
            <w:r>
              <w:rPr>
                <w:rFonts w:hint="eastAsia" w:ascii="宋体" w:hAnsi="宋体" w:eastAsia="宋体" w:cs="宋体"/>
                <w:color w:val="auto"/>
                <w:spacing w:val="-14"/>
                <w:sz w:val="24"/>
                <w:szCs w:val="24"/>
                <w:highlight w:val="none"/>
                <w:lang w:val="en-US"/>
              </w:rPr>
              <w:t>公路工程相关专业</w:t>
            </w:r>
            <w:r>
              <w:rPr>
                <w:rFonts w:hint="eastAsia" w:ascii="宋体" w:hAnsi="宋体" w:eastAsia="宋体" w:cs="宋体"/>
                <w:color w:val="auto"/>
                <w:spacing w:val="-14"/>
                <w:sz w:val="24"/>
                <w:szCs w:val="24"/>
                <w:highlight w:val="none"/>
                <w:lang w:val="en-US" w:eastAsia="zh-CN"/>
              </w:rPr>
              <w:t>中级</w:t>
            </w:r>
            <w:r>
              <w:rPr>
                <w:rFonts w:hint="eastAsia" w:ascii="宋体" w:hAnsi="宋体" w:eastAsia="宋体" w:cs="宋体"/>
                <w:color w:val="auto"/>
                <w:spacing w:val="-14"/>
                <w:sz w:val="24"/>
                <w:szCs w:val="24"/>
                <w:highlight w:val="none"/>
                <w:lang w:val="en-US"/>
              </w:rPr>
              <w:t>工程师及以上职称</w:t>
            </w:r>
            <w:r>
              <w:rPr>
                <w:rFonts w:hint="eastAsia" w:ascii="宋体" w:hAnsi="宋体" w:eastAsia="宋体" w:cs="宋体"/>
                <w:color w:val="auto"/>
                <w:spacing w:val="-14"/>
                <w:sz w:val="24"/>
                <w:szCs w:val="24"/>
                <w:highlight w:val="none"/>
                <w:lang w:val="en-US" w:eastAsia="zh-CN"/>
              </w:rPr>
              <w:t>；</w:t>
            </w:r>
            <w:r>
              <w:rPr>
                <w:rFonts w:hint="eastAsia" w:ascii="宋体" w:hAnsi="宋体" w:eastAsia="宋体" w:cs="宋体"/>
                <w:color w:val="auto"/>
                <w:spacing w:val="-14"/>
                <w:sz w:val="24"/>
                <w:szCs w:val="24"/>
                <w:highlight w:val="none"/>
                <w:lang w:val="en-US"/>
              </w:rPr>
              <w:t>公路工程专业</w:t>
            </w:r>
            <w:r>
              <w:rPr>
                <w:rFonts w:hint="eastAsia" w:ascii="宋体" w:hAnsi="宋体" w:eastAsia="宋体" w:cs="宋体"/>
                <w:color w:val="auto"/>
                <w:spacing w:val="-14"/>
                <w:sz w:val="24"/>
                <w:szCs w:val="24"/>
                <w:highlight w:val="none"/>
                <w:lang w:val="en-US" w:eastAsia="zh-CN"/>
              </w:rPr>
              <w:t>一级</w:t>
            </w:r>
            <w:r>
              <w:rPr>
                <w:rFonts w:hint="eastAsia" w:ascii="宋体" w:hAnsi="宋体" w:eastAsia="宋体" w:cs="宋体"/>
                <w:color w:val="auto"/>
                <w:spacing w:val="-14"/>
                <w:sz w:val="24"/>
                <w:szCs w:val="24"/>
                <w:highlight w:val="none"/>
                <w:lang w:val="en-US"/>
              </w:rPr>
              <w:t>注册建造师执业资格证书</w:t>
            </w:r>
            <w:r>
              <w:rPr>
                <w:rFonts w:hint="eastAsia" w:eastAsia="宋体" w:cs="宋体"/>
                <w:color w:val="auto"/>
                <w:spacing w:val="-14"/>
                <w:sz w:val="24"/>
                <w:szCs w:val="24"/>
                <w:highlight w:val="none"/>
                <w:lang w:val="en-US" w:eastAsia="zh-CN"/>
              </w:rPr>
              <w:t>；持有交通运输主管部门颁发的</w:t>
            </w:r>
            <w:r>
              <w:rPr>
                <w:rFonts w:hint="eastAsia" w:ascii="宋体" w:hAnsi="宋体" w:eastAsia="宋体" w:cs="宋体"/>
                <w:color w:val="auto"/>
                <w:sz w:val="24"/>
                <w:szCs w:val="24"/>
                <w:highlight w:val="none"/>
              </w:rPr>
              <w:t>安全生产考核</w:t>
            </w:r>
            <w:r>
              <w:rPr>
                <w:rFonts w:hint="eastAsia" w:eastAsia="宋体" w:cs="宋体"/>
                <w:color w:val="auto"/>
                <w:sz w:val="24"/>
                <w:szCs w:val="24"/>
                <w:highlight w:val="none"/>
                <w:lang w:eastAsia="zh-CN"/>
              </w:rPr>
              <w:t>合格“</w:t>
            </w:r>
            <w:r>
              <w:rPr>
                <w:rFonts w:hint="eastAsia" w:eastAsia="宋体" w:cs="宋体"/>
                <w:color w:val="auto"/>
                <w:sz w:val="24"/>
                <w:szCs w:val="24"/>
                <w:highlight w:val="none"/>
                <w:lang w:val="en-US" w:eastAsia="zh-CN"/>
              </w:rPr>
              <w:t>B</w:t>
            </w:r>
            <w:r>
              <w:rPr>
                <w:rFonts w:hint="eastAsia" w:eastAsia="宋体" w:cs="宋体"/>
                <w:color w:val="auto"/>
                <w:sz w:val="24"/>
                <w:szCs w:val="24"/>
                <w:highlight w:val="none"/>
                <w:lang w:eastAsia="zh-CN"/>
              </w:rPr>
              <w:t>”类</w:t>
            </w:r>
            <w:r>
              <w:rPr>
                <w:rFonts w:hint="eastAsia" w:ascii="宋体" w:hAnsi="宋体" w:eastAsia="宋体" w:cs="宋体"/>
                <w:color w:val="auto"/>
                <w:sz w:val="24"/>
                <w:szCs w:val="24"/>
                <w:highlight w:val="none"/>
              </w:rPr>
              <w:t>证书</w:t>
            </w:r>
            <w:r>
              <w:rPr>
                <w:rFonts w:hint="eastAsia" w:ascii="宋体" w:hAnsi="宋体" w:eastAsia="宋体" w:cs="宋体"/>
                <w:color w:val="auto"/>
                <w:spacing w:val="-14"/>
                <w:sz w:val="24"/>
                <w:szCs w:val="24"/>
                <w:highlight w:val="none"/>
                <w:lang w:val="en-US" w:eastAsia="zh-CN"/>
              </w:rPr>
              <w:t>；年龄 55周岁及以下。</w:t>
            </w:r>
          </w:p>
        </w:tc>
        <w:tc>
          <w:tcPr>
            <w:tcW w:w="2976" w:type="dxa"/>
            <w:vMerge w:val="restart"/>
            <w:noWrap w:val="0"/>
            <w:vAlign w:val="center"/>
          </w:tcPr>
          <w:p>
            <w:pPr>
              <w:pStyle w:val="10"/>
              <w:spacing w:before="1" w:line="302" w:lineRule="auto"/>
              <w:ind w:left="105" w:right="95"/>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无在岗项目</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指目前未在其他</w:t>
            </w:r>
            <w:r>
              <w:rPr>
                <w:rFonts w:hint="eastAsia" w:ascii="宋体" w:hAnsi="宋体" w:eastAsia="宋体" w:cs="宋体"/>
                <w:color w:val="auto"/>
                <w:spacing w:val="-10"/>
                <w:sz w:val="24"/>
                <w:szCs w:val="24"/>
                <w:highlight w:val="none"/>
              </w:rPr>
              <w:t>项目上任职，或虽在其他项目</w:t>
            </w:r>
            <w:r>
              <w:rPr>
                <w:rFonts w:hint="eastAsia" w:ascii="宋体" w:hAnsi="宋体" w:eastAsia="宋体" w:cs="宋体"/>
                <w:color w:val="auto"/>
                <w:spacing w:val="8"/>
                <w:sz w:val="24"/>
                <w:szCs w:val="24"/>
                <w:highlight w:val="none"/>
              </w:rPr>
              <w:t>上任职但本项目中标后能够</w:t>
            </w:r>
            <w:r>
              <w:rPr>
                <w:rFonts w:hint="eastAsia" w:ascii="宋体" w:hAnsi="宋体" w:eastAsia="宋体" w:cs="宋体"/>
                <w:color w:val="auto"/>
                <w:sz w:val="24"/>
                <w:szCs w:val="24"/>
                <w:highlight w:val="none"/>
              </w:rPr>
              <w:t>从该项目撤离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在其他项目上任职的，应提供由该项目发包人出具的、承诺能够从该项目撤离的书面证明材料原件或彩色扫描件</w:t>
            </w:r>
            <w:r>
              <w:rPr>
                <w:rFonts w:hint="eastAsia" w:ascii="宋体" w:hAnsi="宋体" w:eastAsia="宋体" w:cs="宋体"/>
                <w:color w:val="auto"/>
                <w:sz w:val="24"/>
                <w:szCs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389" w:hRule="atLeast"/>
          <w:jc w:val="center"/>
        </w:trPr>
        <w:tc>
          <w:tcPr>
            <w:tcW w:w="1425" w:type="dxa"/>
            <w:noWrap w:val="0"/>
            <w:vAlign w:val="center"/>
          </w:tcPr>
          <w:p>
            <w:pPr>
              <w:pStyle w:val="10"/>
              <w:spacing w:before="157"/>
              <w:ind w:left="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项目总工</w:t>
            </w:r>
          </w:p>
        </w:tc>
        <w:tc>
          <w:tcPr>
            <w:tcW w:w="13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6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val="en-US" w:eastAsia="zh-CN"/>
              </w:rPr>
              <w:t>具备公路工程相关专业高级工程师及以上职称；持有</w:t>
            </w:r>
            <w:r>
              <w:rPr>
                <w:rFonts w:hint="eastAsia" w:eastAsia="宋体" w:cs="宋体"/>
                <w:color w:val="auto"/>
                <w:spacing w:val="-14"/>
                <w:sz w:val="24"/>
                <w:szCs w:val="24"/>
                <w:highlight w:val="none"/>
                <w:lang w:val="en-US" w:eastAsia="zh-CN"/>
              </w:rPr>
              <w:t>交通运输主管部门颁发的</w:t>
            </w:r>
            <w:r>
              <w:rPr>
                <w:rFonts w:hint="eastAsia" w:ascii="宋体" w:hAnsi="宋体" w:eastAsia="宋体" w:cs="宋体"/>
                <w:color w:val="auto"/>
                <w:spacing w:val="-14"/>
                <w:sz w:val="24"/>
                <w:szCs w:val="24"/>
                <w:highlight w:val="none"/>
                <w:lang w:val="en-US" w:eastAsia="zh-CN"/>
              </w:rPr>
              <w:t>安全生产考核合格</w:t>
            </w:r>
            <w:r>
              <w:rPr>
                <w:rFonts w:hint="eastAsia" w:eastAsia="宋体" w:cs="宋体"/>
                <w:color w:val="auto"/>
                <w:spacing w:val="-14"/>
                <w:sz w:val="24"/>
                <w:szCs w:val="24"/>
                <w:highlight w:val="none"/>
                <w:lang w:val="en-US" w:eastAsia="zh-CN"/>
              </w:rPr>
              <w:t>“B”类</w:t>
            </w:r>
            <w:r>
              <w:rPr>
                <w:rFonts w:hint="eastAsia" w:ascii="宋体" w:hAnsi="宋体" w:eastAsia="宋体" w:cs="宋体"/>
                <w:color w:val="auto"/>
                <w:spacing w:val="-14"/>
                <w:sz w:val="24"/>
                <w:szCs w:val="24"/>
                <w:highlight w:val="none"/>
                <w:lang w:val="en-US" w:eastAsia="zh-CN"/>
              </w:rPr>
              <w:t>证书；年龄 55 周岁及以下。</w:t>
            </w:r>
          </w:p>
        </w:tc>
        <w:tc>
          <w:tcPr>
            <w:tcW w:w="2976" w:type="dxa"/>
            <w:vMerge w:val="continue"/>
            <w:noWrap w:val="0"/>
            <w:vAlign w:val="top"/>
          </w:tcPr>
          <w:p>
            <w:pPr>
              <w:rPr>
                <w:rFonts w:hint="eastAsia" w:ascii="宋体" w:hAnsi="宋体" w:eastAsia="宋体" w:cs="宋体"/>
                <w:color w:val="auto"/>
                <w:sz w:val="24"/>
                <w:szCs w:val="24"/>
                <w:highlight w:val="none"/>
              </w:rPr>
            </w:pPr>
          </w:p>
        </w:tc>
      </w:tr>
    </w:tbl>
    <w:p>
      <w:pPr>
        <w:rPr>
          <w:rFonts w:hint="eastAsia" w:ascii="仿宋" w:hAnsi="仿宋" w:eastAsia="仿宋"/>
          <w:b/>
          <w:bCs/>
          <w:color w:val="000000"/>
          <w:spacing w:val="-6"/>
          <w:sz w:val="32"/>
          <w:szCs w:val="32"/>
          <w:highlight w:val="none"/>
        </w:rPr>
        <w:sectPr>
          <w:footerReference r:id="rId7" w:type="default"/>
          <w:headerReference r:id="rId6" w:type="even"/>
          <w:footerReference r:id="rId8" w:type="even"/>
          <w:type w:val="nextColumn"/>
          <w:pgSz w:w="11907" w:h="16840"/>
          <w:pgMar w:top="1361" w:right="1134" w:bottom="1361" w:left="1134" w:header="567" w:footer="567" w:gutter="0"/>
          <w:pgBorders>
            <w:top w:val="none" w:sz="0" w:space="0"/>
            <w:left w:val="none" w:sz="0" w:space="0"/>
            <w:bottom w:val="none" w:sz="0" w:space="0"/>
            <w:right w:val="none" w:sz="0" w:space="0"/>
          </w:pgBorders>
          <w:pgNumType w:fmt="decimal"/>
          <w:cols w:space="720" w:num="1"/>
          <w:docGrid w:linePitch="299" w:charSpace="0"/>
        </w:sectPr>
      </w:pPr>
    </w:p>
    <w:p>
      <w:pPr>
        <w:rPr>
          <w:rFonts w:hint="eastAsia" w:ascii="仿宋" w:hAnsi="仿宋" w:eastAsia="仿宋"/>
          <w:b/>
          <w:bCs/>
          <w:color w:val="000000"/>
          <w:spacing w:val="-6"/>
          <w:sz w:val="32"/>
          <w:szCs w:val="32"/>
          <w:highlight w:val="none"/>
        </w:rPr>
      </w:pPr>
      <w:r>
        <w:rPr>
          <w:rFonts w:hint="eastAsia" w:ascii="仿宋" w:hAnsi="仿宋" w:eastAsia="仿宋"/>
          <w:b/>
          <w:bCs/>
          <w:color w:val="000000"/>
          <w:spacing w:val="-6"/>
          <w:sz w:val="32"/>
          <w:szCs w:val="32"/>
          <w:highlight w:val="none"/>
        </w:rPr>
        <w:t>附件</w:t>
      </w:r>
      <w:r>
        <w:rPr>
          <w:rFonts w:hint="eastAsia" w:ascii="仿宋" w:hAnsi="仿宋" w:eastAsia="仿宋"/>
          <w:b/>
          <w:bCs/>
          <w:color w:val="000000"/>
          <w:spacing w:val="-6"/>
          <w:sz w:val="32"/>
          <w:szCs w:val="32"/>
          <w:highlight w:val="none"/>
          <w:lang w:val="en-US" w:eastAsia="zh-CN"/>
        </w:rPr>
        <w:t>1</w:t>
      </w:r>
      <w:r>
        <w:rPr>
          <w:rFonts w:hint="eastAsia" w:ascii="仿宋" w:hAnsi="仿宋" w:eastAsia="仿宋"/>
          <w:b/>
          <w:bCs/>
          <w:color w:val="000000"/>
          <w:spacing w:val="-6"/>
          <w:sz w:val="32"/>
          <w:szCs w:val="32"/>
          <w:highlight w:val="none"/>
        </w:rPr>
        <w:t>：</w:t>
      </w:r>
    </w:p>
    <w:p>
      <w:pPr>
        <w:jc w:val="center"/>
        <w:rPr>
          <w:rFonts w:hint="eastAsia" w:ascii="仿宋" w:hAnsi="仿宋" w:eastAsia="仿宋" w:cs="方正小标宋简体"/>
          <w:sz w:val="44"/>
          <w:szCs w:val="44"/>
          <w:highlight w:val="none"/>
        </w:rPr>
      </w:pPr>
      <w:r>
        <w:rPr>
          <w:rFonts w:hint="eastAsia" w:ascii="仿宋" w:hAnsi="仿宋" w:eastAsia="仿宋" w:cs="方正小标宋简体"/>
          <w:sz w:val="44"/>
          <w:szCs w:val="44"/>
          <w:highlight w:val="none"/>
          <w:lang w:eastAsia="zh-CN"/>
        </w:rPr>
        <w:t>开</w:t>
      </w:r>
      <w:r>
        <w:rPr>
          <w:rFonts w:hint="eastAsia" w:ascii="仿宋" w:hAnsi="仿宋" w:eastAsia="仿宋" w:cs="方正小标宋简体"/>
          <w:sz w:val="44"/>
          <w:szCs w:val="44"/>
          <w:highlight w:val="none"/>
        </w:rPr>
        <w:t>评标人员健康信息登记表</w:t>
      </w:r>
    </w:p>
    <w:tbl>
      <w:tblPr>
        <w:tblStyle w:val="6"/>
        <w:tblpPr w:leftFromText="180" w:rightFromText="180" w:vertAnchor="text" w:horzAnchor="page" w:tblpXSpec="center" w:tblpY="1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21"/>
        <w:gridCol w:w="1497"/>
        <w:gridCol w:w="735"/>
        <w:gridCol w:w="1142"/>
        <w:gridCol w:w="1594"/>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姓名</w:t>
            </w:r>
          </w:p>
        </w:tc>
        <w:tc>
          <w:tcPr>
            <w:tcW w:w="1497" w:type="dxa"/>
            <w:noWrap w:val="0"/>
            <w:vAlign w:val="center"/>
          </w:tcPr>
          <w:p>
            <w:pPr>
              <w:jc w:val="center"/>
              <w:rPr>
                <w:rFonts w:hint="eastAsia" w:ascii="仿宋" w:hAnsi="仿宋" w:eastAsia="仿宋" w:cs="仿宋"/>
                <w:highlight w:val="none"/>
              </w:rPr>
            </w:pPr>
          </w:p>
        </w:tc>
        <w:tc>
          <w:tcPr>
            <w:tcW w:w="1877"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身份证号码</w:t>
            </w:r>
          </w:p>
        </w:tc>
        <w:tc>
          <w:tcPr>
            <w:tcW w:w="3840" w:type="dxa"/>
            <w:gridSpan w:val="2"/>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现场测量体温</w:t>
            </w:r>
          </w:p>
        </w:tc>
        <w:tc>
          <w:tcPr>
            <w:tcW w:w="7214" w:type="dxa"/>
            <w:gridSpan w:val="5"/>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单位名称</w:t>
            </w:r>
          </w:p>
        </w:tc>
        <w:tc>
          <w:tcPr>
            <w:tcW w:w="7214" w:type="dxa"/>
            <w:gridSpan w:val="5"/>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单位地址</w:t>
            </w:r>
          </w:p>
        </w:tc>
        <w:tc>
          <w:tcPr>
            <w:tcW w:w="7214" w:type="dxa"/>
            <w:gridSpan w:val="5"/>
            <w:noWrap w:val="0"/>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个人住址</w:t>
            </w:r>
          </w:p>
        </w:tc>
        <w:tc>
          <w:tcPr>
            <w:tcW w:w="7214" w:type="dxa"/>
            <w:gridSpan w:val="5"/>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单位电话</w:t>
            </w:r>
          </w:p>
        </w:tc>
        <w:tc>
          <w:tcPr>
            <w:tcW w:w="2232" w:type="dxa"/>
            <w:gridSpan w:val="2"/>
            <w:noWrap w:val="0"/>
            <w:vAlign w:val="center"/>
          </w:tcPr>
          <w:p>
            <w:pPr>
              <w:jc w:val="center"/>
              <w:rPr>
                <w:rFonts w:ascii="仿宋" w:hAnsi="仿宋" w:eastAsia="仿宋" w:cs="仿宋"/>
                <w:highlight w:val="none"/>
              </w:rPr>
            </w:pPr>
          </w:p>
        </w:tc>
        <w:tc>
          <w:tcPr>
            <w:tcW w:w="2736"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个人手机</w:t>
            </w:r>
          </w:p>
        </w:tc>
        <w:tc>
          <w:tcPr>
            <w:tcW w:w="2246" w:type="dxa"/>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767"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人员身份</w:t>
            </w:r>
          </w:p>
        </w:tc>
        <w:tc>
          <w:tcPr>
            <w:tcW w:w="7214" w:type="dxa"/>
            <w:gridSpan w:val="5"/>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□招标人代表□招标代理□投标人代表□评标专家□监督人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3999" w:type="dxa"/>
            <w:gridSpan w:val="4"/>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参加：□开标□评标</w:t>
            </w:r>
          </w:p>
        </w:tc>
        <w:tc>
          <w:tcPr>
            <w:tcW w:w="2736" w:type="dxa"/>
            <w:gridSpan w:val="2"/>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开评标室号</w:t>
            </w:r>
          </w:p>
        </w:tc>
        <w:tc>
          <w:tcPr>
            <w:tcW w:w="2246" w:type="dxa"/>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646" w:type="dxa"/>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项目名称</w:t>
            </w:r>
          </w:p>
        </w:tc>
        <w:tc>
          <w:tcPr>
            <w:tcW w:w="7335" w:type="dxa"/>
            <w:gridSpan w:val="6"/>
            <w:noWrap w:val="0"/>
            <w:vAlign w:val="center"/>
          </w:tcPr>
          <w:p>
            <w:pPr>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b/>
                <w:bCs/>
                <w:sz w:val="32"/>
                <w:szCs w:val="32"/>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最近14天是否来自（或途径）疫情重点地区？</w:t>
            </w:r>
          </w:p>
          <w:p>
            <w:pPr>
              <w:jc w:val="center"/>
              <w:rPr>
                <w:rFonts w:hint="eastAsia" w:ascii="仿宋" w:hAnsi="仿宋" w:eastAsia="仿宋" w:cs="仿宋"/>
                <w:highlight w:val="none"/>
              </w:rPr>
            </w:pPr>
            <w:r>
              <w:rPr>
                <w:rFonts w:hint="eastAsia" w:ascii="仿宋" w:hAnsi="仿宋" w:eastAsia="仿宋" w:cs="仿宋"/>
                <w:highlight w:val="none"/>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最近14天是否离开过江西？□否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 xml:space="preserve">最近14天是否有与来自疫情重点地区人员接触？           </w:t>
            </w:r>
          </w:p>
          <w:p>
            <w:pPr>
              <w:jc w:val="center"/>
              <w:rPr>
                <w:rFonts w:hint="eastAsia" w:ascii="仿宋" w:hAnsi="仿宋" w:eastAsia="仿宋" w:cs="仿宋"/>
                <w:highlight w:val="none"/>
              </w:rPr>
            </w:pPr>
            <w:r>
              <w:rPr>
                <w:rFonts w:hint="eastAsia" w:ascii="仿宋" w:hAnsi="仿宋" w:eastAsia="仿宋" w:cs="仿宋"/>
                <w:highlight w:val="none"/>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exact"/>
          <w:jc w:val="center"/>
        </w:trPr>
        <w:tc>
          <w:tcPr>
            <w:tcW w:w="8981" w:type="dxa"/>
            <w:gridSpan w:val="7"/>
            <w:noWrap w:val="0"/>
            <w:vAlign w:val="center"/>
          </w:tcPr>
          <w:p>
            <w:pPr>
              <w:jc w:val="center"/>
              <w:rPr>
                <w:rFonts w:hint="eastAsia" w:ascii="仿宋" w:hAnsi="仿宋" w:eastAsia="仿宋" w:cs="仿宋"/>
                <w:highlight w:val="none"/>
              </w:rPr>
            </w:pPr>
            <w:r>
              <w:rPr>
                <w:rFonts w:hint="eastAsia" w:ascii="仿宋" w:hAnsi="仿宋" w:eastAsia="仿宋" w:cs="仿宋"/>
                <w:highlight w:val="none"/>
              </w:rPr>
              <w:t>本人承诺以上信息真实准确。如有不实，愿承担由此引发的一切后果及法律责任。</w:t>
            </w:r>
          </w:p>
          <w:p>
            <w:pPr>
              <w:jc w:val="center"/>
              <w:rPr>
                <w:rFonts w:hint="eastAsia" w:ascii="仿宋" w:hAnsi="仿宋" w:eastAsia="仿宋" w:cs="仿宋"/>
                <w:highlight w:val="none"/>
              </w:rPr>
            </w:pPr>
          </w:p>
          <w:p>
            <w:pPr>
              <w:jc w:val="center"/>
              <w:rPr>
                <w:rFonts w:hint="eastAsia" w:ascii="仿宋" w:hAnsi="仿宋" w:eastAsia="仿宋" w:cs="仿宋"/>
                <w:highlight w:val="none"/>
              </w:rPr>
            </w:pPr>
            <w:r>
              <w:rPr>
                <w:rFonts w:hint="eastAsia" w:ascii="仿宋" w:hAnsi="仿宋" w:eastAsia="仿宋" w:cs="仿宋"/>
                <w:highlight w:val="none"/>
              </w:rPr>
              <w:t xml:space="preserve">申报人（签名）：           日期： </w:t>
            </w:r>
          </w:p>
          <w:p>
            <w:pPr>
              <w:jc w:val="center"/>
              <w:rPr>
                <w:rFonts w:hint="eastAsia" w:ascii="仿宋" w:hAnsi="仿宋" w:eastAsia="仿宋" w:cs="仿宋"/>
                <w:highlight w:val="none"/>
              </w:rPr>
            </w:pPr>
          </w:p>
          <w:p>
            <w:pPr>
              <w:jc w:val="center"/>
              <w:rPr>
                <w:rFonts w:hint="eastAsia" w:ascii="仿宋" w:hAnsi="仿宋" w:eastAsia="仿宋" w:cs="仿宋"/>
                <w:highlight w:val="none"/>
              </w:rPr>
            </w:pPr>
            <w:r>
              <w:rPr>
                <w:rFonts w:hint="eastAsia" w:ascii="仿宋" w:hAnsi="仿宋" w:eastAsia="仿宋" w:cs="仿宋"/>
                <w:highlight w:val="none"/>
              </w:rPr>
              <w:t xml:space="preserve">所在单位（公章）   </w:t>
            </w: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p>
          <w:p>
            <w:pPr>
              <w:jc w:val="center"/>
              <w:rPr>
                <w:rFonts w:hint="eastAsia" w:ascii="仿宋" w:hAnsi="仿宋" w:eastAsia="仿宋" w:cs="仿宋"/>
                <w:highlight w:val="none"/>
              </w:rPr>
            </w:pPr>
            <w:r>
              <w:rPr>
                <w:rFonts w:hint="eastAsia" w:ascii="仿宋" w:hAnsi="仿宋" w:eastAsia="仿宋" w:cs="仿宋"/>
                <w:highlight w:val="none"/>
              </w:rPr>
              <w:t>所在单位（公章）</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12</w:t>
    </w:r>
    <w:r>
      <w:fldChar w:fldCharType="end"/>
    </w: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20</w:t>
    </w:r>
    <w:r>
      <w:fldChar w:fldCharType="end"/>
    </w:r>
  </w:p>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9860280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776.4pt;height:144pt;width:144pt;mso-position-horizontal:center;mso-position-horizontal-relative:margin;mso-position-vertical-relative:page;mso-wrap-style:none;z-index:251659264;mso-width-relative:page;mso-height-relative:page;" filled="f" stroked="f" coordsize="21600,21600" o:gfxdata="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GEgRbUAAAACgEAAA8AAAAAAAAAAQAgAAAAIgAAAGRycy9kb3ducmV2&#10;LnhtbFBLAQIUABQAAAAIAIdO4kD0CSeXxwEAAJkDAAAOAAAAAAAAAAEAIAAAACMBAABkcnMvZTJv&#10;RG9jLnhtbFBLBQYAAAAABgAGAFkBAABcBQ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t>12</w:t>
                    </w:r>
                    <w:r>
                      <w:fldChar w:fldCharType="end"/>
                    </w:r>
                  </w:p>
                </w:txbxContent>
              </v:textbox>
            </v:shape>
          </w:pict>
        </mc:Fallback>
      </mc:AlternateContent>
    </w:r>
  </w:p>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20</w:t>
    </w:r>
    <w:r>
      <w:fldChar w:fldCharType="end"/>
    </w:r>
  </w:p>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0"/>
      </w:rPr>
    </w:pPr>
    <w:r>
      <w:rPr>
        <w:rFonts w:hint="eastAsia"/>
        <w:bCs/>
        <w:lang w:val="en-US" w:eastAsia="zh-CN"/>
      </w:rPr>
      <w:t>大广高速公路龙杨段路面病害处治工程</w:t>
    </w:r>
    <w:r>
      <w:rPr>
        <w:rFonts w:hint="eastAsia"/>
        <w:bCs/>
        <w:lang w:val="en-US"/>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0"/>
      </w:rPr>
    </w:pPr>
    <w:r>
      <w:rPr>
        <w:rFonts w:hint="eastAsia"/>
        <w:bCs/>
        <w:lang w:val="en-US" w:eastAsia="zh-CN"/>
      </w:rPr>
      <w:t>大广、龙河、兴赣、宁兴、赣康、寻全高速2021-2023年度路面、桥梁、隧道检测招标</w:t>
    </w:r>
    <w:r>
      <w:rPr>
        <w:rFonts w:hint="eastAsia"/>
        <w:bCs/>
        <w:lang w:val="en-U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3px;height:13px" o:bullet="t">
        <v:imagedata r:id="rId1" o:title=""/>
      </v:shape>
    </w:pict>
  </w:numPicBullet>
  <w:abstractNum w:abstractNumId="0">
    <w:nsid w:val="6BB13A2E"/>
    <w:multiLevelType w:val="multilevel"/>
    <w:tmpl w:val="6BB13A2E"/>
    <w:lvl w:ilvl="0" w:tentative="0">
      <w:start w:val="1"/>
      <w:numFmt w:val="decimal"/>
      <w:lvlText w:val="%1."/>
      <w:lvlJc w:val="left"/>
      <w:pPr>
        <w:ind w:left="717" w:hanging="348"/>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369" w:hanging="420"/>
      </w:pPr>
      <w:rPr>
        <w:rFonts w:hint="default" w:ascii="Times New Roman" w:hAnsi="Times New Roman" w:eastAsia="Times New Roman" w:cs="Times New Roman"/>
        <w:spacing w:val="-51"/>
        <w:w w:val="100"/>
        <w:sz w:val="24"/>
        <w:szCs w:val="24"/>
        <w:lang w:val="zh-CN" w:eastAsia="zh-CN" w:bidi="zh-CN"/>
      </w:rPr>
    </w:lvl>
    <w:lvl w:ilvl="2" w:tentative="0">
      <w:start w:val="0"/>
      <w:numFmt w:val="bullet"/>
      <w:lvlText w:val="•"/>
      <w:lvlJc w:val="left"/>
      <w:pPr>
        <w:ind w:left="1260" w:hanging="420"/>
      </w:pPr>
      <w:rPr>
        <w:rFonts w:hint="default"/>
        <w:lang w:val="zh-CN" w:eastAsia="zh-CN" w:bidi="zh-CN"/>
      </w:rPr>
    </w:lvl>
    <w:lvl w:ilvl="3" w:tentative="0">
      <w:start w:val="0"/>
      <w:numFmt w:val="bullet"/>
      <w:lvlText w:val="•"/>
      <w:lvlJc w:val="left"/>
      <w:pPr>
        <w:ind w:left="2288" w:hanging="420"/>
      </w:pPr>
      <w:rPr>
        <w:rFonts w:hint="default"/>
        <w:lang w:val="zh-CN" w:eastAsia="zh-CN" w:bidi="zh-CN"/>
      </w:rPr>
    </w:lvl>
    <w:lvl w:ilvl="4" w:tentative="0">
      <w:start w:val="0"/>
      <w:numFmt w:val="bullet"/>
      <w:lvlText w:val="•"/>
      <w:lvlJc w:val="left"/>
      <w:pPr>
        <w:ind w:left="3316" w:hanging="420"/>
      </w:pPr>
      <w:rPr>
        <w:rFonts w:hint="default"/>
        <w:lang w:val="zh-CN" w:eastAsia="zh-CN" w:bidi="zh-CN"/>
      </w:rPr>
    </w:lvl>
    <w:lvl w:ilvl="5" w:tentative="0">
      <w:start w:val="0"/>
      <w:numFmt w:val="bullet"/>
      <w:lvlText w:val="•"/>
      <w:lvlJc w:val="left"/>
      <w:pPr>
        <w:ind w:left="4344" w:hanging="420"/>
      </w:pPr>
      <w:rPr>
        <w:rFonts w:hint="default"/>
        <w:lang w:val="zh-CN" w:eastAsia="zh-CN" w:bidi="zh-CN"/>
      </w:rPr>
    </w:lvl>
    <w:lvl w:ilvl="6" w:tentative="0">
      <w:start w:val="0"/>
      <w:numFmt w:val="bullet"/>
      <w:lvlText w:val="•"/>
      <w:lvlJc w:val="left"/>
      <w:pPr>
        <w:ind w:left="5373" w:hanging="420"/>
      </w:pPr>
      <w:rPr>
        <w:rFonts w:hint="default"/>
        <w:lang w:val="zh-CN" w:eastAsia="zh-CN" w:bidi="zh-CN"/>
      </w:rPr>
    </w:lvl>
    <w:lvl w:ilvl="7" w:tentative="0">
      <w:start w:val="0"/>
      <w:numFmt w:val="bullet"/>
      <w:lvlText w:val="•"/>
      <w:lvlJc w:val="left"/>
      <w:pPr>
        <w:ind w:left="6401" w:hanging="420"/>
      </w:pPr>
      <w:rPr>
        <w:rFonts w:hint="default"/>
        <w:lang w:val="zh-CN" w:eastAsia="zh-CN" w:bidi="zh-CN"/>
      </w:rPr>
    </w:lvl>
    <w:lvl w:ilvl="8" w:tentative="0">
      <w:start w:val="0"/>
      <w:numFmt w:val="bullet"/>
      <w:lvlText w:val="•"/>
      <w:lvlJc w:val="left"/>
      <w:pPr>
        <w:ind w:left="7429" w:hanging="420"/>
      </w:pPr>
      <w:rPr>
        <w:rFonts w:hint="default"/>
        <w:lang w:val="zh-CN" w:eastAsia="zh-CN" w:bidi="zh-CN"/>
      </w:rPr>
    </w:lvl>
  </w:abstractNum>
  <w:abstractNum w:abstractNumId="1">
    <w:nsid w:val="7EB9406C"/>
    <w:multiLevelType w:val="multilevel"/>
    <w:tmpl w:val="7EB9406C"/>
    <w:lvl w:ilvl="0" w:tentative="0">
      <w:start w:val="1"/>
      <w:numFmt w:val="bullet"/>
      <w:pStyle w:val="8"/>
      <w:lvlText w:val=""/>
      <w:lvlPicBulletId w:val="0"/>
      <w:lvlJc w:val="left"/>
      <w:pPr>
        <w:ind w:left="900" w:hanging="420"/>
      </w:pPr>
      <w:rPr>
        <w:rFonts w:hint="default" w:ascii="Symbol" w:hAnsi="Symbol"/>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3505C"/>
    <w:rsid w:val="03721650"/>
    <w:rsid w:val="03A27E87"/>
    <w:rsid w:val="09800CA4"/>
    <w:rsid w:val="24A752A8"/>
    <w:rsid w:val="3313505C"/>
    <w:rsid w:val="4ECD6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3"/>
    <w:basedOn w:val="1"/>
    <w:next w:val="1"/>
    <w:qFormat/>
    <w:uiPriority w:val="1"/>
    <w:pPr>
      <w:spacing w:before="45"/>
      <w:ind w:left="1881"/>
      <w:outlineLvl w:val="2"/>
    </w:pPr>
    <w:rPr>
      <w:rFonts w:ascii="黑体" w:hAnsi="黑体" w:eastAsia="黑体" w:cs="黑体"/>
      <w:sz w:val="40"/>
      <w:szCs w:val="4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4"/>
      <w:szCs w:val="24"/>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1-1级项目编号"/>
    <w:basedOn w:val="9"/>
    <w:qFormat/>
    <w:uiPriority w:val="0"/>
    <w:pPr>
      <w:numPr>
        <w:ilvl w:val="0"/>
        <w:numId w:val="1"/>
      </w:numPr>
    </w:pPr>
  </w:style>
  <w:style w:type="paragraph" w:customStyle="1" w:styleId="9">
    <w:name w:val="样式1-正文z"/>
    <w:basedOn w:val="1"/>
    <w:qFormat/>
    <w:uiPriority w:val="0"/>
    <w:pPr>
      <w:adjustRightInd w:val="0"/>
      <w:snapToGrid w:val="0"/>
      <w:spacing w:line="380" w:lineRule="exact"/>
      <w:ind w:firstLine="482"/>
      <w:textAlignment w:val="center"/>
    </w:pPr>
    <w:rPr>
      <w:snapToGrid w:val="0"/>
      <w:kern w:val="0"/>
      <w:sz w:val="24"/>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2021-08-13T01:44:00Z</dcterms:created>
  <dc:creator>宝贝丫</dc:creator>
  <cp:lastModifiedBy>宝贝丫</cp:lastModifiedBy>
  <cp:lastPrinted>2021-08-20T01:01:03Z</cp:lastPrinted>
  <dcterms:modified xsi:type="dcterms:W3CDTF">2021-08-20T01:19:11Z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F3A92901AD6941119A7214D80D1EF44D</vt:lpwstr>
  </property>
</Properties>
</file>