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0" w:after="140"/>
        <w:jc w:val="center"/>
        <w:rPr>
          <w:rFonts w:hint="default"/>
          <w:b w:val="0"/>
          <w:bCs w:val="0"/>
          <w:kern w:val="44"/>
          <w:sz w:val="32"/>
          <w:szCs w:val="32"/>
          <w:highlight w:val="none"/>
          <w:lang w:val="en-US" w:eastAsia="zh-CN"/>
        </w:rPr>
      </w:pPr>
      <w:bookmarkStart w:id="0" w:name="_Toc326590608"/>
      <w:bookmarkStart w:id="1" w:name="_Toc19222"/>
      <w:bookmarkStart w:id="2" w:name="_Toc509320083"/>
      <w:bookmarkStart w:id="3" w:name="_Toc360864647"/>
      <w:r>
        <w:rPr>
          <w:rFonts w:hint="eastAsia" w:ascii="黑体" w:hAnsi="黑体" w:eastAsia="黑体"/>
          <w:b w:val="0"/>
          <w:bCs w:val="0"/>
          <w:sz w:val="32"/>
          <w:szCs w:val="32"/>
          <w:highlight w:val="none"/>
          <w:lang w:val="en-US" w:eastAsia="zh-CN"/>
        </w:rPr>
        <w:t>赣州绕城高速公路赣州南收费站提升改造工程项目（机电工程）关键性内容公开</w:t>
      </w:r>
    </w:p>
    <w:bookmarkEnd w:id="0"/>
    <w:bookmarkEnd w:id="1"/>
    <w:bookmarkEnd w:id="2"/>
    <w:bookmarkEnd w:id="3"/>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4" w:name="_Toc16143"/>
      <w:bookmarkStart w:id="5" w:name="_Toc282"/>
      <w:bookmarkStart w:id="6" w:name="_Toc29950"/>
      <w:bookmarkStart w:id="7" w:name="_Toc25242"/>
      <w:r>
        <w:rPr>
          <w:rFonts w:hint="eastAsia" w:ascii="黑体" w:hAnsi="黑体" w:eastAsia="黑体" w:cs="黑体"/>
          <w:b w:val="0"/>
          <w:bCs w:val="0"/>
          <w:kern w:val="44"/>
          <w:sz w:val="28"/>
          <w:szCs w:val="28"/>
          <w:highlight w:val="none"/>
          <w:lang w:val="en-US" w:eastAsia="zh-CN"/>
        </w:rPr>
        <w:t>附表一   类别及标段划分一览表</w:t>
      </w:r>
    </w:p>
    <w:tbl>
      <w:tblPr>
        <w:tblStyle w:val="5"/>
        <w:tblW w:w="88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244"/>
        <w:gridCol w:w="2420"/>
        <w:gridCol w:w="5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1" w:hRule="atLeast"/>
          <w:tblHeader/>
          <w:jc w:val="center"/>
        </w:trPr>
        <w:tc>
          <w:tcPr>
            <w:tcW w:w="1244" w:type="dxa"/>
            <w:tcBorders>
              <w:tl2br w:val="nil"/>
              <w:tr2bl w:val="nil"/>
            </w:tcBorders>
            <w:noWrap w:val="0"/>
            <w:tcMar>
              <w:top w:w="0" w:type="dxa"/>
              <w:left w:w="108" w:type="dxa"/>
              <w:bottom w:w="0" w:type="dxa"/>
              <w:right w:w="108" w:type="dxa"/>
            </w:tcMar>
            <w:vAlign w:val="center"/>
          </w:tcPr>
          <w:p>
            <w:pPr>
              <w:jc w:val="center"/>
              <w:rPr>
                <w:rFonts w:ascii="宋体" w:hAnsi="宋体" w:cs="宋体"/>
                <w:color w:val="auto"/>
                <w:sz w:val="24"/>
                <w:szCs w:val="24"/>
                <w:highlight w:val="none"/>
              </w:rPr>
            </w:pPr>
            <w:r>
              <w:rPr>
                <w:rFonts w:hint="eastAsia"/>
                <w:color w:val="auto"/>
                <w:sz w:val="24"/>
                <w:szCs w:val="24"/>
                <w:highlight w:val="none"/>
              </w:rPr>
              <w:t>类别</w:t>
            </w:r>
          </w:p>
        </w:tc>
        <w:tc>
          <w:tcPr>
            <w:tcW w:w="2420"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color w:val="auto"/>
                <w:sz w:val="24"/>
                <w:szCs w:val="24"/>
                <w:highlight w:val="none"/>
                <w:lang w:eastAsia="zh-CN"/>
              </w:rPr>
            </w:pPr>
            <w:r>
              <w:rPr>
                <w:rFonts w:hint="eastAsia"/>
                <w:color w:val="auto"/>
                <w:sz w:val="24"/>
                <w:szCs w:val="24"/>
                <w:highlight w:val="none"/>
                <w:lang w:eastAsia="zh-CN"/>
              </w:rPr>
              <w:t>路段</w:t>
            </w:r>
          </w:p>
        </w:tc>
        <w:tc>
          <w:tcPr>
            <w:tcW w:w="5227" w:type="dxa"/>
            <w:tcBorders>
              <w:tl2br w:val="nil"/>
              <w:tr2bl w:val="nil"/>
            </w:tcBorders>
            <w:noWrap w:val="0"/>
            <w:tcMar>
              <w:top w:w="0" w:type="dxa"/>
              <w:left w:w="108" w:type="dxa"/>
              <w:bottom w:w="0" w:type="dxa"/>
              <w:right w:w="108" w:type="dxa"/>
            </w:tcMar>
            <w:vAlign w:val="center"/>
          </w:tcPr>
          <w:p>
            <w:pPr>
              <w:jc w:val="center"/>
              <w:rPr>
                <w:rFonts w:hint="default" w:ascii="宋体" w:hAnsi="宋体" w:eastAsia="宋体" w:cs="宋体"/>
                <w:color w:val="auto"/>
                <w:sz w:val="24"/>
                <w:szCs w:val="24"/>
                <w:highlight w:val="none"/>
                <w:lang w:val="en-US" w:eastAsia="zh-CN"/>
              </w:rPr>
            </w:pPr>
            <w:r>
              <w:rPr>
                <w:rFonts w:hint="eastAsia"/>
                <w:color w:val="auto"/>
                <w:sz w:val="24"/>
                <w:szCs w:val="24"/>
                <w:highlight w:val="none"/>
              </w:rPr>
              <w:t>主要</w:t>
            </w:r>
            <w:r>
              <w:rPr>
                <w:rFonts w:hint="eastAsia"/>
                <w:color w:val="auto"/>
                <w:sz w:val="24"/>
                <w:szCs w:val="24"/>
                <w:highlight w:val="none"/>
                <w:lang w:val="en-US" w:eastAsia="zh-CN"/>
              </w:rPr>
              <w:t>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67" w:hRule="atLeast"/>
          <w:jc w:val="center"/>
        </w:trPr>
        <w:tc>
          <w:tcPr>
            <w:tcW w:w="1244"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Ⅰ</w:t>
            </w:r>
          </w:p>
        </w:tc>
        <w:tc>
          <w:tcPr>
            <w:tcW w:w="2420"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jc w:val="center"/>
              <w:rPr>
                <w:rFonts w:hint="default" w:ascii="宋体" w:hAnsi="宋体" w:eastAsia="宋体" w:cs="宋体"/>
                <w:color w:val="auto"/>
                <w:sz w:val="24"/>
                <w:szCs w:val="24"/>
                <w:highlight w:val="none"/>
                <w:lang w:val="en-US"/>
              </w:rPr>
            </w:pPr>
            <w:r>
              <w:rPr>
                <w:rFonts w:hint="eastAsia" w:ascii="宋体" w:hAnsi="宋体" w:eastAsia="宋体" w:cs="宋体"/>
                <w:color w:val="000000"/>
                <w:kern w:val="0"/>
                <w:sz w:val="24"/>
                <w:szCs w:val="24"/>
                <w:highlight w:val="none"/>
                <w:lang w:val="en-US" w:eastAsia="zh-CN" w:bidi="ar"/>
              </w:rPr>
              <w:t>赣州南收费站</w:t>
            </w:r>
          </w:p>
        </w:tc>
        <w:tc>
          <w:tcPr>
            <w:tcW w:w="5227" w:type="dxa"/>
            <w:tcBorders>
              <w:tl2br w:val="nil"/>
              <w:tr2bl w:val="nil"/>
            </w:tcBorders>
            <w:noWrap w:val="0"/>
            <w:tcMar>
              <w:top w:w="0" w:type="dxa"/>
              <w:left w:w="108" w:type="dxa"/>
              <w:bottom w:w="0" w:type="dxa"/>
              <w:right w:w="108" w:type="dxa"/>
            </w:tcMar>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入口侧扩建1条混合车道、1条ETC车道，出口侧扩建1条混合车道；共新增2条混合车道设备、1条ETC专用车道设备。</w:t>
            </w:r>
          </w:p>
        </w:tc>
      </w:tr>
    </w:tbl>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8" w:name="_Toc509320084"/>
      <w:bookmarkStart w:id="9" w:name="_Toc360864648"/>
      <w:bookmarkStart w:id="10" w:name="_Toc5107"/>
      <w:r>
        <w:rPr>
          <w:rFonts w:hint="eastAsia" w:ascii="黑体" w:hAnsi="黑体" w:eastAsia="黑体" w:cs="黑体"/>
          <w:b w:val="0"/>
          <w:bCs w:val="0"/>
          <w:kern w:val="44"/>
          <w:sz w:val="28"/>
          <w:szCs w:val="28"/>
          <w:highlight w:val="none"/>
          <w:lang w:val="en-US" w:eastAsia="zh-CN"/>
        </w:rPr>
        <w:t>附表二   资质条件要求</w:t>
      </w:r>
      <w:bookmarkEnd w:id="8"/>
      <w:bookmarkEnd w:id="9"/>
      <w:bookmarkEnd w:id="10"/>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8960"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jc w:val="center"/>
        </w:trPr>
        <w:tc>
          <w:tcPr>
            <w:tcW w:w="8960" w:type="dxa"/>
            <w:noWrap w:val="0"/>
            <w:vAlign w:val="center"/>
          </w:tcPr>
          <w:p>
            <w:pPr>
              <w:spacing w:line="480" w:lineRule="exact"/>
              <w:ind w:firstLine="480"/>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Ⅰ</w:t>
            </w:r>
            <w:r>
              <w:rPr>
                <w:rFonts w:hint="eastAsia" w:ascii="宋体" w:hAnsi="宋体" w:eastAsia="宋体" w:cs="宋体"/>
                <w:sz w:val="24"/>
                <w:highlight w:val="none"/>
              </w:rPr>
              <w:t>类投标人必须</w:t>
            </w:r>
            <w:r>
              <w:rPr>
                <w:rFonts w:hint="eastAsia" w:ascii="宋体" w:hAnsi="宋体" w:eastAsia="宋体" w:cs="宋体"/>
                <w:b/>
                <w:sz w:val="24"/>
                <w:szCs w:val="24"/>
                <w:highlight w:val="none"/>
                <w:lang w:val="en-US" w:eastAsia="zh-CN"/>
              </w:rPr>
              <w:t>具有独立法人资格，持有有效的营业执照和安全生产许可证并</w:t>
            </w:r>
            <w:r>
              <w:rPr>
                <w:rFonts w:hint="eastAsia" w:ascii="宋体" w:hAnsi="宋体" w:eastAsia="宋体" w:cs="宋体"/>
                <w:sz w:val="24"/>
                <w:highlight w:val="none"/>
              </w:rPr>
              <w:t>具备以下资质：</w:t>
            </w:r>
          </w:p>
          <w:p>
            <w:pPr>
              <w:spacing w:line="480" w:lineRule="exact"/>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eastAsia="zh-CN"/>
              </w:rPr>
              <w:sym w:font="Wingdings 2" w:char="0052"/>
            </w:r>
            <w:r>
              <w:rPr>
                <w:rFonts w:hint="eastAsia" w:ascii="宋体" w:hAnsi="宋体" w:eastAsia="宋体" w:cs="宋体"/>
                <w:sz w:val="24"/>
                <w:highlight w:val="none"/>
                <w:lang w:eastAsia="zh-CN"/>
              </w:rPr>
              <w:t>具有住房和城乡建设主管部门颁发的</w:t>
            </w:r>
            <w:r>
              <w:rPr>
                <w:rFonts w:hint="eastAsia" w:ascii="宋体" w:hAnsi="宋体" w:eastAsia="宋体" w:cs="宋体"/>
                <w:sz w:val="24"/>
                <w:highlight w:val="none"/>
              </w:rPr>
              <w:t>公路交通工程专业承包公路机电工程分项</w:t>
            </w:r>
            <w:r>
              <w:rPr>
                <w:rFonts w:hint="eastAsia" w:ascii="宋体" w:hAnsi="宋体" w:eastAsia="宋体" w:cs="宋体"/>
                <w:sz w:val="24"/>
                <w:highlight w:val="none"/>
                <w:u w:val="single"/>
              </w:rPr>
              <w:t xml:space="preserve"> 一级</w:t>
            </w:r>
            <w:r>
              <w:rPr>
                <w:rFonts w:hint="eastAsia" w:ascii="宋体" w:hAnsi="宋体" w:eastAsia="宋体" w:cs="宋体"/>
                <w:sz w:val="24"/>
                <w:highlight w:val="none"/>
              </w:rPr>
              <w:t>。</w:t>
            </w:r>
          </w:p>
        </w:tc>
      </w:tr>
    </w:tbl>
    <w:p>
      <w:pPr>
        <w:rPr>
          <w:rFonts w:ascii="宋体" w:hAnsi="宋体"/>
          <w:sz w:val="24"/>
          <w:highlight w:val="none"/>
        </w:rPr>
      </w:pPr>
    </w:p>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11" w:name="_Toc19955"/>
      <w:bookmarkStart w:id="12" w:name="_Toc360864650"/>
      <w:bookmarkStart w:id="13" w:name="_Toc509320085"/>
      <w:r>
        <w:rPr>
          <w:rFonts w:hint="eastAsia" w:ascii="黑体" w:hAnsi="黑体" w:eastAsia="黑体" w:cs="黑体"/>
          <w:b w:val="0"/>
          <w:bCs w:val="0"/>
          <w:kern w:val="44"/>
          <w:sz w:val="28"/>
          <w:szCs w:val="28"/>
          <w:highlight w:val="none"/>
          <w:lang w:val="en-US" w:eastAsia="zh-CN"/>
        </w:rPr>
        <w:t>附表三   财务要求</w:t>
      </w:r>
      <w:bookmarkEnd w:id="11"/>
      <w:bookmarkEnd w:id="12"/>
      <w:bookmarkEnd w:id="13"/>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61" w:hRule="atLeast"/>
          <w:jc w:val="center"/>
        </w:trPr>
        <w:tc>
          <w:tcPr>
            <w:tcW w:w="8980" w:type="dxa"/>
            <w:noWrap w:val="0"/>
            <w:vAlign w:val="center"/>
          </w:tcPr>
          <w:p>
            <w:pPr>
              <w:jc w:val="center"/>
              <w:rPr>
                <w:rFonts w:hint="eastAsia" w:ascii="宋体" w:hAnsi="宋体"/>
                <w:sz w:val="24"/>
                <w:highlight w:val="none"/>
              </w:rPr>
            </w:pPr>
            <w:r>
              <w:rPr>
                <w:rFonts w:hint="eastAsia" w:ascii="宋体" w:hAnsi="宋体"/>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980" w:type="dxa"/>
            <w:noWrap w:val="0"/>
            <w:vAlign w:val="center"/>
          </w:tcPr>
          <w:p>
            <w:pPr>
              <w:jc w:val="center"/>
              <w:rPr>
                <w:rFonts w:hint="eastAsia" w:ascii="宋体" w:hAnsi="宋体" w:eastAsia="宋体"/>
                <w:sz w:val="24"/>
                <w:highlight w:val="none"/>
                <w:lang w:eastAsia="zh-CN"/>
              </w:rPr>
            </w:pPr>
            <w:r>
              <w:rPr>
                <w:rFonts w:hint="eastAsia" w:ascii="宋体" w:hAnsi="宋体"/>
                <w:sz w:val="24"/>
                <w:highlight w:val="none"/>
                <w:lang w:eastAsia="zh-CN"/>
              </w:rPr>
              <w:t>无</w:t>
            </w:r>
          </w:p>
        </w:tc>
      </w:tr>
    </w:tbl>
    <w:p>
      <w:pPr>
        <w:pStyle w:val="2"/>
        <w:spacing w:before="140" w:after="140"/>
        <w:jc w:val="left"/>
        <w:rPr>
          <w:rFonts w:hint="eastAsia"/>
          <w:b/>
          <w:bCs/>
          <w:kern w:val="44"/>
          <w:sz w:val="24"/>
          <w:highlight w:val="none"/>
          <w:lang w:val="en-US" w:eastAsia="zh-CN"/>
        </w:rPr>
      </w:pPr>
    </w:p>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14" w:name="_Toc360864649"/>
      <w:bookmarkStart w:id="15" w:name="_Toc509320086"/>
      <w:bookmarkStart w:id="16" w:name="_Toc8922"/>
      <w:r>
        <w:rPr>
          <w:rFonts w:hint="eastAsia" w:ascii="黑体" w:hAnsi="黑体" w:eastAsia="黑体" w:cs="黑体"/>
          <w:b w:val="0"/>
          <w:bCs w:val="0"/>
          <w:kern w:val="44"/>
          <w:sz w:val="28"/>
          <w:szCs w:val="28"/>
          <w:highlight w:val="none"/>
          <w:lang w:val="en-US" w:eastAsia="zh-CN"/>
        </w:rPr>
        <w:t>附表四   业绩要求</w:t>
      </w:r>
      <w:bookmarkEnd w:id="14"/>
      <w:bookmarkEnd w:id="15"/>
      <w:bookmarkEnd w:id="16"/>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50" w:hRule="atLeast"/>
          <w:jc w:val="center"/>
        </w:trPr>
        <w:tc>
          <w:tcPr>
            <w:tcW w:w="8980"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980" w:type="dxa"/>
            <w:noWrap w:val="0"/>
            <w:vAlign w:val="center"/>
          </w:tcPr>
          <w:p>
            <w:pPr>
              <w:spacing w:line="400" w:lineRule="exact"/>
              <w:ind w:firstLine="480" w:firstLineChars="200"/>
              <w:jc w:val="center"/>
              <w:rPr>
                <w:rFonts w:hint="default"/>
                <w:sz w:val="24"/>
                <w:szCs w:val="24"/>
                <w:highlight w:val="none"/>
                <w:lang w:val="en-US" w:eastAsia="zh-CN"/>
              </w:rPr>
            </w:pPr>
            <w:r>
              <w:rPr>
                <w:rFonts w:hint="eastAsia" w:ascii="宋体" w:hAnsi="宋体"/>
                <w:sz w:val="24"/>
                <w:szCs w:val="24"/>
                <w:highlight w:val="none"/>
                <w:lang w:eastAsia="zh-CN"/>
              </w:rPr>
              <w:t>无</w:t>
            </w:r>
          </w:p>
        </w:tc>
      </w:tr>
    </w:tbl>
    <w:p>
      <w:pPr>
        <w:rPr>
          <w:rFonts w:hint="eastAsia" w:ascii="宋体" w:hAnsi="宋体"/>
          <w:sz w:val="24"/>
          <w:highlight w:val="none"/>
        </w:rPr>
      </w:pPr>
    </w:p>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17" w:name="_Toc6495"/>
      <w:bookmarkStart w:id="18" w:name="_Toc509320087"/>
      <w:r>
        <w:rPr>
          <w:rFonts w:hint="eastAsia" w:ascii="黑体" w:hAnsi="黑体" w:eastAsia="黑体" w:cs="黑体"/>
          <w:b w:val="0"/>
          <w:bCs w:val="0"/>
          <w:kern w:val="44"/>
          <w:sz w:val="28"/>
          <w:szCs w:val="28"/>
          <w:highlight w:val="none"/>
          <w:lang w:val="en-US" w:eastAsia="zh-CN"/>
        </w:rPr>
        <w:t>附表五   资格审查条件(信誉要求)</w:t>
      </w:r>
      <w:bookmarkEnd w:id="17"/>
      <w:bookmarkEnd w:id="18"/>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8920"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427" w:hRule="atLeast"/>
          <w:jc w:val="center"/>
        </w:trPr>
        <w:tc>
          <w:tcPr>
            <w:tcW w:w="8920" w:type="dxa"/>
            <w:noWrap w:val="0"/>
            <w:vAlign w:val="center"/>
          </w:tcPr>
          <w:p>
            <w:pPr>
              <w:pStyle w:val="7"/>
              <w:adjustRightInd w:val="0"/>
              <w:snapToGrid w:val="0"/>
              <w:spacing w:before="0" w:beforeLines="0" w:after="0" w:afterLines="0" w:line="480" w:lineRule="exact"/>
              <w:ind w:firstLine="480"/>
              <w:rPr>
                <w:rFonts w:ascii="宋体" w:hAnsi="宋体"/>
                <w:sz w:val="24"/>
                <w:szCs w:val="24"/>
                <w:highlight w:val="none"/>
              </w:rPr>
            </w:pPr>
            <w:r>
              <w:rPr>
                <w:rFonts w:ascii="宋体" w:hAnsi="宋体"/>
                <w:sz w:val="24"/>
                <w:szCs w:val="24"/>
                <w:highlight w:val="none"/>
              </w:rPr>
              <w:t>①未受到责令停产、停业的行政处罚或未处于财务被接管、冻结、破产状态的情况。</w:t>
            </w:r>
          </w:p>
          <w:p>
            <w:pPr>
              <w:pStyle w:val="7"/>
              <w:adjustRightInd w:val="0"/>
              <w:snapToGrid w:val="0"/>
              <w:spacing w:before="0" w:beforeLines="0" w:after="0" w:afterLines="0" w:line="480" w:lineRule="exact"/>
              <w:ind w:firstLine="480"/>
              <w:rPr>
                <w:rFonts w:ascii="宋体" w:hAnsi="宋体"/>
                <w:sz w:val="24"/>
                <w:szCs w:val="24"/>
                <w:highlight w:val="none"/>
              </w:rPr>
            </w:pPr>
            <w:r>
              <w:rPr>
                <w:rFonts w:ascii="宋体" w:hAnsi="宋体"/>
                <w:sz w:val="24"/>
                <w:szCs w:val="24"/>
                <w:highlight w:val="none"/>
              </w:rPr>
              <w:t>②未被</w:t>
            </w:r>
            <w:r>
              <w:rPr>
                <w:rFonts w:hint="eastAsia" w:ascii="宋体" w:hAnsi="宋体"/>
                <w:sz w:val="24"/>
                <w:szCs w:val="24"/>
                <w:highlight w:val="none"/>
              </w:rPr>
              <w:t>江西省交通运输厅及以上管理部门取消在江西省内的投标资格或禁止进入江西省公路建设市场且处于有效期内。</w:t>
            </w:r>
          </w:p>
          <w:p>
            <w:pPr>
              <w:pStyle w:val="7"/>
              <w:adjustRightInd w:val="0"/>
              <w:snapToGrid w:val="0"/>
              <w:spacing w:before="0" w:beforeLines="0" w:after="0" w:afterLines="0" w:line="480" w:lineRule="exact"/>
              <w:ind w:firstLine="480"/>
              <w:rPr>
                <w:rFonts w:ascii="宋体" w:hAnsi="宋体"/>
                <w:sz w:val="24"/>
                <w:szCs w:val="24"/>
                <w:highlight w:val="none"/>
              </w:rPr>
            </w:pPr>
            <w:r>
              <w:rPr>
                <w:rFonts w:ascii="宋体" w:hAnsi="宋体"/>
                <w:sz w:val="24"/>
                <w:szCs w:val="24"/>
                <w:highlight w:val="none"/>
              </w:rPr>
              <w:t>③未出现在全国建筑市场诚信信息平台上正受到</w:t>
            </w:r>
            <w:r>
              <w:rPr>
                <w:rFonts w:hint="eastAsia" w:ascii="宋体" w:hAnsi="宋体"/>
                <w:sz w:val="24"/>
                <w:szCs w:val="24"/>
                <w:highlight w:val="none"/>
              </w:rPr>
              <w:t>住房和城乡</w:t>
            </w:r>
            <w:r>
              <w:rPr>
                <w:rFonts w:ascii="宋体" w:hAnsi="宋体"/>
                <w:sz w:val="24"/>
                <w:szCs w:val="24"/>
                <w:highlight w:val="none"/>
              </w:rPr>
              <w:t>建设部暂扣或吊销企业资质的处罚情况。</w:t>
            </w:r>
          </w:p>
          <w:p>
            <w:pPr>
              <w:pStyle w:val="7"/>
              <w:adjustRightInd w:val="0"/>
              <w:snapToGrid w:val="0"/>
              <w:spacing w:before="0" w:beforeLines="0" w:after="0" w:afterLines="0" w:line="480" w:lineRule="exact"/>
              <w:ind w:firstLine="480"/>
              <w:rPr>
                <w:rFonts w:ascii="宋体" w:hAnsi="宋体"/>
                <w:sz w:val="24"/>
                <w:szCs w:val="24"/>
                <w:highlight w:val="none"/>
              </w:rPr>
            </w:pPr>
            <w:r>
              <w:rPr>
                <w:rFonts w:ascii="宋体" w:hAnsi="宋体"/>
                <w:sz w:val="24"/>
                <w:szCs w:val="24"/>
                <w:highlight w:val="none"/>
              </w:rPr>
              <w:t>④无对本项目有重大影响的诉讼案件。</w:t>
            </w:r>
          </w:p>
          <w:p>
            <w:pPr>
              <w:pStyle w:val="7"/>
              <w:adjustRightInd w:val="0"/>
              <w:snapToGrid w:val="0"/>
              <w:spacing w:before="0" w:beforeLines="0" w:after="0" w:afterLines="0" w:line="480" w:lineRule="exact"/>
              <w:ind w:firstLine="480"/>
              <w:rPr>
                <w:rFonts w:ascii="宋体" w:hAnsi="宋体"/>
                <w:sz w:val="24"/>
                <w:szCs w:val="24"/>
                <w:highlight w:val="none"/>
              </w:rPr>
            </w:pPr>
            <w:r>
              <w:rPr>
                <w:rFonts w:ascii="宋体" w:hAnsi="宋体"/>
                <w:sz w:val="24"/>
                <w:szCs w:val="24"/>
                <w:highlight w:val="none"/>
              </w:rPr>
              <w:t>⑤</w:t>
            </w:r>
            <w:r>
              <w:rPr>
                <w:rFonts w:hint="eastAsia" w:ascii="宋体" w:hAnsi="宋体"/>
                <w:sz w:val="24"/>
                <w:szCs w:val="24"/>
                <w:highlight w:val="none"/>
              </w:rPr>
              <w:t>最</w:t>
            </w:r>
            <w:r>
              <w:rPr>
                <w:rFonts w:ascii="宋体" w:hAnsi="宋体"/>
                <w:sz w:val="24"/>
                <w:szCs w:val="24"/>
                <w:highlight w:val="none"/>
              </w:rPr>
              <w:t>近</w:t>
            </w:r>
            <w:r>
              <w:rPr>
                <w:rFonts w:hint="eastAsia" w:ascii="宋体" w:hAnsi="宋体"/>
                <w:sz w:val="24"/>
                <w:szCs w:val="24"/>
                <w:highlight w:val="none"/>
                <w:lang w:val="en-US" w:eastAsia="zh-CN"/>
              </w:rPr>
              <w:t>三</w:t>
            </w:r>
            <w:r>
              <w:rPr>
                <w:rFonts w:ascii="宋体" w:hAnsi="宋体"/>
                <w:sz w:val="24"/>
                <w:szCs w:val="24"/>
                <w:highlight w:val="none"/>
              </w:rPr>
              <w:t>年</w:t>
            </w:r>
            <w:r>
              <w:rPr>
                <w:rFonts w:hint="eastAsia" w:ascii="宋体" w:hAnsi="宋体"/>
                <w:sz w:val="24"/>
                <w:szCs w:val="24"/>
                <w:highlight w:val="none"/>
              </w:rPr>
              <w:t>（发布招标公告前一日回溯三年，下同）</w:t>
            </w:r>
            <w:r>
              <w:rPr>
                <w:rFonts w:ascii="宋体" w:hAnsi="宋体"/>
                <w:sz w:val="24"/>
                <w:szCs w:val="24"/>
                <w:highlight w:val="none"/>
              </w:rPr>
              <w:t>内未</w:t>
            </w:r>
            <w:r>
              <w:rPr>
                <w:rFonts w:hint="eastAsia" w:ascii="宋体" w:hAnsi="宋体"/>
                <w:sz w:val="24"/>
                <w:szCs w:val="24"/>
                <w:highlight w:val="none"/>
              </w:rPr>
              <w:t>发生</w:t>
            </w:r>
            <w:r>
              <w:rPr>
                <w:rFonts w:ascii="宋体" w:hAnsi="宋体"/>
                <w:sz w:val="24"/>
                <w:szCs w:val="24"/>
                <w:highlight w:val="none"/>
              </w:rPr>
              <w:t>骗取中标或严重违约或工程施工中存在有重大工程质量事故或重、特大安全事故</w:t>
            </w:r>
            <w:r>
              <w:rPr>
                <w:rFonts w:hint="eastAsia" w:ascii="宋体" w:hAnsi="宋体"/>
                <w:sz w:val="24"/>
                <w:szCs w:val="24"/>
                <w:highlight w:val="none"/>
              </w:rPr>
              <w:t>的情况</w:t>
            </w:r>
            <w:r>
              <w:rPr>
                <w:rFonts w:ascii="宋体" w:hAnsi="宋体"/>
                <w:sz w:val="24"/>
                <w:szCs w:val="24"/>
                <w:highlight w:val="none"/>
              </w:rPr>
              <w:t>。</w:t>
            </w:r>
          </w:p>
          <w:p>
            <w:pPr>
              <w:pStyle w:val="7"/>
              <w:adjustRightInd w:val="0"/>
              <w:snapToGrid w:val="0"/>
              <w:spacing w:before="0" w:beforeLines="0" w:after="0" w:afterLines="0" w:line="480" w:lineRule="exact"/>
              <w:ind w:firstLine="480"/>
              <w:rPr>
                <w:rFonts w:hint="eastAsia" w:ascii="宋体" w:hAnsi="宋体"/>
                <w:sz w:val="24"/>
                <w:szCs w:val="24"/>
                <w:highlight w:val="none"/>
              </w:rPr>
            </w:pPr>
            <w:r>
              <w:rPr>
                <w:rFonts w:ascii="宋体" w:hAnsi="宋体"/>
                <w:sz w:val="24"/>
                <w:szCs w:val="24"/>
                <w:highlight w:val="none"/>
              </w:rPr>
              <w:t>⑥在</w:t>
            </w:r>
            <w:r>
              <w:rPr>
                <w:rFonts w:hint="eastAsia" w:ascii="宋体" w:hAnsi="宋体"/>
                <w:sz w:val="24"/>
                <w:szCs w:val="24"/>
                <w:highlight w:val="none"/>
              </w:rPr>
              <w:t>江西省交通建设市场信用信息管理系统最新发布的信用评价结果中未被评为D级</w:t>
            </w:r>
            <w:r>
              <w:rPr>
                <w:rFonts w:ascii="宋体" w:hAnsi="宋体"/>
                <w:sz w:val="24"/>
                <w:szCs w:val="24"/>
                <w:highlight w:val="none"/>
              </w:rPr>
              <w:t>。</w:t>
            </w:r>
          </w:p>
          <w:p>
            <w:pPr>
              <w:pStyle w:val="7"/>
              <w:adjustRightInd w:val="0"/>
              <w:snapToGrid w:val="0"/>
              <w:spacing w:before="0" w:beforeLines="0" w:after="0" w:afterLines="0" w:line="440" w:lineRule="exact"/>
              <w:ind w:firstLine="480"/>
              <w:rPr>
                <w:rFonts w:hint="eastAsia" w:ascii="宋体" w:hAnsi="宋体"/>
                <w:sz w:val="24"/>
                <w:szCs w:val="24"/>
                <w:highlight w:val="none"/>
              </w:rPr>
            </w:pPr>
            <w:r>
              <w:rPr>
                <w:rFonts w:hint="eastAsia" w:ascii="宋体" w:hAnsi="宋体"/>
                <w:sz w:val="24"/>
                <w:szCs w:val="24"/>
                <w:highlight w:val="none"/>
              </w:rPr>
              <w:t>⑦投标人、投标人的法定代表人、委托代理人、拟任项目经理（及备选人）及项目总工（及备选人）近</w:t>
            </w:r>
            <w:r>
              <w:rPr>
                <w:rFonts w:hint="eastAsia" w:ascii="宋体" w:hAnsi="宋体"/>
                <w:sz w:val="24"/>
                <w:szCs w:val="24"/>
                <w:highlight w:val="none"/>
                <w:lang w:val="en-US" w:eastAsia="zh-CN"/>
              </w:rPr>
              <w:t>三</w:t>
            </w:r>
            <w:r>
              <w:rPr>
                <w:rFonts w:hint="eastAsia" w:ascii="宋体" w:hAnsi="宋体"/>
                <w:sz w:val="24"/>
                <w:szCs w:val="24"/>
                <w:highlight w:val="none"/>
              </w:rPr>
              <w:t>年内无行贿犯罪记录。</w:t>
            </w:r>
          </w:p>
        </w:tc>
      </w:tr>
    </w:tbl>
    <w:p>
      <w:pPr>
        <w:rPr>
          <w:rFonts w:hint="eastAsia" w:ascii="宋体" w:hAnsi="宋体"/>
          <w:sz w:val="24"/>
          <w:highlight w:val="none"/>
        </w:rPr>
      </w:pPr>
    </w:p>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19" w:name="_Toc7245"/>
      <w:bookmarkStart w:id="20" w:name="_Toc509320088"/>
      <w:r>
        <w:rPr>
          <w:rFonts w:hint="eastAsia" w:ascii="黑体" w:hAnsi="黑体" w:eastAsia="黑体" w:cs="黑体"/>
          <w:b w:val="0"/>
          <w:bCs w:val="0"/>
          <w:kern w:val="44"/>
          <w:sz w:val="28"/>
          <w:szCs w:val="28"/>
          <w:highlight w:val="none"/>
          <w:lang w:val="en-US" w:eastAsia="zh-CN"/>
        </w:rPr>
        <w:t>附表六   项目经理和项目总工资格要求</w:t>
      </w:r>
      <w:bookmarkEnd w:id="19"/>
      <w:bookmarkEnd w:id="20"/>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exact"/>
          <w:jc w:val="center"/>
        </w:trPr>
        <w:tc>
          <w:tcPr>
            <w:tcW w:w="2235"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人  员</w:t>
            </w:r>
          </w:p>
        </w:tc>
        <w:tc>
          <w:tcPr>
            <w:tcW w:w="1984"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数  量</w:t>
            </w:r>
          </w:p>
        </w:tc>
        <w:tc>
          <w:tcPr>
            <w:tcW w:w="5020"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2235"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项目经理</w:t>
            </w:r>
          </w:p>
        </w:tc>
        <w:tc>
          <w:tcPr>
            <w:tcW w:w="1984"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1</w:t>
            </w:r>
          </w:p>
        </w:tc>
        <w:tc>
          <w:tcPr>
            <w:tcW w:w="5020" w:type="dxa"/>
            <w:vMerge w:val="restart"/>
            <w:noWrap w:val="0"/>
            <w:vAlign w:val="center"/>
          </w:tcPr>
          <w:p>
            <w:pPr>
              <w:spacing w:line="480" w:lineRule="exact"/>
              <w:rPr>
                <w:rFonts w:hint="eastAsia" w:ascii="宋体" w:hAnsi="宋体"/>
                <w:sz w:val="24"/>
                <w:szCs w:val="24"/>
                <w:highlight w:val="none"/>
              </w:rPr>
            </w:pPr>
            <w:r>
              <w:rPr>
                <w:rFonts w:hint="eastAsia" w:ascii="宋体" w:hAnsi="宋体"/>
                <w:sz w:val="24"/>
                <w:szCs w:val="24"/>
                <w:highlight w:val="none"/>
              </w:rPr>
              <w:t>具备机电工程相关专业中级及以上职称，机电工程专业</w:t>
            </w:r>
            <w:r>
              <w:rPr>
                <w:rFonts w:hint="eastAsia" w:ascii="宋体" w:hAnsi="宋体"/>
                <w:sz w:val="24"/>
                <w:szCs w:val="24"/>
                <w:highlight w:val="none"/>
                <w:lang w:eastAsia="zh-CN"/>
              </w:rPr>
              <w:t>二</w:t>
            </w:r>
            <w:r>
              <w:rPr>
                <w:rFonts w:hint="eastAsia" w:ascii="宋体" w:hAnsi="宋体"/>
                <w:sz w:val="24"/>
                <w:szCs w:val="24"/>
                <w:highlight w:val="none"/>
              </w:rPr>
              <w:t>级注册建造师，持有安全生产考核合格“B类”证书</w:t>
            </w:r>
            <w:r>
              <w:rPr>
                <w:rFonts w:hint="eastAsia" w:ascii="宋体" w:hAnsi="宋体"/>
                <w:sz w:val="24"/>
                <w:szCs w:val="24"/>
                <w:highlight w:val="none"/>
                <w:lang w:eastAsia="zh-CN"/>
              </w:rPr>
              <w:t>；</w:t>
            </w:r>
            <w:r>
              <w:rPr>
                <w:rFonts w:hint="eastAsia" w:ascii="宋体" w:hAnsi="宋体"/>
                <w:sz w:val="24"/>
                <w:szCs w:val="24"/>
                <w:highlight w:val="none"/>
                <w:lang w:val="en-US" w:eastAsia="zh-CN"/>
              </w:rPr>
              <w:t>年龄</w:t>
            </w:r>
            <w:r>
              <w:rPr>
                <w:rFonts w:hint="eastAsia" w:ascii="宋体" w:hAnsi="宋体"/>
                <w:sz w:val="24"/>
                <w:szCs w:val="24"/>
                <w:highlight w:val="none"/>
                <w:u w:val="single"/>
                <w:lang w:val="en-US" w:eastAsia="zh-CN"/>
              </w:rPr>
              <w:t xml:space="preserve"> 55 </w:t>
            </w:r>
            <w:r>
              <w:rPr>
                <w:rFonts w:hint="eastAsia" w:ascii="宋体" w:hAnsi="宋体"/>
                <w:sz w:val="24"/>
                <w:szCs w:val="24"/>
                <w:highlight w:val="none"/>
                <w:u w:val="none"/>
                <w:lang w:val="en-US" w:eastAsia="zh-CN"/>
              </w:rPr>
              <w:t>周岁及以下</w:t>
            </w:r>
            <w:r>
              <w:rPr>
                <w:rFonts w:hint="eastAsia" w:ascii="宋体" w:hAnsi="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2235"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项目经理备选人</w:t>
            </w:r>
          </w:p>
        </w:tc>
        <w:tc>
          <w:tcPr>
            <w:tcW w:w="1984"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0</w:t>
            </w:r>
          </w:p>
        </w:tc>
        <w:tc>
          <w:tcPr>
            <w:tcW w:w="5020" w:type="dxa"/>
            <w:vMerge w:val="continue"/>
            <w:noWrap w:val="0"/>
            <w:vAlign w:val="center"/>
          </w:tcPr>
          <w:p>
            <w:pPr>
              <w:spacing w:line="480" w:lineRule="exact"/>
              <w:jc w:val="center"/>
              <w:rPr>
                <w:rFonts w:hint="eastAsia"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2235"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项目总工</w:t>
            </w:r>
          </w:p>
        </w:tc>
        <w:tc>
          <w:tcPr>
            <w:tcW w:w="1984"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1</w:t>
            </w:r>
          </w:p>
        </w:tc>
        <w:tc>
          <w:tcPr>
            <w:tcW w:w="5020" w:type="dxa"/>
            <w:vMerge w:val="restart"/>
            <w:noWrap w:val="0"/>
            <w:vAlign w:val="center"/>
          </w:tcPr>
          <w:p>
            <w:pPr>
              <w:spacing w:line="480" w:lineRule="exact"/>
              <w:rPr>
                <w:rFonts w:hint="eastAsia" w:ascii="宋体" w:hAnsi="宋体"/>
                <w:sz w:val="24"/>
                <w:szCs w:val="24"/>
                <w:highlight w:val="none"/>
              </w:rPr>
            </w:pPr>
            <w:r>
              <w:rPr>
                <w:rFonts w:hint="eastAsia" w:ascii="宋体" w:hAnsi="宋体"/>
                <w:sz w:val="24"/>
                <w:szCs w:val="24"/>
                <w:highlight w:val="none"/>
              </w:rPr>
              <w:t>具备机电工程</w:t>
            </w:r>
            <w:r>
              <w:rPr>
                <w:rFonts w:hint="eastAsia" w:ascii="宋体" w:hAnsi="宋体"/>
                <w:sz w:val="24"/>
                <w:szCs w:val="24"/>
                <w:highlight w:val="none"/>
                <w:lang w:val="en-US" w:eastAsia="zh-CN"/>
              </w:rPr>
              <w:t>相关专业</w:t>
            </w:r>
            <w:r>
              <w:rPr>
                <w:rFonts w:hint="eastAsia" w:ascii="宋体" w:hAnsi="宋体"/>
                <w:sz w:val="24"/>
                <w:szCs w:val="24"/>
                <w:highlight w:val="none"/>
              </w:rPr>
              <w:t>副高级及以上职称，持有安全生产考核合格“B类”证书</w:t>
            </w:r>
            <w:r>
              <w:rPr>
                <w:rFonts w:hint="eastAsia" w:ascii="宋体" w:hAnsi="宋体"/>
                <w:sz w:val="24"/>
                <w:szCs w:val="24"/>
                <w:highlight w:val="none"/>
                <w:lang w:eastAsia="zh-CN"/>
              </w:rPr>
              <w:t>；</w:t>
            </w:r>
            <w:r>
              <w:rPr>
                <w:rFonts w:hint="eastAsia" w:ascii="宋体" w:hAnsi="宋体"/>
                <w:sz w:val="24"/>
                <w:szCs w:val="24"/>
                <w:highlight w:val="none"/>
                <w:lang w:val="en-US" w:eastAsia="zh-CN"/>
              </w:rPr>
              <w:t>年龄</w:t>
            </w:r>
            <w:r>
              <w:rPr>
                <w:rFonts w:hint="eastAsia" w:ascii="宋体" w:hAnsi="宋体"/>
                <w:sz w:val="24"/>
                <w:szCs w:val="24"/>
                <w:highlight w:val="none"/>
                <w:u w:val="single"/>
                <w:lang w:val="en-US" w:eastAsia="zh-CN"/>
              </w:rPr>
              <w:t xml:space="preserve"> 55 </w:t>
            </w:r>
            <w:r>
              <w:rPr>
                <w:rFonts w:hint="eastAsia" w:ascii="宋体" w:hAnsi="宋体"/>
                <w:sz w:val="24"/>
                <w:szCs w:val="24"/>
                <w:highlight w:val="none"/>
                <w:u w:val="none"/>
                <w:lang w:val="en-US" w:eastAsia="zh-CN"/>
              </w:rPr>
              <w:t>周岁及以下</w:t>
            </w:r>
            <w:r>
              <w:rPr>
                <w:rFonts w:hint="eastAsia" w:ascii="宋体" w:hAnsi="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2235"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项目总工备选人</w:t>
            </w:r>
          </w:p>
        </w:tc>
        <w:tc>
          <w:tcPr>
            <w:tcW w:w="1984" w:type="dxa"/>
            <w:noWrap w:val="0"/>
            <w:vAlign w:val="center"/>
          </w:tcPr>
          <w:p>
            <w:pPr>
              <w:jc w:val="center"/>
              <w:rPr>
                <w:rFonts w:hint="eastAsia" w:ascii="宋体" w:hAnsi="宋体"/>
                <w:sz w:val="24"/>
                <w:szCs w:val="24"/>
                <w:highlight w:val="none"/>
              </w:rPr>
            </w:pPr>
            <w:r>
              <w:rPr>
                <w:rFonts w:hint="eastAsia" w:ascii="宋体" w:hAnsi="宋体"/>
                <w:sz w:val="24"/>
                <w:szCs w:val="24"/>
                <w:highlight w:val="none"/>
              </w:rPr>
              <w:t>0</w:t>
            </w:r>
          </w:p>
        </w:tc>
        <w:tc>
          <w:tcPr>
            <w:tcW w:w="5020" w:type="dxa"/>
            <w:vMerge w:val="continue"/>
            <w:noWrap w:val="0"/>
            <w:vAlign w:val="center"/>
          </w:tcPr>
          <w:p>
            <w:pPr>
              <w:jc w:val="center"/>
              <w:rPr>
                <w:rFonts w:hint="eastAsia" w:ascii="宋体" w:hAnsi="宋体"/>
                <w:sz w:val="24"/>
                <w:szCs w:val="24"/>
                <w:highlight w:val="none"/>
              </w:rPr>
            </w:pPr>
          </w:p>
        </w:tc>
      </w:tr>
    </w:tbl>
    <w:p>
      <w:pPr>
        <w:rPr>
          <w:rFonts w:hint="eastAsia" w:ascii="宋体" w:hAnsi="宋体"/>
          <w:sz w:val="24"/>
          <w:highlight w:val="none"/>
        </w:rPr>
      </w:pPr>
    </w:p>
    <w:p>
      <w:pPr>
        <w:pStyle w:val="2"/>
        <w:keepNext/>
        <w:keepLines/>
        <w:pageBreakBefore w:val="0"/>
        <w:widowControl w:val="0"/>
        <w:kinsoku/>
        <w:wordWrap/>
        <w:overflowPunct/>
        <w:topLinePunct w:val="0"/>
        <w:autoSpaceDE/>
        <w:autoSpaceDN/>
        <w:bidi w:val="0"/>
        <w:adjustRightInd/>
        <w:snapToGrid/>
        <w:spacing w:before="140" w:after="140" w:line="480" w:lineRule="exact"/>
        <w:jc w:val="center"/>
        <w:textAlignment w:val="auto"/>
        <w:rPr>
          <w:rFonts w:hint="eastAsia" w:ascii="黑体" w:hAnsi="黑体" w:eastAsia="黑体" w:cs="黑体"/>
          <w:b w:val="0"/>
          <w:bCs w:val="0"/>
          <w:kern w:val="44"/>
          <w:sz w:val="28"/>
          <w:szCs w:val="28"/>
          <w:highlight w:val="none"/>
          <w:lang w:val="en-US" w:eastAsia="zh-CN"/>
        </w:rPr>
      </w:pPr>
      <w:bookmarkStart w:id="21" w:name="_Toc19837"/>
      <w:r>
        <w:rPr>
          <w:rFonts w:hint="eastAsia" w:ascii="黑体" w:hAnsi="黑体" w:eastAsia="黑体" w:cs="黑体"/>
          <w:b w:val="0"/>
          <w:bCs w:val="0"/>
          <w:kern w:val="44"/>
          <w:sz w:val="28"/>
          <w:szCs w:val="28"/>
          <w:highlight w:val="none"/>
          <w:lang w:val="en-US" w:eastAsia="zh-CN"/>
        </w:rPr>
        <w:t>附表七   资格审查条件(其它要求)</w:t>
      </w:r>
      <w:bookmarkEnd w:id="21"/>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 它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jc w:val="center"/>
              <w:rPr>
                <w:rFonts w:hint="eastAsia" w:ascii="宋体" w:hAnsi="宋体" w:eastAsia="宋体" w:cs="宋体"/>
                <w:sz w:val="24"/>
                <w:szCs w:val="24"/>
                <w:highlight w:val="none"/>
              </w:rPr>
            </w:pPr>
          </w:p>
          <w:p>
            <w:pPr>
              <w:spacing w:line="360" w:lineRule="auto"/>
              <w:jc w:val="both"/>
              <w:rPr>
                <w:rFonts w:hint="eastAsia" w:ascii="宋体" w:hAnsi="宋体" w:eastAsia="宋体" w:cs="宋体"/>
                <w:kern w:val="44"/>
                <w:sz w:val="24"/>
                <w:szCs w:val="24"/>
                <w:highlight w:val="none"/>
              </w:rPr>
            </w:pPr>
            <w:r>
              <w:rPr>
                <w:rFonts w:hint="eastAsia" w:ascii="宋体" w:hAnsi="宋体" w:eastAsia="宋体" w:cs="宋体"/>
                <w:kern w:val="44"/>
                <w:sz w:val="24"/>
                <w:szCs w:val="24"/>
                <w:highlight w:val="none"/>
              </w:rPr>
              <w:t>附表5中信誉要求资格审查条件还应满足如下要求：</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）未被责令停业，暂扣或吊销执照，或吊销资质证书；</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）未进入清算程序，或被宣告破产，或其他丧失履约能力的情形；</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）未在国家企业信用信息公示系统（http://www.gsxt.gov.cn/）中被列入严重违法失信企业名单；</w:t>
            </w:r>
          </w:p>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）未在“信用中国”网站（http://www.creditchina.gov.cn/）中被列入失信被执行人名单</w:t>
            </w:r>
            <w:r>
              <w:rPr>
                <w:rFonts w:hint="eastAsia" w:ascii="宋体" w:hAnsi="宋体" w:eastAsia="宋体" w:cs="宋体"/>
                <w:sz w:val="24"/>
                <w:szCs w:val="24"/>
                <w:highlight w:val="none"/>
                <w:lang w:eastAsia="zh-CN"/>
              </w:rPr>
              <w:t>。</w:t>
            </w:r>
          </w:p>
          <w:p>
            <w:pPr>
              <w:spacing w:line="360" w:lineRule="auto"/>
              <w:jc w:val="left"/>
              <w:rPr>
                <w:rFonts w:hint="eastAsia" w:ascii="宋体" w:hAnsi="宋体" w:eastAsia="宋体" w:cs="宋体"/>
                <w:sz w:val="24"/>
                <w:szCs w:val="24"/>
                <w:highlight w:val="none"/>
                <w:lang w:eastAsia="zh-CN"/>
              </w:rPr>
            </w:pP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（投标人应参照投标文件 “表7-1近年履约信誉情况表” 格式在投标文件的其他材料中另表对上述四点进行说明，并应附投标人在国家企业信用信息公示系统中未被列入严重违法失信企业名单、在“信用中国”网站中未被列入失信被执行人名单的网页截图</w:t>
            </w:r>
            <w:r>
              <w:rPr>
                <w:rFonts w:hint="eastAsia" w:ascii="宋体" w:hAnsi="宋体" w:eastAsia="宋体" w:cs="宋体"/>
                <w:sz w:val="24"/>
                <w:szCs w:val="24"/>
                <w:highlight w:val="none"/>
                <w:lang w:val="en-US" w:eastAsia="zh-CN"/>
              </w:rPr>
              <w:t>。投标人在投标文件中瞒报行贿犯罪记录的，按投标资料弄虚作假处理。</w:t>
            </w:r>
          </w:p>
          <w:p>
            <w:pPr>
              <w:spacing w:line="360" w:lineRule="auto"/>
              <w:jc w:val="left"/>
              <w:rPr>
                <w:rFonts w:hint="eastAsia" w:ascii="宋体" w:hAnsi="宋体" w:eastAsia="宋体" w:cs="宋体"/>
                <w:sz w:val="24"/>
                <w:szCs w:val="24"/>
                <w:highlight w:val="none"/>
                <w:lang w:eastAsia="zh-CN"/>
              </w:rPr>
            </w:pPr>
          </w:p>
          <w:p>
            <w:pPr>
              <w:jc w:val="center"/>
              <w:rPr>
                <w:rFonts w:hint="eastAsia" w:ascii="宋体" w:hAnsi="宋体" w:eastAsia="宋体" w:cs="宋体"/>
                <w:sz w:val="24"/>
                <w:szCs w:val="24"/>
                <w:highlight w:val="none"/>
              </w:rPr>
            </w:pPr>
          </w:p>
        </w:tc>
      </w:tr>
    </w:tbl>
    <w:p>
      <w:pPr>
        <w:pStyle w:val="3"/>
        <w:keepLines w:val="0"/>
        <w:spacing w:before="120" w:beforeLines="50" w:after="120" w:afterLines="50" w:line="240" w:lineRule="auto"/>
        <w:jc w:val="center"/>
        <w:rPr>
          <w:rFonts w:hint="eastAsia" w:ascii="黑体" w:eastAsia="黑体"/>
          <w:sz w:val="36"/>
          <w:szCs w:val="36"/>
          <w:highlight w:val="none"/>
          <w:lang w:val="en-US" w:eastAsia="zh-CN"/>
        </w:rPr>
      </w:pPr>
    </w:p>
    <w:p>
      <w:pPr>
        <w:rPr>
          <w:rFonts w:hint="eastAsia" w:ascii="黑体" w:eastAsia="黑体"/>
          <w:sz w:val="36"/>
          <w:szCs w:val="36"/>
          <w:highlight w:val="none"/>
          <w:lang w:val="en-US" w:eastAsia="zh-CN"/>
        </w:rPr>
      </w:pPr>
    </w:p>
    <w:p>
      <w:pPr>
        <w:pStyle w:val="2"/>
        <w:rPr>
          <w:rFonts w:hint="eastAsia" w:ascii="黑体" w:eastAsia="黑体"/>
          <w:sz w:val="36"/>
          <w:szCs w:val="36"/>
          <w:highlight w:val="none"/>
          <w:lang w:val="en-US" w:eastAsia="zh-CN"/>
        </w:rPr>
      </w:pPr>
    </w:p>
    <w:p>
      <w:pPr>
        <w:rPr>
          <w:rFonts w:hint="eastAsia" w:ascii="黑体" w:eastAsia="黑体"/>
          <w:sz w:val="36"/>
          <w:szCs w:val="36"/>
          <w:highlight w:val="none"/>
          <w:lang w:val="en-US" w:eastAsia="zh-CN"/>
        </w:rPr>
      </w:pPr>
    </w:p>
    <w:p>
      <w:pPr>
        <w:pStyle w:val="3"/>
        <w:keepLines w:val="0"/>
        <w:spacing w:before="120" w:beforeLines="50" w:after="120" w:afterLines="50" w:line="240" w:lineRule="auto"/>
        <w:jc w:val="center"/>
        <w:rPr>
          <w:rFonts w:hint="eastAsia" w:ascii="黑体" w:eastAsia="黑体"/>
          <w:sz w:val="36"/>
          <w:szCs w:val="36"/>
          <w:highlight w:val="none"/>
          <w:lang w:val="en-US" w:eastAsia="zh-CN"/>
        </w:rPr>
      </w:pPr>
    </w:p>
    <w:p>
      <w:pPr>
        <w:rPr>
          <w:rFonts w:hint="eastAsia"/>
          <w:lang w:val="en-US" w:eastAsia="zh-CN"/>
        </w:rPr>
      </w:pPr>
    </w:p>
    <w:p>
      <w:pPr>
        <w:pStyle w:val="3"/>
        <w:keepNext/>
        <w:keepLines w:val="0"/>
        <w:pageBreakBefore w:val="0"/>
        <w:widowControl w:val="0"/>
        <w:kinsoku/>
        <w:wordWrap/>
        <w:overflowPunct/>
        <w:topLinePunct w:val="0"/>
        <w:autoSpaceDE/>
        <w:autoSpaceDN/>
        <w:bidi w:val="0"/>
        <w:adjustRightInd/>
        <w:snapToGrid/>
        <w:spacing w:before="120" w:beforeLines="50" w:after="120" w:afterLines="50" w:line="480" w:lineRule="exact"/>
        <w:jc w:val="center"/>
        <w:textAlignment w:val="auto"/>
        <w:rPr>
          <w:rFonts w:ascii="黑体" w:hAnsi="Cambria" w:eastAsia="黑体"/>
          <w:b w:val="0"/>
          <w:bCs w:val="0"/>
          <w:kern w:val="0"/>
          <w:sz w:val="36"/>
          <w:szCs w:val="36"/>
          <w:highlight w:val="none"/>
        </w:rPr>
      </w:pPr>
      <w:r>
        <w:rPr>
          <w:rFonts w:hint="eastAsia" w:ascii="黑体" w:eastAsia="黑体"/>
          <w:b w:val="0"/>
          <w:bCs w:val="0"/>
          <w:sz w:val="36"/>
          <w:szCs w:val="36"/>
          <w:highlight w:val="none"/>
          <w:lang w:val="en-US" w:eastAsia="zh-CN"/>
        </w:rPr>
        <w:t>第三章评标办法(合理低价法)</w:t>
      </w:r>
      <w:bookmarkEnd w:id="4"/>
      <w:bookmarkEnd w:id="5"/>
      <w:bookmarkEnd w:id="6"/>
    </w:p>
    <w:p>
      <w:pPr>
        <w:pStyle w:val="4"/>
        <w:keepNext/>
        <w:keepLines w:val="0"/>
        <w:pageBreakBefore w:val="0"/>
        <w:widowControl w:val="0"/>
        <w:kinsoku/>
        <w:wordWrap/>
        <w:overflowPunct/>
        <w:topLinePunct w:val="0"/>
        <w:autoSpaceDE/>
        <w:autoSpaceDN/>
        <w:bidi w:val="0"/>
        <w:adjustRightInd/>
        <w:snapToGrid/>
        <w:spacing w:before="157" w:beforeLines="50" w:after="157" w:afterLines="50" w:line="480" w:lineRule="exact"/>
        <w:jc w:val="center"/>
        <w:textAlignment w:val="auto"/>
        <w:rPr>
          <w:rFonts w:ascii="Times New Roman" w:hAnsi="Times New Roman" w:eastAsia="黑体"/>
          <w:b w:val="0"/>
          <w:bCs w:val="0"/>
          <w:kern w:val="44"/>
          <w:sz w:val="30"/>
          <w:szCs w:val="24"/>
          <w:highlight w:val="none"/>
          <w:lang w:val="en-US" w:eastAsia="zh-CN"/>
        </w:rPr>
      </w:pPr>
      <w:bookmarkStart w:id="22" w:name="_Toc30481"/>
      <w:bookmarkStart w:id="23" w:name="_Toc4508"/>
      <w:bookmarkStart w:id="24" w:name="_Toc10442"/>
      <w:r>
        <w:rPr>
          <w:rFonts w:ascii="Times New Roman" w:hAnsi="Times New Roman" w:eastAsia="黑体"/>
          <w:b w:val="0"/>
          <w:bCs w:val="0"/>
          <w:kern w:val="44"/>
          <w:sz w:val="30"/>
          <w:szCs w:val="24"/>
          <w:highlight w:val="none"/>
          <w:lang w:val="en-US" w:eastAsia="zh-CN"/>
        </w:rPr>
        <w:t>评标办法前附表</w:t>
      </w:r>
      <w:bookmarkEnd w:id="22"/>
      <w:bookmarkEnd w:id="23"/>
      <w:bookmarkEnd w:id="24"/>
    </w:p>
    <w:tbl>
      <w:tblPr>
        <w:tblStyle w:val="5"/>
        <w:tblpPr w:leftFromText="180" w:rightFromText="180" w:vertAnchor="text" w:horzAnchor="page" w:tblpXSpec="center" w:tblpY="835"/>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40"/>
        <w:gridCol w:w="79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1446" w:type="dxa"/>
            <w:gridSpan w:val="2"/>
            <w:noWrap w:val="0"/>
            <w:vAlign w:val="center"/>
          </w:tcPr>
          <w:p>
            <w:pPr>
              <w:spacing w:line="400" w:lineRule="atLeast"/>
              <w:jc w:val="center"/>
              <w:rPr>
                <w:b/>
                <w:szCs w:val="21"/>
                <w:highlight w:val="none"/>
              </w:rPr>
            </w:pPr>
            <w:r>
              <w:rPr>
                <w:b/>
                <w:szCs w:val="21"/>
                <w:highlight w:val="none"/>
              </w:rPr>
              <w:t>条款号</w:t>
            </w:r>
          </w:p>
        </w:tc>
        <w:tc>
          <w:tcPr>
            <w:tcW w:w="7914" w:type="dxa"/>
            <w:noWrap w:val="0"/>
            <w:vAlign w:val="center"/>
          </w:tcPr>
          <w:p>
            <w:pPr>
              <w:spacing w:line="400" w:lineRule="atLeast"/>
              <w:jc w:val="center"/>
              <w:rPr>
                <w:b/>
                <w:szCs w:val="21"/>
                <w:highlight w:val="none"/>
              </w:rPr>
            </w:pPr>
            <w:r>
              <w:rPr>
                <w:rFonts w:hint="eastAsia"/>
                <w:b/>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85" w:hRule="atLeast"/>
          <w:jc w:val="center"/>
        </w:trPr>
        <w:tc>
          <w:tcPr>
            <w:tcW w:w="606" w:type="dxa"/>
            <w:noWrap w:val="0"/>
            <w:vAlign w:val="center"/>
          </w:tcPr>
          <w:p>
            <w:pPr>
              <w:spacing w:line="400" w:lineRule="atLeast"/>
              <w:jc w:val="center"/>
              <w:rPr>
                <w:rFonts w:ascii="宋体" w:hAnsi="宋体"/>
                <w:szCs w:val="21"/>
                <w:highlight w:val="none"/>
              </w:rPr>
            </w:pPr>
            <w:r>
              <w:rPr>
                <w:rFonts w:hint="eastAsia" w:ascii="宋体" w:hAnsi="宋体"/>
                <w:szCs w:val="21"/>
                <w:highlight w:val="none"/>
              </w:rPr>
              <w:t>1</w:t>
            </w:r>
          </w:p>
        </w:tc>
        <w:tc>
          <w:tcPr>
            <w:tcW w:w="840" w:type="dxa"/>
            <w:noWrap w:val="0"/>
            <w:vAlign w:val="center"/>
          </w:tcPr>
          <w:p>
            <w:pPr>
              <w:spacing w:line="400" w:lineRule="atLeast"/>
              <w:jc w:val="center"/>
              <w:rPr>
                <w:szCs w:val="21"/>
                <w:highlight w:val="none"/>
              </w:rPr>
            </w:pPr>
            <w:r>
              <w:rPr>
                <w:rFonts w:hint="eastAsia"/>
                <w:szCs w:val="21"/>
                <w:highlight w:val="none"/>
              </w:rPr>
              <w:t>评</w:t>
            </w:r>
          </w:p>
          <w:p>
            <w:pPr>
              <w:spacing w:line="400" w:lineRule="atLeast"/>
              <w:jc w:val="center"/>
              <w:rPr>
                <w:szCs w:val="21"/>
                <w:highlight w:val="none"/>
              </w:rPr>
            </w:pPr>
            <w:r>
              <w:rPr>
                <w:rFonts w:hint="eastAsia"/>
                <w:szCs w:val="21"/>
                <w:highlight w:val="none"/>
              </w:rPr>
              <w:t>标</w:t>
            </w:r>
          </w:p>
          <w:p>
            <w:pPr>
              <w:spacing w:line="400" w:lineRule="atLeast"/>
              <w:jc w:val="center"/>
              <w:rPr>
                <w:szCs w:val="21"/>
                <w:highlight w:val="none"/>
              </w:rPr>
            </w:pPr>
            <w:r>
              <w:rPr>
                <w:rFonts w:hint="eastAsia"/>
                <w:szCs w:val="21"/>
                <w:highlight w:val="none"/>
              </w:rPr>
              <w:t>办</w:t>
            </w:r>
          </w:p>
          <w:p>
            <w:pPr>
              <w:spacing w:line="400" w:lineRule="atLeast"/>
              <w:jc w:val="center"/>
              <w:rPr>
                <w:rFonts w:ascii="宋体" w:hAnsi="宋体"/>
                <w:szCs w:val="21"/>
                <w:highlight w:val="none"/>
              </w:rPr>
            </w:pPr>
            <w:r>
              <w:rPr>
                <w:rFonts w:hint="eastAsia"/>
                <w:szCs w:val="21"/>
                <w:highlight w:val="none"/>
              </w:rPr>
              <w:t>法</w:t>
            </w:r>
          </w:p>
        </w:tc>
        <w:tc>
          <w:tcPr>
            <w:tcW w:w="7914" w:type="dxa"/>
            <w:noWrap w:val="0"/>
            <w:vAlign w:val="center"/>
          </w:tcPr>
          <w:p>
            <w:pPr>
              <w:spacing w:line="480" w:lineRule="exact"/>
              <w:ind w:firstLine="420" w:firstLineChars="200"/>
              <w:rPr>
                <w:rFonts w:hint="eastAsia" w:ascii="宋体" w:hAnsi="宋体"/>
                <w:szCs w:val="21"/>
                <w:highlight w:val="none"/>
              </w:rPr>
            </w:pPr>
            <w:r>
              <w:rPr>
                <w:rFonts w:hint="eastAsia" w:ascii="宋体" w:hAnsi="宋体"/>
                <w:szCs w:val="21"/>
                <w:highlight w:val="none"/>
              </w:rPr>
              <w:t>本次评标采用合理低价法。</w:t>
            </w:r>
          </w:p>
          <w:p>
            <w:pPr>
              <w:spacing w:line="480" w:lineRule="exact"/>
              <w:ind w:firstLine="420" w:firstLineChars="200"/>
              <w:rPr>
                <w:rFonts w:hint="eastAsia" w:ascii="宋体" w:hAnsi="宋体"/>
                <w:szCs w:val="21"/>
                <w:highlight w:val="none"/>
              </w:rPr>
            </w:pPr>
            <w:r>
              <w:rPr>
                <w:rFonts w:hint="eastAsia" w:ascii="宋体" w:hAnsi="宋体"/>
                <w:szCs w:val="21"/>
                <w:highlight w:val="none"/>
              </w:rPr>
              <w:t>单个投标人最多可通过第一信封（商务及技术文件）评审的类别应符合第一章第3.3款规定，同时应满足各类别最多可通过第一信封（商务及技术文件）评审的资格数量不超过其相应类别已递交的投标保证金份数。</w:t>
            </w:r>
          </w:p>
          <w:p>
            <w:pPr>
              <w:adjustRightInd w:val="0"/>
              <w:snapToGrid w:val="0"/>
              <w:spacing w:line="480" w:lineRule="exact"/>
              <w:ind w:firstLine="420" w:firstLineChars="200"/>
              <w:rPr>
                <w:rFonts w:hint="eastAsia" w:ascii="宋体" w:hAnsi="宋体"/>
                <w:szCs w:val="21"/>
                <w:highlight w:val="none"/>
              </w:rPr>
            </w:pPr>
            <w:r>
              <w:rPr>
                <w:rFonts w:ascii="宋体" w:hAnsi="宋体"/>
                <w:szCs w:val="21"/>
                <w:highlight w:val="none"/>
              </w:rPr>
              <w:t>评标委员会</w:t>
            </w:r>
            <w:r>
              <w:rPr>
                <w:rFonts w:hint="eastAsia" w:ascii="宋体" w:hAnsi="宋体"/>
                <w:szCs w:val="21"/>
                <w:highlight w:val="none"/>
              </w:rPr>
              <w:t>根据第二信封（报价文件）开标现场随机确定的评标基准价计算方法和相应参数确定评标基准价（投标报价超过最高投标限价的，不参与评标基准价的计算），</w:t>
            </w:r>
            <w:r>
              <w:rPr>
                <w:rFonts w:ascii="宋体" w:hAnsi="宋体"/>
                <w:szCs w:val="21"/>
                <w:highlight w:val="none"/>
              </w:rPr>
              <w:t>对</w:t>
            </w:r>
            <w:r>
              <w:rPr>
                <w:rFonts w:hint="eastAsia" w:ascii="宋体" w:hAnsi="宋体"/>
                <w:szCs w:val="21"/>
                <w:highlight w:val="none"/>
              </w:rPr>
              <w:t>第二次开标有效的</w:t>
            </w:r>
            <w:r>
              <w:rPr>
                <w:rFonts w:ascii="宋体" w:hAnsi="宋体"/>
                <w:szCs w:val="21"/>
                <w:highlight w:val="none"/>
              </w:rPr>
              <w:t>投标文件</w:t>
            </w:r>
            <w:r>
              <w:rPr>
                <w:rFonts w:hint="eastAsia" w:ascii="宋体" w:hAnsi="宋体"/>
                <w:szCs w:val="21"/>
                <w:highlight w:val="none"/>
              </w:rPr>
              <w:t>第二信封（报价文件），</w:t>
            </w:r>
            <w:r>
              <w:rPr>
                <w:rFonts w:ascii="宋体" w:hAnsi="宋体"/>
                <w:szCs w:val="21"/>
                <w:highlight w:val="none"/>
              </w:rPr>
              <w:t>按照本章第2.2款规定的标准进行</w:t>
            </w:r>
            <w:r>
              <w:rPr>
                <w:rFonts w:hint="eastAsia" w:ascii="宋体" w:hAnsi="宋体"/>
                <w:szCs w:val="21"/>
                <w:highlight w:val="none"/>
              </w:rPr>
              <w:t>投标报价评</w:t>
            </w:r>
            <w:r>
              <w:rPr>
                <w:rFonts w:ascii="宋体" w:hAnsi="宋体"/>
                <w:szCs w:val="21"/>
                <w:highlight w:val="none"/>
              </w:rPr>
              <w:t>分，</w:t>
            </w:r>
            <w:r>
              <w:rPr>
                <w:rFonts w:hint="eastAsia" w:ascii="宋体" w:hAnsi="宋体"/>
                <w:szCs w:val="21"/>
                <w:highlight w:val="none"/>
              </w:rPr>
              <w:t>计算出投标人的综合得分，</w:t>
            </w:r>
            <w:r>
              <w:rPr>
                <w:rFonts w:ascii="宋体" w:hAnsi="宋体"/>
                <w:szCs w:val="21"/>
                <w:highlight w:val="none"/>
              </w:rPr>
              <w:t>并按</w:t>
            </w:r>
            <w:r>
              <w:rPr>
                <w:rFonts w:hint="eastAsia" w:ascii="宋体" w:hAnsi="宋体"/>
                <w:szCs w:val="21"/>
                <w:highlight w:val="none"/>
              </w:rPr>
              <w:t>投标人综合</w:t>
            </w:r>
            <w:r>
              <w:rPr>
                <w:rFonts w:ascii="宋体" w:hAnsi="宋体"/>
                <w:szCs w:val="21"/>
                <w:highlight w:val="none"/>
              </w:rPr>
              <w:t>得分由高到低</w:t>
            </w:r>
            <w:r>
              <w:rPr>
                <w:rFonts w:hint="eastAsia" w:ascii="宋体" w:hAnsi="宋体"/>
                <w:szCs w:val="21"/>
                <w:highlight w:val="none"/>
              </w:rPr>
              <w:t>的</w:t>
            </w:r>
            <w:r>
              <w:rPr>
                <w:rFonts w:ascii="宋体" w:hAnsi="宋体"/>
                <w:szCs w:val="21"/>
                <w:highlight w:val="none"/>
              </w:rPr>
              <w:t>顺序</w:t>
            </w:r>
            <w:r>
              <w:rPr>
                <w:rFonts w:hint="eastAsia" w:ascii="宋体" w:hAnsi="宋体"/>
                <w:szCs w:val="21"/>
                <w:highlight w:val="none"/>
              </w:rPr>
              <w:t>进行排名</w:t>
            </w:r>
            <w:r>
              <w:rPr>
                <w:rFonts w:ascii="宋体" w:hAnsi="宋体"/>
                <w:szCs w:val="21"/>
                <w:highlight w:val="none"/>
              </w:rPr>
              <w:t>推荐</w:t>
            </w:r>
            <w:r>
              <w:rPr>
                <w:rFonts w:hint="eastAsia" w:ascii="宋体" w:hAnsi="宋体"/>
                <w:szCs w:val="21"/>
                <w:highlight w:val="none"/>
              </w:rPr>
              <w:t>3家</w:t>
            </w:r>
            <w:r>
              <w:rPr>
                <w:rFonts w:ascii="宋体" w:hAnsi="宋体"/>
                <w:szCs w:val="21"/>
                <w:highlight w:val="none"/>
              </w:rPr>
              <w:t>中标候选人</w:t>
            </w:r>
            <w:r>
              <w:rPr>
                <w:rFonts w:hint="eastAsia" w:ascii="宋体" w:hAnsi="宋体"/>
                <w:szCs w:val="21"/>
                <w:highlight w:val="none"/>
              </w:rPr>
              <w:t>，或根据招标人授权直接确定中标人，但投标报价低于其成本的除外。当综合得分相同时，以投标报价低者优先；再相同时，依次以信用等级高者、业绩得分高者、项目管理人员得分高者、施工组织设计得分高者、财务能力得分高者优先。</w:t>
            </w:r>
          </w:p>
          <w:p>
            <w:pPr>
              <w:adjustRightInd w:val="0"/>
              <w:snapToGrid w:val="0"/>
              <w:spacing w:line="480" w:lineRule="exact"/>
              <w:ind w:firstLine="412" w:firstLineChars="200"/>
              <w:rPr>
                <w:rFonts w:hint="eastAsia" w:ascii="宋体" w:hAnsi="宋体"/>
                <w:szCs w:val="21"/>
                <w:highlight w:val="none"/>
              </w:rPr>
            </w:pPr>
            <w:r>
              <w:rPr>
                <w:rFonts w:hint="eastAsia" w:ascii="宋体" w:hAnsi="宋体"/>
                <w:spacing w:val="-2"/>
                <w:szCs w:val="21"/>
                <w:highlight w:val="none"/>
              </w:rPr>
              <w:t>根据第一章第3.3款规定的投标人最多可中标标段数量，若某个投标人排名第一的中标候选标段数量超出或满足最多可中标标段数量时，</w:t>
            </w:r>
            <w:r>
              <w:rPr>
                <w:rFonts w:hint="eastAsia" w:ascii="宋体" w:hAnsi="宋体"/>
                <w:szCs w:val="21"/>
                <w:highlight w:val="none"/>
              </w:rPr>
              <w:t>评标委员会按照以下步骤确定各标段推荐的中标候选人，或根据招标人授权直接确定中标人：</w:t>
            </w:r>
          </w:p>
          <w:p>
            <w:pPr>
              <w:adjustRightInd w:val="0"/>
              <w:snapToGrid w:val="0"/>
              <w:spacing w:line="480" w:lineRule="exact"/>
              <w:ind w:firstLine="412" w:firstLineChars="200"/>
              <w:rPr>
                <w:rFonts w:hint="eastAsia" w:ascii="宋体" w:hAnsi="宋体"/>
                <w:spacing w:val="-2"/>
                <w:szCs w:val="21"/>
                <w:highlight w:val="none"/>
              </w:rPr>
            </w:pPr>
            <w:r>
              <w:rPr>
                <w:rFonts w:hint="eastAsia" w:ascii="宋体" w:hAnsi="宋体"/>
                <w:spacing w:val="-2"/>
                <w:szCs w:val="21"/>
                <w:highlight w:val="none"/>
              </w:rPr>
              <w:t>（1）依据投标人投标函中承诺的优先选择次序确定其排名第一的中标候选标段，当投标人第一中标候选标段数量满足最多可中标标段数量时，则该投标人放弃其他标段的中标资格（即在其他标段中该投标人不再参与排名）；</w:t>
            </w:r>
          </w:p>
          <w:p>
            <w:pPr>
              <w:adjustRightInd w:val="0"/>
              <w:snapToGrid w:val="0"/>
              <w:spacing w:line="480" w:lineRule="exact"/>
              <w:ind w:firstLine="420" w:firstLineChars="200"/>
              <w:rPr>
                <w:rFonts w:hint="eastAsia" w:ascii="宋体" w:hAnsi="宋体"/>
                <w:szCs w:val="21"/>
                <w:highlight w:val="none"/>
              </w:rPr>
            </w:pPr>
            <w:r>
              <w:rPr>
                <w:rFonts w:hint="eastAsia" w:ascii="宋体" w:hAnsi="宋体"/>
                <w:szCs w:val="21"/>
                <w:highlight w:val="none"/>
              </w:rPr>
              <w:t>（2）在确定了上述排名第一的投标人的中标候选标段后，所有放弃中标资格的标段排名由相应标段的投标人依次递补；</w:t>
            </w:r>
          </w:p>
          <w:p>
            <w:pPr>
              <w:adjustRightInd w:val="0"/>
              <w:snapToGrid w:val="0"/>
              <w:spacing w:line="480" w:lineRule="exact"/>
              <w:ind w:firstLine="420" w:firstLineChars="200"/>
              <w:rPr>
                <w:rFonts w:hint="eastAsia" w:ascii="宋体" w:hAnsi="宋体"/>
                <w:szCs w:val="21"/>
                <w:highlight w:val="none"/>
              </w:rPr>
            </w:pPr>
            <w:r>
              <w:rPr>
                <w:rFonts w:hint="eastAsia" w:ascii="宋体" w:hAnsi="宋体"/>
                <w:szCs w:val="21"/>
                <w:highlight w:val="none"/>
              </w:rPr>
              <w:t>（3）重复上述（1）、（2）步骤，直至确定所有标段推荐的中标候选人。</w:t>
            </w:r>
          </w:p>
          <w:p>
            <w:pPr>
              <w:adjustRightInd w:val="0"/>
              <w:snapToGrid w:val="0"/>
              <w:spacing w:line="320" w:lineRule="exact"/>
              <w:ind w:firstLine="420" w:firstLineChars="200"/>
              <w:rPr>
                <w:rFonts w:hint="eastAsia" w:ascii="宋体" w:hAnsi="宋体"/>
                <w:szCs w:val="21"/>
                <w:highlight w:val="none"/>
              </w:rPr>
            </w:pPr>
          </w:p>
        </w:tc>
      </w:tr>
      <w:bookmarkEnd w:id="7"/>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highlight w:val="none"/>
        </w:rPr>
      </w:pPr>
    </w:p>
    <w:tbl>
      <w:tblPr>
        <w:tblStyle w:val="5"/>
        <w:tblW w:w="92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02"/>
        <w:gridCol w:w="567"/>
        <w:gridCol w:w="709"/>
        <w:gridCol w:w="1443"/>
        <w:gridCol w:w="5740"/>
        <w:gridCol w:w="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tblHeader/>
          <w:jc w:val="center"/>
        </w:trPr>
        <w:tc>
          <w:tcPr>
            <w:tcW w:w="1369" w:type="dxa"/>
            <w:gridSpan w:val="2"/>
            <w:noWrap w:val="0"/>
            <w:vAlign w:val="center"/>
          </w:tcPr>
          <w:p>
            <w:pPr>
              <w:jc w:val="center"/>
              <w:rPr>
                <w:rFonts w:ascii="宋体" w:hAnsi="宋体"/>
                <w:szCs w:val="21"/>
                <w:highlight w:val="none"/>
              </w:rPr>
            </w:pPr>
            <w:r>
              <w:rPr>
                <w:rFonts w:ascii="宋体" w:hAnsi="宋体"/>
                <w:szCs w:val="21"/>
                <w:highlight w:val="none"/>
              </w:rPr>
              <w:t>条款号</w:t>
            </w:r>
          </w:p>
        </w:tc>
        <w:tc>
          <w:tcPr>
            <w:tcW w:w="2152" w:type="dxa"/>
            <w:gridSpan w:val="2"/>
            <w:noWrap w:val="0"/>
            <w:vAlign w:val="center"/>
          </w:tcPr>
          <w:p>
            <w:pPr>
              <w:jc w:val="center"/>
              <w:rPr>
                <w:rFonts w:ascii="宋体" w:hAnsi="宋体"/>
                <w:szCs w:val="21"/>
                <w:highlight w:val="none"/>
              </w:rPr>
            </w:pPr>
            <w:r>
              <w:rPr>
                <w:rFonts w:ascii="宋体" w:hAnsi="宋体"/>
                <w:szCs w:val="21"/>
                <w:highlight w:val="none"/>
              </w:rPr>
              <w:t>评审因素</w:t>
            </w:r>
          </w:p>
        </w:tc>
        <w:tc>
          <w:tcPr>
            <w:tcW w:w="5740" w:type="dxa"/>
            <w:noWrap w:val="0"/>
            <w:vAlign w:val="center"/>
          </w:tcPr>
          <w:p>
            <w:pPr>
              <w:jc w:val="center"/>
              <w:rPr>
                <w:rFonts w:ascii="宋体" w:hAnsi="宋体"/>
                <w:szCs w:val="21"/>
                <w:highlight w:val="none"/>
              </w:rPr>
            </w:pPr>
            <w:r>
              <w:rPr>
                <w:rFonts w:ascii="宋体" w:hAnsi="宋体"/>
                <w:szCs w:val="21"/>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restart"/>
            <w:noWrap w:val="0"/>
            <w:vAlign w:val="center"/>
          </w:tcPr>
          <w:p>
            <w:pPr>
              <w:spacing w:line="480" w:lineRule="exact"/>
              <w:jc w:val="center"/>
              <w:rPr>
                <w:rFonts w:ascii="宋体" w:hAnsi="宋体"/>
                <w:szCs w:val="21"/>
                <w:highlight w:val="none"/>
              </w:rPr>
            </w:pPr>
            <w:r>
              <w:rPr>
                <w:rFonts w:ascii="宋体" w:hAnsi="宋体"/>
                <w:szCs w:val="21"/>
                <w:highlight w:val="none"/>
              </w:rPr>
              <w:t>2.1.1</w:t>
            </w:r>
          </w:p>
        </w:tc>
        <w:tc>
          <w:tcPr>
            <w:tcW w:w="567" w:type="dxa"/>
            <w:vMerge w:val="restart"/>
            <w:noWrap w:val="0"/>
            <w:vAlign w:val="center"/>
          </w:tcPr>
          <w:p>
            <w:pPr>
              <w:spacing w:line="480" w:lineRule="exact"/>
              <w:jc w:val="center"/>
              <w:rPr>
                <w:rFonts w:hint="eastAsia" w:ascii="宋体" w:hAnsi="宋体"/>
                <w:szCs w:val="21"/>
                <w:highlight w:val="none"/>
              </w:rPr>
            </w:pPr>
            <w:r>
              <w:rPr>
                <w:rFonts w:hint="eastAsia" w:ascii="宋体" w:hAnsi="宋体"/>
                <w:szCs w:val="21"/>
                <w:highlight w:val="none"/>
              </w:rPr>
              <w:t>第</w:t>
            </w:r>
          </w:p>
          <w:p>
            <w:pPr>
              <w:spacing w:line="480" w:lineRule="exact"/>
              <w:jc w:val="center"/>
              <w:rPr>
                <w:rFonts w:hint="eastAsia" w:ascii="宋体" w:hAnsi="宋体"/>
                <w:szCs w:val="21"/>
                <w:highlight w:val="none"/>
              </w:rPr>
            </w:pPr>
            <w:r>
              <w:rPr>
                <w:rFonts w:hint="eastAsia" w:ascii="宋体" w:hAnsi="宋体"/>
                <w:szCs w:val="21"/>
                <w:highlight w:val="none"/>
              </w:rPr>
              <w:t>一</w:t>
            </w:r>
          </w:p>
          <w:p>
            <w:pPr>
              <w:spacing w:line="480" w:lineRule="exact"/>
              <w:jc w:val="center"/>
              <w:rPr>
                <w:rFonts w:hint="eastAsia" w:ascii="宋体" w:hAnsi="宋体"/>
                <w:szCs w:val="21"/>
                <w:highlight w:val="none"/>
              </w:rPr>
            </w:pPr>
            <w:r>
              <w:rPr>
                <w:rFonts w:hint="eastAsia" w:ascii="宋体" w:hAnsi="宋体"/>
                <w:szCs w:val="21"/>
                <w:highlight w:val="none"/>
              </w:rPr>
              <w:t>信</w:t>
            </w:r>
          </w:p>
          <w:p>
            <w:pPr>
              <w:spacing w:line="480" w:lineRule="exact"/>
              <w:jc w:val="center"/>
              <w:rPr>
                <w:rFonts w:hint="eastAsia" w:ascii="宋体" w:hAnsi="宋体"/>
                <w:szCs w:val="21"/>
                <w:highlight w:val="none"/>
              </w:rPr>
            </w:pPr>
            <w:r>
              <w:rPr>
                <w:rFonts w:hint="eastAsia" w:ascii="宋体" w:hAnsi="宋体"/>
                <w:szCs w:val="21"/>
                <w:highlight w:val="none"/>
              </w:rPr>
              <w:t>封</w:t>
            </w:r>
          </w:p>
          <w:p>
            <w:pPr>
              <w:spacing w:line="480" w:lineRule="exact"/>
              <w:jc w:val="center"/>
              <w:rPr>
                <w:rFonts w:hint="eastAsia" w:ascii="宋体" w:hAnsi="宋体"/>
                <w:szCs w:val="21"/>
                <w:highlight w:val="none"/>
              </w:rPr>
            </w:pPr>
            <w:r>
              <w:rPr>
                <w:rFonts w:hint="eastAsia" w:ascii="宋体" w:hAnsi="宋体"/>
                <w:szCs w:val="21"/>
                <w:highlight w:val="none"/>
              </w:rPr>
              <w:t>︵</w:t>
            </w:r>
          </w:p>
          <w:p>
            <w:pPr>
              <w:spacing w:line="480" w:lineRule="exact"/>
              <w:jc w:val="center"/>
              <w:rPr>
                <w:rFonts w:ascii="宋体" w:hAnsi="宋体"/>
                <w:szCs w:val="21"/>
                <w:highlight w:val="none"/>
              </w:rPr>
            </w:pPr>
            <w:r>
              <w:rPr>
                <w:rFonts w:hint="eastAsia" w:ascii="宋体" w:hAnsi="宋体"/>
                <w:szCs w:val="21"/>
                <w:highlight w:val="none"/>
              </w:rPr>
              <w:t>商</w:t>
            </w:r>
          </w:p>
          <w:p>
            <w:pPr>
              <w:spacing w:line="480" w:lineRule="exact"/>
              <w:jc w:val="center"/>
              <w:rPr>
                <w:rFonts w:hint="eastAsia" w:ascii="宋体" w:hAnsi="宋体"/>
                <w:szCs w:val="21"/>
                <w:highlight w:val="none"/>
              </w:rPr>
            </w:pPr>
            <w:r>
              <w:rPr>
                <w:rFonts w:hint="eastAsia" w:ascii="宋体" w:hAnsi="宋体"/>
                <w:szCs w:val="21"/>
                <w:highlight w:val="none"/>
              </w:rPr>
              <w:t>务</w:t>
            </w:r>
          </w:p>
          <w:p>
            <w:pPr>
              <w:spacing w:line="480" w:lineRule="exact"/>
              <w:jc w:val="center"/>
              <w:rPr>
                <w:rFonts w:hint="eastAsia" w:ascii="宋体" w:hAnsi="宋体"/>
                <w:szCs w:val="21"/>
                <w:highlight w:val="none"/>
              </w:rPr>
            </w:pPr>
            <w:r>
              <w:rPr>
                <w:rFonts w:hint="eastAsia" w:ascii="宋体" w:hAnsi="宋体"/>
                <w:szCs w:val="21"/>
                <w:highlight w:val="none"/>
              </w:rPr>
              <w:t>及</w:t>
            </w:r>
          </w:p>
          <w:p>
            <w:pPr>
              <w:spacing w:line="480" w:lineRule="exact"/>
              <w:jc w:val="center"/>
              <w:rPr>
                <w:rFonts w:hint="eastAsia" w:ascii="宋体" w:hAnsi="宋体"/>
                <w:szCs w:val="21"/>
                <w:highlight w:val="none"/>
              </w:rPr>
            </w:pPr>
            <w:r>
              <w:rPr>
                <w:rFonts w:hint="eastAsia" w:ascii="宋体" w:hAnsi="宋体"/>
                <w:szCs w:val="21"/>
                <w:highlight w:val="none"/>
              </w:rPr>
              <w:t>技</w:t>
            </w:r>
          </w:p>
          <w:p>
            <w:pPr>
              <w:spacing w:line="480" w:lineRule="exact"/>
              <w:jc w:val="center"/>
              <w:rPr>
                <w:rFonts w:ascii="宋体" w:hAnsi="宋体"/>
                <w:szCs w:val="21"/>
                <w:highlight w:val="none"/>
              </w:rPr>
            </w:pPr>
            <w:r>
              <w:rPr>
                <w:rFonts w:hint="eastAsia" w:ascii="宋体" w:hAnsi="宋体"/>
                <w:szCs w:val="21"/>
                <w:highlight w:val="none"/>
              </w:rPr>
              <w:t>术</w:t>
            </w:r>
          </w:p>
          <w:p>
            <w:pPr>
              <w:spacing w:line="480" w:lineRule="exact"/>
              <w:jc w:val="center"/>
              <w:rPr>
                <w:rFonts w:ascii="宋体" w:hAnsi="宋体"/>
                <w:szCs w:val="21"/>
                <w:highlight w:val="none"/>
              </w:rPr>
            </w:pPr>
            <w:r>
              <w:rPr>
                <w:rFonts w:hint="eastAsia" w:ascii="宋体" w:hAnsi="宋体"/>
                <w:szCs w:val="21"/>
                <w:highlight w:val="none"/>
              </w:rPr>
              <w:t>文</w:t>
            </w:r>
          </w:p>
          <w:p>
            <w:pPr>
              <w:spacing w:line="480" w:lineRule="exact"/>
              <w:jc w:val="center"/>
              <w:rPr>
                <w:rFonts w:hint="eastAsia" w:ascii="宋体" w:hAnsi="宋体"/>
                <w:szCs w:val="21"/>
                <w:highlight w:val="none"/>
              </w:rPr>
            </w:pPr>
            <w:r>
              <w:rPr>
                <w:rFonts w:hint="eastAsia" w:ascii="宋体" w:hAnsi="宋体"/>
                <w:szCs w:val="21"/>
                <w:highlight w:val="none"/>
              </w:rPr>
              <w:t>件</w:t>
            </w:r>
          </w:p>
          <w:p>
            <w:pPr>
              <w:spacing w:line="480" w:lineRule="exact"/>
              <w:jc w:val="center"/>
              <w:rPr>
                <w:rFonts w:hint="eastAsia" w:ascii="宋体" w:hAnsi="宋体"/>
                <w:szCs w:val="21"/>
                <w:highlight w:val="none"/>
              </w:rPr>
            </w:pPr>
            <w:r>
              <w:rPr>
                <w:rFonts w:hint="eastAsia" w:ascii="宋体" w:hAnsi="宋体"/>
                <w:szCs w:val="21"/>
                <w:highlight w:val="none"/>
              </w:rPr>
              <w:t>︶</w:t>
            </w:r>
          </w:p>
          <w:p>
            <w:pPr>
              <w:spacing w:line="480" w:lineRule="exact"/>
              <w:jc w:val="center"/>
              <w:rPr>
                <w:rFonts w:hint="eastAsia" w:ascii="宋体" w:hAnsi="宋体"/>
                <w:szCs w:val="21"/>
                <w:highlight w:val="none"/>
              </w:rPr>
            </w:pPr>
            <w:r>
              <w:rPr>
                <w:rFonts w:hint="eastAsia" w:ascii="宋体" w:hAnsi="宋体"/>
                <w:szCs w:val="21"/>
                <w:highlight w:val="none"/>
              </w:rPr>
              <w:t>商</w:t>
            </w:r>
          </w:p>
          <w:p>
            <w:pPr>
              <w:spacing w:line="480" w:lineRule="exact"/>
              <w:jc w:val="center"/>
              <w:rPr>
                <w:rFonts w:hint="eastAsia" w:ascii="宋体" w:hAnsi="宋体"/>
                <w:szCs w:val="21"/>
                <w:highlight w:val="none"/>
              </w:rPr>
            </w:pPr>
            <w:r>
              <w:rPr>
                <w:rFonts w:hint="eastAsia" w:ascii="宋体" w:hAnsi="宋体"/>
                <w:szCs w:val="21"/>
                <w:highlight w:val="none"/>
              </w:rPr>
              <w:t>务</w:t>
            </w:r>
          </w:p>
          <w:p>
            <w:pPr>
              <w:spacing w:line="480" w:lineRule="exact"/>
              <w:jc w:val="center"/>
              <w:rPr>
                <w:rFonts w:hint="eastAsia" w:ascii="宋体" w:hAnsi="宋体"/>
                <w:szCs w:val="21"/>
                <w:highlight w:val="none"/>
              </w:rPr>
            </w:pPr>
            <w:r>
              <w:rPr>
                <w:rFonts w:hint="eastAsia" w:ascii="宋体" w:hAnsi="宋体"/>
                <w:szCs w:val="21"/>
                <w:highlight w:val="none"/>
              </w:rPr>
              <w:t>文</w:t>
            </w:r>
          </w:p>
          <w:p>
            <w:pPr>
              <w:spacing w:line="480" w:lineRule="exact"/>
              <w:jc w:val="center"/>
              <w:rPr>
                <w:rFonts w:ascii="宋体" w:hAnsi="宋体"/>
                <w:szCs w:val="21"/>
                <w:highlight w:val="none"/>
              </w:rPr>
            </w:pPr>
            <w:r>
              <w:rPr>
                <w:rFonts w:hint="eastAsia" w:ascii="宋体" w:hAnsi="宋体"/>
                <w:szCs w:val="21"/>
                <w:highlight w:val="none"/>
              </w:rPr>
              <w:t>件</w:t>
            </w:r>
          </w:p>
        </w:tc>
        <w:tc>
          <w:tcPr>
            <w:tcW w:w="709" w:type="dxa"/>
            <w:vMerge w:val="restart"/>
            <w:noWrap w:val="0"/>
            <w:textDirection w:val="tbRlV"/>
            <w:vAlign w:val="center"/>
          </w:tcPr>
          <w:p>
            <w:pPr>
              <w:spacing w:line="480" w:lineRule="exact"/>
              <w:ind w:left="113" w:right="113"/>
              <w:jc w:val="center"/>
              <w:rPr>
                <w:rFonts w:hint="default" w:ascii="宋体" w:hAnsi="宋体"/>
                <w:szCs w:val="21"/>
                <w:highlight w:val="none"/>
                <w:lang w:val="en-US"/>
              </w:rPr>
            </w:pPr>
            <w:r>
              <w:rPr>
                <w:rFonts w:hint="eastAsia" w:ascii="宋体" w:hAnsi="宋体"/>
                <w:szCs w:val="21"/>
                <w:highlight w:val="none"/>
                <w:lang w:val="en-US" w:eastAsia="zh-CN"/>
              </w:rPr>
              <w:t>形式评审、资格评审及响应性评审</w:t>
            </w: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文件</w:t>
            </w:r>
            <w:r>
              <w:rPr>
                <w:rFonts w:ascii="宋体" w:hAnsi="宋体"/>
                <w:szCs w:val="21"/>
                <w:highlight w:val="none"/>
              </w:rPr>
              <w:t>签字盖章</w:t>
            </w:r>
          </w:p>
        </w:tc>
        <w:tc>
          <w:tcPr>
            <w:tcW w:w="5740" w:type="dxa"/>
            <w:noWrap w:val="0"/>
            <w:vAlign w:val="center"/>
          </w:tcPr>
          <w:p>
            <w:pPr>
              <w:spacing w:line="240" w:lineRule="auto"/>
              <w:ind w:left="212" w:leftChars="101"/>
              <w:rPr>
                <w:rFonts w:ascii="宋体" w:hAnsi="宋体"/>
                <w:szCs w:val="21"/>
                <w:highlight w:val="none"/>
              </w:rPr>
            </w:pPr>
            <w:r>
              <w:rPr>
                <w:rFonts w:ascii="宋体" w:hAnsi="宋体"/>
                <w:szCs w:val="21"/>
                <w:highlight w:val="none"/>
              </w:rPr>
              <w:t>符合第二章“投标人须知”第</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3</w:t>
            </w:r>
            <w:r>
              <w:rPr>
                <w:rFonts w:ascii="宋体" w:hAnsi="宋体"/>
                <w:szCs w:val="21"/>
                <w:highlight w:val="none"/>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文件</w:t>
            </w:r>
            <w:r>
              <w:rPr>
                <w:rFonts w:hint="eastAsia" w:ascii="宋体" w:hAnsi="宋体"/>
                <w:szCs w:val="21"/>
                <w:highlight w:val="none"/>
              </w:rPr>
              <w:t>填写及组成</w:t>
            </w:r>
          </w:p>
        </w:tc>
        <w:tc>
          <w:tcPr>
            <w:tcW w:w="5740" w:type="dxa"/>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投标保证金</w:t>
            </w:r>
          </w:p>
        </w:tc>
        <w:tc>
          <w:tcPr>
            <w:tcW w:w="5740" w:type="dxa"/>
            <w:noWrap w:val="0"/>
            <w:vAlign w:val="center"/>
          </w:tcPr>
          <w:p>
            <w:pPr>
              <w:spacing w:line="240" w:lineRule="auto"/>
              <w:ind w:left="212" w:leftChars="101"/>
              <w:rPr>
                <w:rFonts w:ascii="宋体" w:hAnsi="宋体"/>
                <w:szCs w:val="21"/>
                <w:highlight w:val="none"/>
              </w:rPr>
            </w:pPr>
            <w:r>
              <w:rPr>
                <w:rFonts w:ascii="宋体" w:hAnsi="宋体"/>
                <w:szCs w:val="21"/>
                <w:highlight w:val="none"/>
              </w:rPr>
              <w:t>符合第二章“投标人须知”第</w:t>
            </w:r>
            <w:r>
              <w:rPr>
                <w:rFonts w:hint="eastAsia" w:ascii="宋体" w:hAnsi="宋体"/>
                <w:szCs w:val="21"/>
                <w:highlight w:val="none"/>
              </w:rPr>
              <w:t>3.4.1</w:t>
            </w:r>
            <w:r>
              <w:rPr>
                <w:rFonts w:ascii="宋体" w:hAnsi="宋体"/>
                <w:szCs w:val="21"/>
                <w:highlight w:val="none"/>
              </w:rPr>
              <w:t>项</w:t>
            </w:r>
            <w:r>
              <w:rPr>
                <w:rFonts w:hint="eastAsia" w:ascii="宋体" w:hAnsi="宋体"/>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优先选择次序</w:t>
            </w:r>
          </w:p>
        </w:tc>
        <w:tc>
          <w:tcPr>
            <w:tcW w:w="5740" w:type="dxa"/>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投多个类别的投标人各类别投标文件填写的优先选择次序内容一致，类别和标段名称符合招标文件规定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投标</w:t>
            </w:r>
            <w:r>
              <w:rPr>
                <w:rFonts w:hint="eastAsia" w:ascii="宋体" w:hAnsi="宋体"/>
                <w:szCs w:val="21"/>
                <w:highlight w:val="none"/>
              </w:rPr>
              <w:t>函填写</w:t>
            </w:r>
          </w:p>
        </w:tc>
        <w:tc>
          <w:tcPr>
            <w:tcW w:w="5740" w:type="dxa"/>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按招标文件规定填报了正确的招标人名称、项目名称、类别名称和补遗书编号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营业执照、资质证书和</w:t>
            </w:r>
            <w:r>
              <w:rPr>
                <w:rFonts w:ascii="宋体" w:hAnsi="宋体"/>
                <w:szCs w:val="21"/>
                <w:highlight w:val="none"/>
              </w:rPr>
              <w:t>安全生产许可证</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具备有效的</w:t>
            </w:r>
            <w:r>
              <w:rPr>
                <w:rFonts w:hint="eastAsia" w:ascii="宋体" w:hAnsi="宋体"/>
                <w:szCs w:val="21"/>
                <w:highlight w:val="none"/>
              </w:rPr>
              <w:t>营业执照、资质证书和</w:t>
            </w:r>
            <w:r>
              <w:rPr>
                <w:rFonts w:ascii="宋体" w:hAnsi="宋体"/>
                <w:szCs w:val="21"/>
                <w:highlight w:val="none"/>
              </w:rPr>
              <w:t>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hint="eastAsia"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资质等级</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财务</w:t>
            </w:r>
            <w:r>
              <w:rPr>
                <w:rFonts w:hint="eastAsia" w:ascii="宋体" w:hAnsi="宋体"/>
                <w:szCs w:val="21"/>
                <w:highlight w:val="none"/>
              </w:rPr>
              <w:t>能力</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类似项目业绩</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信誉</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项目经理和项目总工</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其他要求</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1.4.1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工期</w:t>
            </w:r>
            <w:r>
              <w:rPr>
                <w:rFonts w:hint="eastAsia" w:ascii="宋体" w:hAnsi="宋体"/>
                <w:szCs w:val="21"/>
                <w:highlight w:val="none"/>
              </w:rPr>
              <w:t>目标</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1.3.2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质量</w:t>
            </w:r>
            <w:r>
              <w:rPr>
                <w:rFonts w:hint="eastAsia" w:ascii="宋体" w:hAnsi="宋体"/>
                <w:szCs w:val="21"/>
                <w:highlight w:val="none"/>
              </w:rPr>
              <w:t>目标</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符合第二章“投标人须知”第 1.3.3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hint="eastAsia" w:ascii="宋体" w:hAnsi="宋体" w:eastAsia="宋体"/>
                <w:szCs w:val="21"/>
                <w:highlight w:val="none"/>
                <w:lang w:eastAsia="zh-CN"/>
              </w:rPr>
            </w:pPr>
            <w:r>
              <w:rPr>
                <w:rFonts w:hint="eastAsia" w:ascii="宋体" w:hAnsi="宋体"/>
                <w:szCs w:val="21"/>
                <w:highlight w:val="none"/>
                <w:lang w:eastAsia="zh-CN"/>
              </w:rPr>
              <w:t>材料设备选型</w:t>
            </w:r>
          </w:p>
        </w:tc>
        <w:tc>
          <w:tcPr>
            <w:tcW w:w="5740" w:type="dxa"/>
            <w:noWrap w:val="0"/>
            <w:vAlign w:val="center"/>
          </w:tcPr>
          <w:p>
            <w:pPr>
              <w:pStyle w:val="8"/>
              <w:tabs>
                <w:tab w:val="left" w:pos="4252"/>
              </w:tabs>
              <w:autoSpaceDE w:val="0"/>
              <w:autoSpaceDN w:val="0"/>
              <w:adjustRightInd w:val="0"/>
              <w:snapToGrid w:val="0"/>
              <w:spacing w:line="264" w:lineRule="auto"/>
              <w:ind w:firstLine="210" w:firstLineChars="100"/>
              <w:contextualSpacing/>
              <w:rPr>
                <w:rFonts w:hint="eastAsia" w:ascii="宋体" w:hAnsi="宋体" w:eastAsia="宋体"/>
                <w:szCs w:val="21"/>
                <w:highlight w:val="none"/>
                <w:lang w:eastAsia="zh-CN"/>
              </w:rPr>
            </w:pPr>
            <w:bookmarkStart w:id="25" w:name="_GoBack"/>
            <w:bookmarkEnd w:id="25"/>
            <w:r>
              <w:rPr>
                <w:rFonts w:hint="eastAsia" w:ascii="宋体" w:hAnsi="宋体" w:eastAsia="宋体" w:cs="Times New Roman"/>
                <w:kern w:val="2"/>
                <w:sz w:val="21"/>
                <w:szCs w:val="21"/>
                <w:highlight w:val="none"/>
                <w:lang w:val="en-US" w:eastAsia="zh-CN" w:bidi="ar-SA"/>
              </w:rPr>
              <w:t>投标人投标时不得提供主要材料设备品牌选型。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投标函附录数据</w:t>
            </w:r>
          </w:p>
        </w:tc>
        <w:tc>
          <w:tcPr>
            <w:tcW w:w="5740" w:type="dxa"/>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符合</w:t>
            </w:r>
            <w:r>
              <w:rPr>
                <w:rFonts w:hint="eastAsia" w:ascii="宋体" w:hAnsi="宋体"/>
                <w:szCs w:val="21"/>
                <w:highlight w:val="none"/>
              </w:rPr>
              <w:t>招标文件</w:t>
            </w:r>
            <w:r>
              <w:rPr>
                <w:rFonts w:ascii="宋体" w:hAnsi="宋体"/>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项目经理和项目总工人员选择</w:t>
            </w:r>
          </w:p>
        </w:tc>
        <w:tc>
          <w:tcPr>
            <w:tcW w:w="5740" w:type="dxa"/>
            <w:noWrap w:val="0"/>
            <w:vAlign w:val="center"/>
          </w:tcPr>
          <w:p>
            <w:pPr>
              <w:spacing w:line="240" w:lineRule="auto"/>
              <w:ind w:left="212" w:leftChars="101"/>
              <w:jc w:val="left"/>
              <w:rPr>
                <w:rFonts w:ascii="宋体" w:hAnsi="宋体"/>
                <w:szCs w:val="21"/>
                <w:highlight w:val="none"/>
              </w:rPr>
            </w:pPr>
            <w:r>
              <w:rPr>
                <w:rFonts w:hint="eastAsia" w:ascii="宋体" w:hAnsi="宋体"/>
                <w:szCs w:val="21"/>
                <w:highlight w:val="none"/>
              </w:rPr>
              <w:t>符合</w:t>
            </w:r>
            <w:r>
              <w:rPr>
                <w:rFonts w:ascii="宋体" w:hAnsi="宋体"/>
                <w:szCs w:val="21"/>
                <w:highlight w:val="none"/>
              </w:rPr>
              <w:t>第二章“投标人须知”第</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5</w:t>
            </w:r>
            <w:r>
              <w:rPr>
                <w:rFonts w:ascii="宋体" w:hAnsi="宋体"/>
                <w:szCs w:val="21"/>
                <w:highlight w:val="none"/>
              </w:rPr>
              <w:t>.</w:t>
            </w:r>
            <w:r>
              <w:rPr>
                <w:rFonts w:hint="eastAsia" w:ascii="宋体" w:hAnsi="宋体"/>
                <w:szCs w:val="21"/>
                <w:highlight w:val="none"/>
              </w:rPr>
              <w:t>6</w:t>
            </w:r>
            <w:r>
              <w:rPr>
                <w:rFonts w:ascii="宋体" w:hAnsi="宋体"/>
                <w:szCs w:val="21"/>
                <w:highlight w:val="none"/>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分包</w:t>
            </w:r>
          </w:p>
        </w:tc>
        <w:tc>
          <w:tcPr>
            <w:tcW w:w="5740" w:type="dxa"/>
            <w:noWrap w:val="0"/>
            <w:vAlign w:val="center"/>
          </w:tcPr>
          <w:p>
            <w:pPr>
              <w:spacing w:line="240" w:lineRule="auto"/>
              <w:ind w:left="212" w:leftChars="101"/>
              <w:jc w:val="left"/>
              <w:rPr>
                <w:rFonts w:ascii="宋体" w:hAnsi="宋体"/>
                <w:szCs w:val="21"/>
                <w:highlight w:val="none"/>
              </w:rPr>
            </w:pPr>
            <w:r>
              <w:rPr>
                <w:rFonts w:hint="eastAsia" w:ascii="宋体" w:hAnsi="宋体"/>
                <w:szCs w:val="21"/>
                <w:highlight w:val="none"/>
              </w:rPr>
              <w:t>如有分包计划，</w:t>
            </w:r>
            <w:r>
              <w:rPr>
                <w:rFonts w:ascii="宋体" w:hAnsi="宋体"/>
                <w:szCs w:val="21"/>
                <w:highlight w:val="none"/>
              </w:rPr>
              <w:t>符合第二章“投标人须知”第</w:t>
            </w:r>
            <w:r>
              <w:rPr>
                <w:rFonts w:hint="eastAsia" w:ascii="宋体" w:hAnsi="宋体"/>
                <w:b/>
                <w:szCs w:val="21"/>
                <w:highlight w:val="none"/>
                <w:u w:val="single"/>
              </w:rPr>
              <w:t>10.3</w:t>
            </w:r>
            <w:r>
              <w:rPr>
                <w:rFonts w:hint="eastAsia" w:ascii="宋体" w:hAnsi="宋体"/>
                <w:szCs w:val="21"/>
                <w:highlight w:val="none"/>
              </w:rPr>
              <w:t>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After w:val="1"/>
          <w:wAfter w:w="10" w:type="dxa"/>
          <w:trHeight w:val="567" w:hRule="atLeast"/>
          <w:jc w:val="center"/>
        </w:trPr>
        <w:tc>
          <w:tcPr>
            <w:tcW w:w="802" w:type="dxa"/>
            <w:vMerge w:val="continue"/>
            <w:noWrap w:val="0"/>
            <w:vAlign w:val="center"/>
          </w:tcPr>
          <w:p>
            <w:pPr>
              <w:spacing w:line="480" w:lineRule="exact"/>
              <w:jc w:val="center"/>
              <w:rPr>
                <w:rFonts w:ascii="宋体" w:hAnsi="宋体"/>
                <w:szCs w:val="21"/>
                <w:highlight w:val="none"/>
              </w:rPr>
            </w:pPr>
          </w:p>
        </w:tc>
        <w:tc>
          <w:tcPr>
            <w:tcW w:w="567" w:type="dxa"/>
            <w:vMerge w:val="continue"/>
            <w:noWrap w:val="0"/>
            <w:vAlign w:val="center"/>
          </w:tcPr>
          <w:p>
            <w:pPr>
              <w:spacing w:line="480" w:lineRule="exact"/>
              <w:jc w:val="center"/>
              <w:rPr>
                <w:rFonts w:ascii="宋体" w:hAnsi="宋体"/>
                <w:szCs w:val="21"/>
                <w:highlight w:val="none"/>
              </w:rPr>
            </w:pPr>
          </w:p>
        </w:tc>
        <w:tc>
          <w:tcPr>
            <w:tcW w:w="709" w:type="dxa"/>
            <w:vMerge w:val="continue"/>
            <w:noWrap w:val="0"/>
            <w:vAlign w:val="center"/>
          </w:tcPr>
          <w:p>
            <w:pPr>
              <w:spacing w:line="480" w:lineRule="exact"/>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承诺函</w:t>
            </w:r>
          </w:p>
        </w:tc>
        <w:tc>
          <w:tcPr>
            <w:tcW w:w="5740" w:type="dxa"/>
            <w:noWrap w:val="0"/>
            <w:vAlign w:val="center"/>
          </w:tcPr>
          <w:p>
            <w:pPr>
              <w:spacing w:line="240" w:lineRule="auto"/>
              <w:ind w:left="212" w:leftChars="101"/>
              <w:jc w:val="left"/>
              <w:rPr>
                <w:rFonts w:ascii="宋体" w:hAnsi="宋体"/>
                <w:szCs w:val="21"/>
                <w:highlight w:val="none"/>
              </w:rPr>
            </w:pPr>
            <w:r>
              <w:rPr>
                <w:rFonts w:hint="eastAsia" w:ascii="宋体" w:hAnsi="宋体"/>
                <w:szCs w:val="21"/>
                <w:highlight w:val="none"/>
              </w:rPr>
              <w:t>未对招标文件的承诺函文字说明修改或删除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vMerge w:val="restart"/>
            <w:noWrap w:val="0"/>
            <w:vAlign w:val="center"/>
          </w:tcPr>
          <w:p>
            <w:pPr>
              <w:spacing w:line="240" w:lineRule="auto"/>
              <w:jc w:val="center"/>
              <w:rPr>
                <w:rFonts w:ascii="宋体" w:hAnsi="宋体"/>
                <w:szCs w:val="21"/>
                <w:highlight w:val="none"/>
              </w:rPr>
            </w:pPr>
            <w:r>
              <w:rPr>
                <w:rFonts w:ascii="宋体" w:hAnsi="宋体"/>
                <w:szCs w:val="21"/>
                <w:highlight w:val="none"/>
              </w:rPr>
              <w:t>权利义务</w:t>
            </w:r>
          </w:p>
          <w:p>
            <w:pPr>
              <w:spacing w:line="240" w:lineRule="auto"/>
              <w:ind w:left="105" w:leftChars="50"/>
              <w:jc w:val="center"/>
              <w:rPr>
                <w:rFonts w:hint="eastAsia" w:ascii="宋体" w:hAnsi="宋体"/>
                <w:szCs w:val="21"/>
                <w:highlight w:val="none"/>
              </w:rPr>
            </w:pPr>
            <w:r>
              <w:rPr>
                <w:rFonts w:ascii="宋体" w:hAnsi="宋体"/>
                <w:szCs w:val="21"/>
                <w:highlight w:val="none"/>
              </w:rPr>
              <w:t>符合</w:t>
            </w:r>
            <w:r>
              <w:rPr>
                <w:rFonts w:hint="eastAsia" w:ascii="宋体" w:hAnsi="宋体"/>
                <w:szCs w:val="21"/>
                <w:highlight w:val="none"/>
              </w:rPr>
              <w:t>招标文件</w:t>
            </w:r>
            <w:r>
              <w:rPr>
                <w:rFonts w:ascii="宋体" w:hAnsi="宋体"/>
                <w:szCs w:val="21"/>
                <w:highlight w:val="none"/>
              </w:rPr>
              <w:t>规定</w:t>
            </w:r>
          </w:p>
        </w:tc>
        <w:tc>
          <w:tcPr>
            <w:tcW w:w="5750" w:type="dxa"/>
            <w:gridSpan w:val="2"/>
            <w:noWrap w:val="0"/>
            <w:vAlign w:val="center"/>
          </w:tcPr>
          <w:p>
            <w:pPr>
              <w:spacing w:line="240" w:lineRule="auto"/>
              <w:ind w:left="212" w:leftChars="101"/>
              <w:jc w:val="left"/>
              <w:rPr>
                <w:rFonts w:ascii="宋体" w:hAnsi="宋体"/>
                <w:szCs w:val="21"/>
                <w:highlight w:val="none"/>
              </w:rPr>
            </w:pPr>
            <w:r>
              <w:rPr>
                <w:rFonts w:ascii="宋体" w:hAnsi="宋体"/>
                <w:szCs w:val="21"/>
                <w:highlight w:val="none"/>
              </w:rPr>
              <w:t>a.投标人应接受招标文件规定的风险划分原则，未提出新的风险划分办法；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vMerge w:val="continue"/>
            <w:noWrap w:val="0"/>
            <w:vAlign w:val="center"/>
          </w:tcPr>
          <w:p>
            <w:pPr>
              <w:spacing w:line="240" w:lineRule="auto"/>
              <w:ind w:left="105" w:leftChars="50"/>
              <w:jc w:val="center"/>
              <w:rPr>
                <w:rFonts w:hint="eastAsia" w:ascii="宋体" w:hAnsi="宋体"/>
                <w:szCs w:val="21"/>
                <w:highlight w:val="none"/>
              </w:rPr>
            </w:pPr>
          </w:p>
        </w:tc>
        <w:tc>
          <w:tcPr>
            <w:tcW w:w="5750" w:type="dxa"/>
            <w:gridSpan w:val="2"/>
            <w:noWrap w:val="0"/>
            <w:vAlign w:val="center"/>
          </w:tcPr>
          <w:p>
            <w:pPr>
              <w:spacing w:line="240" w:lineRule="auto"/>
              <w:ind w:left="212" w:leftChars="101"/>
              <w:jc w:val="left"/>
              <w:rPr>
                <w:rFonts w:ascii="宋体" w:hAnsi="宋体"/>
                <w:spacing w:val="-10"/>
                <w:szCs w:val="21"/>
                <w:highlight w:val="none"/>
              </w:rPr>
            </w:pPr>
            <w:r>
              <w:rPr>
                <w:rFonts w:ascii="宋体" w:hAnsi="宋体"/>
                <w:spacing w:val="-10"/>
                <w:szCs w:val="21"/>
                <w:highlight w:val="none"/>
              </w:rPr>
              <w:t>b.投标人未增加发包人的责任范围，或减少投标人义务；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vMerge w:val="continue"/>
            <w:noWrap w:val="0"/>
            <w:vAlign w:val="center"/>
          </w:tcPr>
          <w:p>
            <w:pPr>
              <w:spacing w:line="480" w:lineRule="exact"/>
              <w:ind w:left="105" w:leftChars="50"/>
              <w:jc w:val="center"/>
              <w:rPr>
                <w:rFonts w:hint="eastAsia" w:ascii="宋体" w:hAnsi="宋体"/>
                <w:szCs w:val="21"/>
                <w:highlight w:val="none"/>
              </w:rPr>
            </w:pPr>
          </w:p>
        </w:tc>
        <w:tc>
          <w:tcPr>
            <w:tcW w:w="5750" w:type="dxa"/>
            <w:gridSpan w:val="2"/>
            <w:noWrap w:val="0"/>
            <w:vAlign w:val="center"/>
          </w:tcPr>
          <w:p>
            <w:pPr>
              <w:spacing w:line="480" w:lineRule="exact"/>
              <w:ind w:left="212" w:leftChars="101"/>
              <w:jc w:val="left"/>
              <w:rPr>
                <w:rFonts w:ascii="宋体" w:hAnsi="宋体"/>
                <w:szCs w:val="21"/>
                <w:highlight w:val="none"/>
              </w:rPr>
            </w:pPr>
            <w:r>
              <w:rPr>
                <w:rFonts w:ascii="宋体" w:hAnsi="宋体"/>
                <w:szCs w:val="21"/>
                <w:highlight w:val="none"/>
              </w:rPr>
              <w:t>c.投标人未提出不同的工程验收、计量、支付办法；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vMerge w:val="continue"/>
            <w:noWrap w:val="0"/>
            <w:vAlign w:val="center"/>
          </w:tcPr>
          <w:p>
            <w:pPr>
              <w:spacing w:line="480" w:lineRule="exact"/>
              <w:ind w:left="105" w:leftChars="50"/>
              <w:jc w:val="center"/>
              <w:rPr>
                <w:rFonts w:hint="eastAsia" w:ascii="宋体" w:hAnsi="宋体"/>
                <w:szCs w:val="21"/>
                <w:highlight w:val="none"/>
              </w:rPr>
            </w:pPr>
          </w:p>
        </w:tc>
        <w:tc>
          <w:tcPr>
            <w:tcW w:w="5750" w:type="dxa"/>
            <w:gridSpan w:val="2"/>
            <w:noWrap w:val="0"/>
            <w:vAlign w:val="center"/>
          </w:tcPr>
          <w:p>
            <w:pPr>
              <w:spacing w:line="480" w:lineRule="exact"/>
              <w:ind w:left="212" w:leftChars="101"/>
              <w:jc w:val="left"/>
              <w:rPr>
                <w:rFonts w:ascii="宋体" w:hAnsi="宋体"/>
                <w:szCs w:val="21"/>
                <w:highlight w:val="none"/>
              </w:rPr>
            </w:pPr>
            <w:r>
              <w:rPr>
                <w:rFonts w:ascii="宋体" w:hAnsi="宋体"/>
                <w:szCs w:val="21"/>
                <w:highlight w:val="none"/>
              </w:rPr>
              <w:t>d.投标人对合同纠纷、事故处理办法未提出异议；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vMerge w:val="continue"/>
            <w:noWrap w:val="0"/>
            <w:vAlign w:val="center"/>
          </w:tcPr>
          <w:p>
            <w:pPr>
              <w:spacing w:line="480" w:lineRule="exact"/>
              <w:ind w:left="105" w:leftChars="50"/>
              <w:jc w:val="center"/>
              <w:rPr>
                <w:rFonts w:hint="eastAsia" w:ascii="宋体" w:hAnsi="宋体"/>
                <w:szCs w:val="21"/>
                <w:highlight w:val="none"/>
              </w:rPr>
            </w:pPr>
          </w:p>
        </w:tc>
        <w:tc>
          <w:tcPr>
            <w:tcW w:w="5750" w:type="dxa"/>
            <w:gridSpan w:val="2"/>
            <w:noWrap w:val="0"/>
            <w:vAlign w:val="center"/>
          </w:tcPr>
          <w:p>
            <w:pPr>
              <w:spacing w:line="480" w:lineRule="exact"/>
              <w:ind w:left="212" w:leftChars="101"/>
              <w:jc w:val="left"/>
              <w:rPr>
                <w:rFonts w:ascii="宋体" w:hAnsi="宋体"/>
                <w:szCs w:val="21"/>
                <w:highlight w:val="none"/>
              </w:rPr>
            </w:pPr>
            <w:r>
              <w:rPr>
                <w:rFonts w:ascii="宋体" w:hAnsi="宋体"/>
                <w:szCs w:val="21"/>
                <w:highlight w:val="none"/>
              </w:rPr>
              <w:t>e.投标人在投标活动中无欺诈行为；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vMerge w:val="continue"/>
            <w:noWrap w:val="0"/>
            <w:vAlign w:val="center"/>
          </w:tcPr>
          <w:p>
            <w:pPr>
              <w:spacing w:line="480" w:lineRule="exact"/>
              <w:ind w:left="105" w:leftChars="50"/>
              <w:jc w:val="center"/>
              <w:rPr>
                <w:rFonts w:hint="eastAsia" w:ascii="宋体" w:hAnsi="宋体"/>
                <w:szCs w:val="21"/>
                <w:highlight w:val="none"/>
              </w:rPr>
            </w:pPr>
          </w:p>
        </w:tc>
        <w:tc>
          <w:tcPr>
            <w:tcW w:w="5750" w:type="dxa"/>
            <w:gridSpan w:val="2"/>
            <w:noWrap w:val="0"/>
            <w:vAlign w:val="center"/>
          </w:tcPr>
          <w:p>
            <w:pPr>
              <w:spacing w:line="480" w:lineRule="exact"/>
              <w:ind w:left="212" w:leftChars="101"/>
              <w:jc w:val="left"/>
              <w:rPr>
                <w:rFonts w:ascii="宋体" w:hAnsi="宋体"/>
                <w:szCs w:val="21"/>
                <w:highlight w:val="none"/>
              </w:rPr>
            </w:pPr>
            <w:r>
              <w:rPr>
                <w:rFonts w:ascii="宋体" w:hAnsi="宋体"/>
                <w:szCs w:val="21"/>
                <w:highlight w:val="none"/>
              </w:rPr>
              <w:t>f.投标人未对合同条款有重要保留</w:t>
            </w: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hint="eastAsia" w:ascii="宋体" w:hAnsi="宋体"/>
                <w:szCs w:val="21"/>
                <w:highlight w:val="none"/>
              </w:rPr>
            </w:pPr>
          </w:p>
        </w:tc>
        <w:tc>
          <w:tcPr>
            <w:tcW w:w="709" w:type="dxa"/>
            <w:vMerge w:val="continue"/>
            <w:noWrap w:val="0"/>
            <w:textDirection w:val="tbRlV"/>
            <w:vAlign w:val="center"/>
          </w:tcPr>
          <w:p>
            <w:pPr>
              <w:ind w:left="113" w:right="113"/>
              <w:jc w:val="center"/>
              <w:rPr>
                <w:rFonts w:hint="eastAsia" w:ascii="宋体" w:hAnsi="宋体"/>
                <w:szCs w:val="21"/>
                <w:highlight w:val="none"/>
              </w:rPr>
            </w:pPr>
          </w:p>
        </w:tc>
        <w:tc>
          <w:tcPr>
            <w:tcW w:w="1443" w:type="dxa"/>
            <w:noWrap w:val="0"/>
            <w:vAlign w:val="center"/>
          </w:tcPr>
          <w:p>
            <w:pPr>
              <w:spacing w:line="480" w:lineRule="exact"/>
              <w:ind w:left="105" w:leftChars="50"/>
              <w:jc w:val="center"/>
              <w:rPr>
                <w:rFonts w:hint="eastAsia" w:ascii="宋体" w:hAnsi="宋体"/>
                <w:szCs w:val="21"/>
                <w:highlight w:val="none"/>
              </w:rPr>
            </w:pPr>
            <w:r>
              <w:rPr>
                <w:rFonts w:hint="eastAsia" w:ascii="宋体" w:hAnsi="宋体"/>
                <w:szCs w:val="21"/>
                <w:highlight w:val="none"/>
              </w:rPr>
              <w:t>其他</w:t>
            </w:r>
          </w:p>
        </w:tc>
        <w:tc>
          <w:tcPr>
            <w:tcW w:w="5750" w:type="dxa"/>
            <w:gridSpan w:val="2"/>
            <w:noWrap w:val="0"/>
            <w:vAlign w:val="center"/>
          </w:tcPr>
          <w:p>
            <w:pPr>
              <w:spacing w:line="480" w:lineRule="exact"/>
              <w:ind w:left="212" w:leftChars="101"/>
              <w:jc w:val="left"/>
              <w:rPr>
                <w:rFonts w:ascii="宋体" w:hAnsi="宋体"/>
                <w:szCs w:val="21"/>
                <w:highlight w:val="none"/>
              </w:rPr>
            </w:pPr>
            <w:r>
              <w:rPr>
                <w:rFonts w:hint="eastAsia" w:ascii="宋体" w:hAnsi="宋体"/>
                <w:szCs w:val="21"/>
                <w:highlight w:val="none"/>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restart"/>
            <w:noWrap w:val="0"/>
            <w:vAlign w:val="center"/>
          </w:tcPr>
          <w:p>
            <w:pPr>
              <w:jc w:val="center"/>
              <w:rPr>
                <w:rFonts w:hint="eastAsia" w:ascii="宋体" w:hAnsi="宋体" w:eastAsia="宋体"/>
                <w:szCs w:val="21"/>
                <w:highlight w:val="none"/>
                <w:lang w:val="en-US" w:eastAsia="zh-CN"/>
              </w:rPr>
            </w:pPr>
            <w:r>
              <w:rPr>
                <w:rFonts w:ascii="宋体" w:hAnsi="宋体"/>
                <w:szCs w:val="21"/>
                <w:highlight w:val="none"/>
              </w:rPr>
              <w:t>2.1.</w:t>
            </w:r>
            <w:r>
              <w:rPr>
                <w:rFonts w:hint="eastAsia" w:ascii="宋体" w:hAnsi="宋体"/>
                <w:szCs w:val="21"/>
                <w:highlight w:val="none"/>
                <w:lang w:val="en-US" w:eastAsia="zh-CN"/>
              </w:rPr>
              <w:t>2</w:t>
            </w:r>
          </w:p>
        </w:tc>
        <w:tc>
          <w:tcPr>
            <w:tcW w:w="567" w:type="dxa"/>
            <w:vMerge w:val="restart"/>
            <w:noWrap w:val="0"/>
            <w:vAlign w:val="center"/>
          </w:tcPr>
          <w:p>
            <w:pPr>
              <w:jc w:val="center"/>
              <w:rPr>
                <w:rFonts w:hint="eastAsia" w:ascii="宋体" w:hAnsi="宋体"/>
                <w:szCs w:val="21"/>
                <w:highlight w:val="none"/>
              </w:rPr>
            </w:pPr>
            <w:r>
              <w:rPr>
                <w:rFonts w:hint="eastAsia" w:ascii="宋体" w:hAnsi="宋体"/>
                <w:szCs w:val="21"/>
                <w:highlight w:val="none"/>
              </w:rPr>
              <w:t>第</w:t>
            </w:r>
          </w:p>
          <w:p>
            <w:pPr>
              <w:jc w:val="center"/>
              <w:rPr>
                <w:rFonts w:hint="eastAsia" w:ascii="宋体" w:hAnsi="宋体"/>
                <w:szCs w:val="21"/>
                <w:highlight w:val="none"/>
              </w:rPr>
            </w:pPr>
            <w:r>
              <w:rPr>
                <w:rFonts w:hint="eastAsia" w:ascii="宋体" w:hAnsi="宋体"/>
                <w:szCs w:val="21"/>
                <w:highlight w:val="none"/>
              </w:rPr>
              <w:t>二</w:t>
            </w:r>
          </w:p>
          <w:p>
            <w:pPr>
              <w:jc w:val="center"/>
              <w:rPr>
                <w:rFonts w:hint="eastAsia" w:ascii="宋体" w:hAnsi="宋体"/>
                <w:szCs w:val="21"/>
                <w:highlight w:val="none"/>
              </w:rPr>
            </w:pPr>
            <w:r>
              <w:rPr>
                <w:rFonts w:hint="eastAsia" w:ascii="宋体" w:hAnsi="宋体"/>
                <w:szCs w:val="21"/>
                <w:highlight w:val="none"/>
              </w:rPr>
              <w:t>信</w:t>
            </w:r>
          </w:p>
          <w:p>
            <w:pPr>
              <w:jc w:val="center"/>
              <w:rPr>
                <w:rFonts w:hint="eastAsia" w:ascii="宋体" w:hAnsi="宋体"/>
                <w:szCs w:val="21"/>
                <w:highlight w:val="none"/>
              </w:rPr>
            </w:pPr>
            <w:r>
              <w:rPr>
                <w:rFonts w:hint="eastAsia" w:ascii="宋体" w:hAnsi="宋体"/>
                <w:szCs w:val="21"/>
                <w:highlight w:val="none"/>
              </w:rPr>
              <w:t>封</w:t>
            </w:r>
          </w:p>
          <w:p>
            <w:pPr>
              <w:jc w:val="center"/>
              <w:rPr>
                <w:rFonts w:hint="eastAsia" w:ascii="宋体" w:hAnsi="宋体"/>
                <w:szCs w:val="21"/>
                <w:highlight w:val="none"/>
              </w:rPr>
            </w:pPr>
            <w:r>
              <w:rPr>
                <w:rFonts w:hint="eastAsia" w:ascii="宋体" w:hAnsi="宋体"/>
                <w:szCs w:val="21"/>
                <w:highlight w:val="none"/>
              </w:rPr>
              <w:t>︵</w:t>
            </w:r>
          </w:p>
          <w:p>
            <w:pPr>
              <w:jc w:val="center"/>
              <w:rPr>
                <w:rFonts w:ascii="宋体" w:hAnsi="宋体"/>
                <w:szCs w:val="21"/>
                <w:highlight w:val="none"/>
              </w:rPr>
            </w:pPr>
            <w:r>
              <w:rPr>
                <w:rFonts w:hint="eastAsia" w:ascii="宋体" w:hAnsi="宋体"/>
                <w:szCs w:val="21"/>
                <w:highlight w:val="none"/>
              </w:rPr>
              <w:t>报</w:t>
            </w:r>
          </w:p>
          <w:p>
            <w:pPr>
              <w:jc w:val="center"/>
              <w:rPr>
                <w:rFonts w:ascii="宋体" w:hAnsi="宋体"/>
                <w:szCs w:val="21"/>
                <w:highlight w:val="none"/>
              </w:rPr>
            </w:pPr>
            <w:r>
              <w:rPr>
                <w:rFonts w:hint="eastAsia" w:ascii="宋体" w:hAnsi="宋体"/>
                <w:szCs w:val="21"/>
                <w:highlight w:val="none"/>
              </w:rPr>
              <w:t>价</w:t>
            </w:r>
          </w:p>
          <w:p>
            <w:pPr>
              <w:jc w:val="center"/>
              <w:rPr>
                <w:rFonts w:ascii="宋体" w:hAnsi="宋体"/>
                <w:szCs w:val="21"/>
                <w:highlight w:val="none"/>
              </w:rPr>
            </w:pPr>
            <w:r>
              <w:rPr>
                <w:rFonts w:hint="eastAsia" w:ascii="宋体" w:hAnsi="宋体"/>
                <w:szCs w:val="21"/>
                <w:highlight w:val="none"/>
              </w:rPr>
              <w:t>文</w:t>
            </w:r>
          </w:p>
          <w:p>
            <w:pPr>
              <w:jc w:val="center"/>
              <w:rPr>
                <w:rFonts w:hint="eastAsia" w:ascii="宋体" w:hAnsi="宋体"/>
                <w:szCs w:val="21"/>
                <w:highlight w:val="none"/>
              </w:rPr>
            </w:pPr>
            <w:r>
              <w:rPr>
                <w:rFonts w:hint="eastAsia" w:ascii="宋体" w:hAnsi="宋体"/>
                <w:szCs w:val="21"/>
                <w:highlight w:val="none"/>
              </w:rPr>
              <w:t>件</w:t>
            </w:r>
          </w:p>
          <w:p>
            <w:pPr>
              <w:jc w:val="center"/>
              <w:rPr>
                <w:rFonts w:ascii="宋体" w:hAnsi="宋体"/>
                <w:szCs w:val="21"/>
                <w:highlight w:val="none"/>
              </w:rPr>
            </w:pPr>
            <w:r>
              <w:rPr>
                <w:rFonts w:hint="eastAsia" w:ascii="宋体" w:hAnsi="宋体"/>
                <w:szCs w:val="21"/>
                <w:highlight w:val="none"/>
              </w:rPr>
              <w:t>︶</w:t>
            </w:r>
          </w:p>
        </w:tc>
        <w:tc>
          <w:tcPr>
            <w:tcW w:w="709" w:type="dxa"/>
            <w:vMerge w:val="restart"/>
            <w:noWrap w:val="0"/>
            <w:textDirection w:val="tbRlV"/>
            <w:vAlign w:val="center"/>
          </w:tcPr>
          <w:p>
            <w:pPr>
              <w:ind w:left="113" w:right="113"/>
              <w:jc w:val="center"/>
              <w:rPr>
                <w:rFonts w:ascii="宋体" w:hAnsi="宋体"/>
                <w:szCs w:val="21"/>
                <w:highlight w:val="none"/>
              </w:rPr>
            </w:pPr>
            <w:r>
              <w:rPr>
                <w:rFonts w:hint="eastAsia" w:ascii="宋体" w:hAnsi="宋体"/>
                <w:szCs w:val="21"/>
                <w:highlight w:val="none"/>
              </w:rPr>
              <w:t>初步评审</w:t>
            </w: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文件签字盖章</w:t>
            </w:r>
          </w:p>
        </w:tc>
        <w:tc>
          <w:tcPr>
            <w:tcW w:w="5750" w:type="dxa"/>
            <w:gridSpan w:val="2"/>
            <w:noWrap w:val="0"/>
            <w:vAlign w:val="center"/>
          </w:tcPr>
          <w:p>
            <w:pPr>
              <w:spacing w:line="480" w:lineRule="exact"/>
              <w:ind w:left="212" w:leftChars="101"/>
              <w:rPr>
                <w:rFonts w:ascii="宋体" w:hAnsi="宋体"/>
                <w:szCs w:val="21"/>
                <w:highlight w:val="none"/>
              </w:rPr>
            </w:pPr>
            <w:r>
              <w:rPr>
                <w:rFonts w:ascii="宋体" w:hAnsi="宋体"/>
                <w:szCs w:val="21"/>
                <w:highlight w:val="none"/>
              </w:rPr>
              <w:t>符合第二章“投标人须知”第</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3</w:t>
            </w:r>
            <w:r>
              <w:rPr>
                <w:rFonts w:ascii="宋体" w:hAnsi="宋体"/>
                <w:szCs w:val="21"/>
                <w:highlight w:val="none"/>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ascii="宋体" w:hAnsi="宋体"/>
                <w:szCs w:val="21"/>
                <w:highlight w:val="none"/>
              </w:rPr>
            </w:pPr>
          </w:p>
        </w:tc>
        <w:tc>
          <w:tcPr>
            <w:tcW w:w="709" w:type="dxa"/>
            <w:vMerge w:val="continue"/>
            <w:noWrap w:val="0"/>
            <w:vAlign w:val="center"/>
          </w:tcPr>
          <w:p>
            <w:pPr>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文件</w:t>
            </w:r>
            <w:r>
              <w:rPr>
                <w:rFonts w:hint="eastAsia" w:ascii="宋体" w:hAnsi="宋体"/>
                <w:szCs w:val="21"/>
                <w:highlight w:val="none"/>
              </w:rPr>
              <w:t>填写及组成</w:t>
            </w:r>
          </w:p>
        </w:tc>
        <w:tc>
          <w:tcPr>
            <w:tcW w:w="5750" w:type="dxa"/>
            <w:gridSpan w:val="2"/>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ascii="宋体" w:hAnsi="宋体"/>
                <w:szCs w:val="21"/>
                <w:highlight w:val="none"/>
              </w:rPr>
            </w:pPr>
          </w:p>
        </w:tc>
        <w:tc>
          <w:tcPr>
            <w:tcW w:w="709" w:type="dxa"/>
            <w:vMerge w:val="continue"/>
            <w:noWrap w:val="0"/>
            <w:vAlign w:val="center"/>
          </w:tcPr>
          <w:p>
            <w:pPr>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报价函填写</w:t>
            </w:r>
          </w:p>
        </w:tc>
        <w:tc>
          <w:tcPr>
            <w:tcW w:w="5750" w:type="dxa"/>
            <w:gridSpan w:val="2"/>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按招标文件规定填报了正确的招标人名称、项目名称、标段名称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ascii="宋体" w:hAnsi="宋体"/>
                <w:szCs w:val="21"/>
                <w:highlight w:val="none"/>
              </w:rPr>
            </w:pPr>
          </w:p>
        </w:tc>
        <w:tc>
          <w:tcPr>
            <w:tcW w:w="709" w:type="dxa"/>
            <w:vMerge w:val="continue"/>
            <w:noWrap w:val="0"/>
            <w:vAlign w:val="center"/>
          </w:tcPr>
          <w:p>
            <w:pPr>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工程量清单</w:t>
            </w:r>
            <w:r>
              <w:rPr>
                <w:rFonts w:hint="eastAsia" w:ascii="宋体" w:hAnsi="宋体"/>
                <w:szCs w:val="21"/>
                <w:highlight w:val="none"/>
              </w:rPr>
              <w:t>文字说明</w:t>
            </w:r>
          </w:p>
        </w:tc>
        <w:tc>
          <w:tcPr>
            <w:tcW w:w="5750" w:type="dxa"/>
            <w:gridSpan w:val="2"/>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未对</w:t>
            </w:r>
            <w:r>
              <w:rPr>
                <w:rFonts w:ascii="宋体" w:hAnsi="宋体"/>
                <w:szCs w:val="21"/>
                <w:highlight w:val="none"/>
              </w:rPr>
              <w:t>工程量清单</w:t>
            </w:r>
            <w:r>
              <w:rPr>
                <w:rFonts w:hint="eastAsia" w:ascii="宋体" w:hAnsi="宋体"/>
                <w:szCs w:val="21"/>
                <w:highlight w:val="none"/>
              </w:rPr>
              <w:t>文字说明修改或删除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4"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ascii="宋体" w:hAnsi="宋体"/>
                <w:szCs w:val="21"/>
                <w:highlight w:val="none"/>
              </w:rPr>
            </w:pPr>
          </w:p>
        </w:tc>
        <w:tc>
          <w:tcPr>
            <w:tcW w:w="709" w:type="dxa"/>
            <w:vMerge w:val="continue"/>
            <w:noWrap w:val="0"/>
            <w:vAlign w:val="center"/>
          </w:tcPr>
          <w:p>
            <w:pPr>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ascii="宋体" w:hAnsi="宋体"/>
                <w:szCs w:val="21"/>
                <w:highlight w:val="none"/>
              </w:rPr>
              <w:t>已标价工程量清单</w:t>
            </w:r>
          </w:p>
        </w:tc>
        <w:tc>
          <w:tcPr>
            <w:tcW w:w="5750" w:type="dxa"/>
            <w:gridSpan w:val="2"/>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未对工程量固化清单电子文件中的数据、格式和运算定义进行修改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ascii="宋体" w:hAnsi="宋体"/>
                <w:szCs w:val="21"/>
                <w:highlight w:val="none"/>
              </w:rPr>
            </w:pPr>
          </w:p>
        </w:tc>
        <w:tc>
          <w:tcPr>
            <w:tcW w:w="709" w:type="dxa"/>
            <w:vMerge w:val="continue"/>
            <w:noWrap w:val="0"/>
            <w:vAlign w:val="center"/>
          </w:tcPr>
          <w:p>
            <w:pPr>
              <w:jc w:val="center"/>
              <w:rPr>
                <w:rFonts w:ascii="宋体" w:hAnsi="宋体"/>
                <w:szCs w:val="21"/>
                <w:highlight w:val="none"/>
              </w:rPr>
            </w:pPr>
          </w:p>
        </w:tc>
        <w:tc>
          <w:tcPr>
            <w:tcW w:w="1443" w:type="dxa"/>
            <w:noWrap w:val="0"/>
            <w:vAlign w:val="center"/>
          </w:tcPr>
          <w:p>
            <w:pPr>
              <w:spacing w:line="240" w:lineRule="auto"/>
              <w:ind w:left="105" w:leftChars="50"/>
              <w:jc w:val="center"/>
              <w:rPr>
                <w:rFonts w:ascii="宋体" w:hAnsi="宋体"/>
                <w:szCs w:val="21"/>
                <w:highlight w:val="none"/>
              </w:rPr>
            </w:pPr>
            <w:r>
              <w:rPr>
                <w:rFonts w:hint="eastAsia" w:ascii="宋体" w:hAnsi="宋体"/>
                <w:szCs w:val="21"/>
                <w:highlight w:val="none"/>
              </w:rPr>
              <w:t>投标报价</w:t>
            </w:r>
          </w:p>
        </w:tc>
        <w:tc>
          <w:tcPr>
            <w:tcW w:w="5750" w:type="dxa"/>
            <w:gridSpan w:val="2"/>
            <w:noWrap w:val="0"/>
            <w:vAlign w:val="center"/>
          </w:tcPr>
          <w:p>
            <w:pPr>
              <w:spacing w:line="240" w:lineRule="auto"/>
              <w:ind w:left="212" w:leftChars="101"/>
              <w:rPr>
                <w:rFonts w:ascii="宋体" w:hAnsi="宋体"/>
                <w:szCs w:val="21"/>
                <w:highlight w:val="none"/>
              </w:rPr>
            </w:pPr>
            <w:r>
              <w:rPr>
                <w:rFonts w:hint="eastAsia" w:ascii="宋体" w:hAnsi="宋体"/>
                <w:szCs w:val="21"/>
                <w:highlight w:val="none"/>
              </w:rPr>
              <w:t>未超过招标人公布的最高投标限价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02" w:type="dxa"/>
            <w:vMerge w:val="continue"/>
            <w:noWrap w:val="0"/>
            <w:vAlign w:val="center"/>
          </w:tcPr>
          <w:p>
            <w:pPr>
              <w:jc w:val="center"/>
              <w:rPr>
                <w:rFonts w:ascii="宋体" w:hAnsi="宋体"/>
                <w:szCs w:val="21"/>
                <w:highlight w:val="none"/>
              </w:rPr>
            </w:pPr>
          </w:p>
        </w:tc>
        <w:tc>
          <w:tcPr>
            <w:tcW w:w="567" w:type="dxa"/>
            <w:vMerge w:val="continue"/>
            <w:noWrap w:val="0"/>
            <w:vAlign w:val="center"/>
          </w:tcPr>
          <w:p>
            <w:pPr>
              <w:jc w:val="center"/>
              <w:rPr>
                <w:rFonts w:ascii="宋体" w:hAnsi="宋体"/>
                <w:szCs w:val="21"/>
                <w:highlight w:val="none"/>
              </w:rPr>
            </w:pPr>
          </w:p>
        </w:tc>
        <w:tc>
          <w:tcPr>
            <w:tcW w:w="709" w:type="dxa"/>
            <w:vMerge w:val="continue"/>
            <w:noWrap w:val="0"/>
            <w:vAlign w:val="center"/>
          </w:tcPr>
          <w:p>
            <w:pPr>
              <w:jc w:val="center"/>
              <w:rPr>
                <w:rFonts w:ascii="宋体" w:hAnsi="宋体"/>
                <w:szCs w:val="21"/>
                <w:highlight w:val="none"/>
              </w:rPr>
            </w:pPr>
          </w:p>
        </w:tc>
        <w:tc>
          <w:tcPr>
            <w:tcW w:w="1443" w:type="dxa"/>
            <w:noWrap w:val="0"/>
            <w:vAlign w:val="center"/>
          </w:tcPr>
          <w:p>
            <w:pPr>
              <w:spacing w:line="320" w:lineRule="exact"/>
              <w:jc w:val="center"/>
              <w:rPr>
                <w:rFonts w:ascii="宋体" w:hAnsi="宋体"/>
                <w:szCs w:val="21"/>
                <w:highlight w:val="none"/>
              </w:rPr>
            </w:pPr>
            <w:r>
              <w:rPr>
                <w:rFonts w:ascii="宋体" w:hAnsi="宋体"/>
                <w:szCs w:val="21"/>
                <w:highlight w:val="none"/>
              </w:rPr>
              <w:t>……</w:t>
            </w:r>
          </w:p>
        </w:tc>
        <w:tc>
          <w:tcPr>
            <w:tcW w:w="5750" w:type="dxa"/>
            <w:gridSpan w:val="2"/>
            <w:noWrap w:val="0"/>
            <w:vAlign w:val="center"/>
          </w:tcPr>
          <w:p>
            <w:pPr>
              <w:spacing w:line="320" w:lineRule="exact"/>
              <w:jc w:val="center"/>
              <w:rPr>
                <w:rFonts w:ascii="宋体" w:hAnsi="宋体"/>
                <w:szCs w:val="21"/>
                <w:highlight w:val="none"/>
              </w:rPr>
            </w:pPr>
            <w:r>
              <w:rPr>
                <w:rFonts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1369" w:type="dxa"/>
            <w:gridSpan w:val="2"/>
            <w:tcBorders>
              <w:top w:val="single" w:color="auto" w:sz="8" w:space="0"/>
              <w:bottom w:val="single" w:color="auto" w:sz="4" w:space="0"/>
            </w:tcBorders>
            <w:noWrap w:val="0"/>
            <w:vAlign w:val="center"/>
          </w:tcPr>
          <w:p>
            <w:pPr>
              <w:jc w:val="center"/>
              <w:rPr>
                <w:rFonts w:ascii="宋体" w:hAnsi="宋体"/>
                <w:szCs w:val="21"/>
                <w:highlight w:val="none"/>
              </w:rPr>
            </w:pPr>
            <w:r>
              <w:rPr>
                <w:rFonts w:ascii="宋体" w:hAnsi="宋体"/>
                <w:szCs w:val="21"/>
                <w:highlight w:val="none"/>
              </w:rPr>
              <w:t>2.2.1</w:t>
            </w:r>
          </w:p>
        </w:tc>
        <w:tc>
          <w:tcPr>
            <w:tcW w:w="2152" w:type="dxa"/>
            <w:gridSpan w:val="2"/>
            <w:tcBorders>
              <w:bottom w:val="single" w:color="auto" w:sz="4" w:space="0"/>
            </w:tcBorders>
            <w:noWrap w:val="0"/>
            <w:vAlign w:val="center"/>
          </w:tcPr>
          <w:p>
            <w:pPr>
              <w:spacing w:line="320" w:lineRule="exact"/>
              <w:jc w:val="center"/>
              <w:rPr>
                <w:rFonts w:ascii="宋体" w:hAnsi="宋体"/>
                <w:szCs w:val="21"/>
                <w:highlight w:val="none"/>
              </w:rPr>
            </w:pPr>
            <w:r>
              <w:rPr>
                <w:rFonts w:ascii="宋体" w:hAnsi="宋体"/>
                <w:szCs w:val="21"/>
                <w:highlight w:val="none"/>
              </w:rPr>
              <w:t>分值构成</w:t>
            </w:r>
          </w:p>
          <w:p>
            <w:pPr>
              <w:spacing w:line="320" w:lineRule="exact"/>
              <w:jc w:val="center"/>
              <w:rPr>
                <w:rFonts w:ascii="宋体" w:hAnsi="宋体"/>
                <w:szCs w:val="21"/>
                <w:highlight w:val="none"/>
              </w:rPr>
            </w:pPr>
            <w:r>
              <w:rPr>
                <w:rFonts w:ascii="宋体" w:hAnsi="宋体"/>
                <w:szCs w:val="21"/>
                <w:highlight w:val="none"/>
              </w:rPr>
              <w:t>(总分 100 分)</w:t>
            </w:r>
          </w:p>
        </w:tc>
        <w:tc>
          <w:tcPr>
            <w:tcW w:w="5750" w:type="dxa"/>
            <w:gridSpan w:val="2"/>
            <w:tcBorders>
              <w:bottom w:val="single" w:color="auto" w:sz="8" w:space="0"/>
            </w:tcBorders>
            <w:noWrap w:val="0"/>
            <w:vAlign w:val="center"/>
          </w:tcPr>
          <w:p>
            <w:pPr>
              <w:spacing w:line="360" w:lineRule="auto"/>
              <w:jc w:val="both"/>
              <w:rPr>
                <w:rFonts w:hint="eastAsia" w:ascii="Times New Roman" w:hAnsi="Times New Roman"/>
                <w:b w:val="0"/>
                <w:bCs w:val="0"/>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jc w:val="both"/>
              <w:textAlignment w:val="auto"/>
              <w:rPr>
                <w:rFonts w:hint="eastAsia" w:ascii="Times New Roman" w:hAnsi="Times New Roman"/>
                <w:b w:val="0"/>
                <w:bCs w:val="0"/>
                <w:kern w:val="2"/>
                <w:sz w:val="21"/>
                <w:szCs w:val="24"/>
                <w:highlight w:val="none"/>
                <w:lang w:val="en-US" w:eastAsia="zh-CN" w:bidi="ar-SA"/>
              </w:rPr>
            </w:pPr>
            <w:r>
              <w:rPr>
                <w:rFonts w:hint="eastAsia" w:ascii="Times New Roman" w:hAnsi="Times New Roman"/>
                <w:b w:val="0"/>
                <w:bCs w:val="0"/>
                <w:kern w:val="2"/>
                <w:sz w:val="21"/>
                <w:szCs w:val="24"/>
                <w:highlight w:val="none"/>
                <w:lang w:val="en-US" w:eastAsia="zh-CN" w:bidi="ar-SA"/>
              </w:rPr>
              <w:t>评标价： 100 分</w:t>
            </w: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jc w:val="both"/>
              <w:textAlignment w:val="auto"/>
              <w:rPr>
                <w:rFonts w:hint="default" w:eastAsia="宋体"/>
                <w:highlight w:val="none"/>
                <w:lang w:val="en-US" w:eastAsia="zh-CN"/>
              </w:rPr>
            </w:pPr>
            <w:r>
              <w:rPr>
                <w:rFonts w:hint="eastAsia" w:ascii="Times New Roman" w:hAnsi="Times New Roman"/>
                <w:b w:val="0"/>
                <w:bCs w:val="0"/>
                <w:kern w:val="2"/>
                <w:sz w:val="21"/>
                <w:szCs w:val="24"/>
                <w:highlight w:val="none"/>
                <w:lang w:val="en-US" w:eastAsia="zh-CN" w:bidi="ar-SA"/>
              </w:rPr>
              <w:t>其他因素分值均为0分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958" w:hRule="atLeast"/>
          <w:jc w:val="center"/>
        </w:trPr>
        <w:tc>
          <w:tcPr>
            <w:tcW w:w="1369" w:type="dxa"/>
            <w:gridSpan w:val="2"/>
            <w:tcBorders>
              <w:top w:val="single" w:color="auto" w:sz="8" w:space="0"/>
            </w:tcBorders>
            <w:noWrap w:val="0"/>
            <w:vAlign w:val="center"/>
          </w:tcPr>
          <w:p>
            <w:pPr>
              <w:jc w:val="center"/>
              <w:rPr>
                <w:rFonts w:ascii="宋体" w:hAnsi="宋体"/>
                <w:szCs w:val="21"/>
                <w:highlight w:val="none"/>
              </w:rPr>
            </w:pPr>
            <w:r>
              <w:rPr>
                <w:rFonts w:ascii="宋体" w:hAnsi="宋体"/>
                <w:szCs w:val="21"/>
                <w:highlight w:val="none"/>
              </w:rPr>
              <w:t>2.2.2</w:t>
            </w:r>
          </w:p>
        </w:tc>
        <w:tc>
          <w:tcPr>
            <w:tcW w:w="2152" w:type="dxa"/>
            <w:gridSpan w:val="2"/>
            <w:noWrap w:val="0"/>
            <w:vAlign w:val="center"/>
          </w:tcPr>
          <w:p>
            <w:pPr>
              <w:spacing w:line="320" w:lineRule="exact"/>
              <w:jc w:val="center"/>
              <w:rPr>
                <w:rFonts w:ascii="宋体" w:hAnsi="宋体"/>
                <w:szCs w:val="21"/>
                <w:highlight w:val="none"/>
              </w:rPr>
            </w:pPr>
            <w:r>
              <w:rPr>
                <w:rFonts w:ascii="宋体" w:hAnsi="宋体"/>
                <w:szCs w:val="21"/>
                <w:highlight w:val="none"/>
              </w:rPr>
              <w:t>评标基准价</w:t>
            </w:r>
          </w:p>
          <w:p>
            <w:pPr>
              <w:spacing w:line="320" w:lineRule="exact"/>
              <w:jc w:val="center"/>
              <w:rPr>
                <w:rFonts w:ascii="宋体" w:hAnsi="宋体"/>
                <w:szCs w:val="21"/>
                <w:highlight w:val="none"/>
              </w:rPr>
            </w:pPr>
            <w:r>
              <w:rPr>
                <w:rFonts w:ascii="宋体" w:hAnsi="宋体"/>
                <w:szCs w:val="21"/>
                <w:highlight w:val="none"/>
              </w:rPr>
              <w:t>计算方法</w:t>
            </w:r>
          </w:p>
        </w:tc>
        <w:tc>
          <w:tcPr>
            <w:tcW w:w="5750" w:type="dxa"/>
            <w:gridSpan w:val="2"/>
            <w:tcBorders>
              <w:top w:val="single" w:color="auto" w:sz="8" w:space="0"/>
              <w:bottom w:val="single" w:color="auto" w:sz="8" w:space="0"/>
            </w:tcBorders>
            <w:noWrap w:val="0"/>
            <w:vAlign w:val="center"/>
          </w:tcPr>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本次招标设定的评标基准价计算方法，在第二信封（报价文件）开标现场，每个标段随机抽取其中的一种作为该标段评标基准价的计算方法。</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评标价E=投标报价函文字报价。</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当采用方法一、二、三时，评标基准价计算时去掉n1个最高评标价和n2个最低评标价。</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①当N&lt;6时，n1、n2均取0；</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②当N≥6时，去掉n1个最高评标价，去掉n2个最低评标价；</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n1在取值区间1～M-1中随机抽取（最小为1），n2在取值区间1～M+1中随机抽取；M=N/4，M向下取整。</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N为某标段第二信封（报价文件）现场开标有效的投标人数量，超过最高投标限价的投标人不参与计算。</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根据上述规则去除n1个最高值和n2个最低值后，其余评标价参与评标基准价的计算，评标基准价保留两位小数，小数点后第三位“四舍五入”。</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※方法一：二次平均法</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对参与评标基准价计算的所有评标价进行第一次平均，对所有小于或等于第一次平均值的评标价（不包括去掉的n2个最低评标价）进行第二次平均，第二次平均值即为评标基准价P。</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※方法二：随机系数法</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评标基准价P＝(Emax-Emin)×K+ Emin</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Emax——去掉n1个最高评标价后的最大值。</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Emin——去掉n2个最低评标价后的最小值。</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K——基准价系数，由在第二信封（报价文件）开标现场随机抽取的X、Y两个系数构成，K=(X+Y/10)/10，其中X、Y各设10个系数，分别为0、1、2、3、4、5、6、7、8、9。</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※方法三：随机权重法</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评标基准价P＝A×K+B×(1-K)</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A——去掉n1个最高评标价后的最大值</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B——参与评标基准价计算的所有评标价的平均值</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K——权重系数，由在第二信封（报价文件）开标现场随机抽取的X、Y两个系数构成，K=(X+Y/10)/10，其中X有4个系数，分别为3、4、5、6；Y有10个系数分别为0、1、2、3、4、5、6、7、8、9。</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rPr>
              <w:tab/>
            </w:r>
            <w:r>
              <w:rPr>
                <w:rFonts w:hint="eastAsia" w:ascii="宋体" w:hAnsi="宋体"/>
                <w:szCs w:val="21"/>
                <w:highlight w:val="none"/>
              </w:rPr>
              <w:t>方法四：随机低价法（适用于N≥5）</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评标基准价P＝去掉m个最低评标价的最低价</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m——在第二信封（报价文件）开标现场随机抽取，取值范围为n3～n4, 步距为1。</w:t>
            </w:r>
          </w:p>
          <w:p>
            <w:pPr>
              <w:spacing w:line="300" w:lineRule="atLeast"/>
              <w:ind w:left="118" w:leftChars="56" w:firstLine="300" w:firstLineChars="143"/>
              <w:rPr>
                <w:rFonts w:hint="eastAsia" w:ascii="宋体" w:hAnsi="宋体"/>
                <w:szCs w:val="21"/>
                <w:highlight w:val="none"/>
              </w:rPr>
            </w:pPr>
            <w:r>
              <w:rPr>
                <w:rFonts w:hint="eastAsia" w:ascii="宋体" w:hAnsi="宋体"/>
                <w:szCs w:val="21"/>
                <w:highlight w:val="none"/>
              </w:rPr>
              <w:t>n3=N×0.2，n4=N×0.7，n3、n4向下取整。</w:t>
            </w:r>
          </w:p>
          <w:p>
            <w:pPr>
              <w:spacing w:line="300" w:lineRule="atLeast"/>
              <w:ind w:left="118" w:leftChars="56" w:firstLine="300" w:firstLineChars="143"/>
              <w:rPr>
                <w:rFonts w:ascii="宋体" w:hAnsi="宋体"/>
                <w:szCs w:val="21"/>
                <w:highlight w:val="none"/>
              </w:rPr>
            </w:pPr>
            <w:r>
              <w:rPr>
                <w:rFonts w:hint="eastAsia" w:ascii="宋体" w:hAnsi="宋体"/>
                <w:szCs w:val="21"/>
                <w:highlight w:val="none"/>
              </w:rPr>
              <w:t>评标基准价在整个评审期间保持不变，不随通过第二信封（报价文件）评审的投标人数量发生变化。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369" w:type="dxa"/>
            <w:gridSpan w:val="2"/>
            <w:noWrap w:val="0"/>
            <w:vAlign w:val="center"/>
          </w:tcPr>
          <w:p>
            <w:pPr>
              <w:spacing w:line="480" w:lineRule="exact"/>
              <w:jc w:val="center"/>
              <w:rPr>
                <w:rFonts w:ascii="宋体" w:hAnsi="宋体"/>
                <w:szCs w:val="21"/>
                <w:highlight w:val="none"/>
              </w:rPr>
            </w:pPr>
            <w:r>
              <w:rPr>
                <w:rFonts w:ascii="宋体" w:hAnsi="宋体"/>
                <w:szCs w:val="21"/>
                <w:highlight w:val="none"/>
              </w:rPr>
              <w:t>2.2.3</w:t>
            </w:r>
          </w:p>
        </w:tc>
        <w:tc>
          <w:tcPr>
            <w:tcW w:w="2152" w:type="dxa"/>
            <w:gridSpan w:val="2"/>
            <w:noWrap w:val="0"/>
            <w:vAlign w:val="center"/>
          </w:tcPr>
          <w:p>
            <w:pPr>
              <w:spacing w:line="480" w:lineRule="exact"/>
              <w:jc w:val="center"/>
              <w:rPr>
                <w:rFonts w:ascii="宋体" w:hAnsi="宋体"/>
                <w:szCs w:val="21"/>
                <w:highlight w:val="none"/>
              </w:rPr>
            </w:pPr>
            <w:r>
              <w:rPr>
                <w:rFonts w:ascii="宋体" w:hAnsi="宋体"/>
                <w:szCs w:val="21"/>
                <w:highlight w:val="none"/>
              </w:rPr>
              <w:t>投标报价的偏差率</w:t>
            </w:r>
          </w:p>
          <w:p>
            <w:pPr>
              <w:spacing w:line="480" w:lineRule="exact"/>
              <w:jc w:val="center"/>
              <w:rPr>
                <w:rFonts w:ascii="宋体" w:hAnsi="宋体"/>
                <w:szCs w:val="21"/>
                <w:highlight w:val="none"/>
              </w:rPr>
            </w:pPr>
            <w:r>
              <w:rPr>
                <w:rFonts w:ascii="宋体" w:hAnsi="宋体"/>
                <w:szCs w:val="21"/>
                <w:highlight w:val="none"/>
              </w:rPr>
              <w:t>计算公式</w:t>
            </w:r>
          </w:p>
        </w:tc>
        <w:tc>
          <w:tcPr>
            <w:tcW w:w="5750" w:type="dxa"/>
            <w:gridSpan w:val="2"/>
            <w:tcBorders>
              <w:top w:val="single" w:color="auto" w:sz="8" w:space="0"/>
            </w:tcBorders>
            <w:noWrap w:val="0"/>
            <w:vAlign w:val="center"/>
          </w:tcPr>
          <w:p>
            <w:pPr>
              <w:spacing w:line="480" w:lineRule="exact"/>
              <w:ind w:left="99" w:leftChars="47"/>
              <w:jc w:val="left"/>
              <w:rPr>
                <w:rFonts w:hint="eastAsia" w:ascii="宋体" w:hAnsi="宋体"/>
                <w:szCs w:val="21"/>
                <w:highlight w:val="none"/>
              </w:rPr>
            </w:pPr>
            <w:r>
              <w:rPr>
                <w:rFonts w:ascii="宋体" w:hAnsi="宋体"/>
                <w:szCs w:val="21"/>
                <w:highlight w:val="none"/>
              </w:rPr>
              <w:t>偏差率=100%×</w:t>
            </w:r>
            <w:r>
              <w:rPr>
                <w:rFonts w:hint="eastAsia" w:ascii="宋体" w:hAnsi="宋体"/>
                <w:szCs w:val="21"/>
                <w:highlight w:val="none"/>
              </w:rPr>
              <w:t>(</w:t>
            </w:r>
            <w:r>
              <w:rPr>
                <w:rFonts w:ascii="宋体" w:hAnsi="宋体"/>
                <w:szCs w:val="21"/>
                <w:highlight w:val="none"/>
              </w:rPr>
              <w:t>投标人投标报价-评标基准价</w:t>
            </w:r>
            <w:r>
              <w:rPr>
                <w:rFonts w:hint="eastAsia" w:ascii="宋体" w:hAnsi="宋体"/>
                <w:szCs w:val="21"/>
                <w:highlight w:val="none"/>
              </w:rPr>
              <w:t>)</w:t>
            </w:r>
            <w:r>
              <w:rPr>
                <w:rFonts w:ascii="宋体" w:hAnsi="宋体"/>
                <w:szCs w:val="21"/>
                <w:highlight w:val="none"/>
              </w:rPr>
              <w:t>/评标基准价</w:t>
            </w:r>
            <w:r>
              <w:rPr>
                <w:rFonts w:hint="eastAsia" w:ascii="宋体" w:hAnsi="宋体"/>
                <w:szCs w:val="21"/>
                <w:highlight w:val="none"/>
              </w:rPr>
              <w:t>，</w:t>
            </w:r>
            <w:r>
              <w:rPr>
                <w:rFonts w:ascii="宋体" w:hAnsi="宋体"/>
                <w:szCs w:val="21"/>
                <w:highlight w:val="none"/>
              </w:rPr>
              <w:t>偏差率保留小数点后</w:t>
            </w:r>
            <w:r>
              <w:rPr>
                <w:rFonts w:hint="eastAsia" w:ascii="宋体" w:hAnsi="宋体"/>
                <w:szCs w:val="21"/>
                <w:highlight w:val="none"/>
              </w:rPr>
              <w:t>九</w:t>
            </w:r>
            <w:r>
              <w:rPr>
                <w:rFonts w:ascii="宋体" w:hAnsi="宋体"/>
                <w:szCs w:val="21"/>
                <w:highlight w:val="none"/>
              </w:rPr>
              <w:t>位，小数点后第</w:t>
            </w:r>
            <w:r>
              <w:rPr>
                <w:rFonts w:hint="eastAsia" w:ascii="宋体" w:hAnsi="宋体"/>
                <w:szCs w:val="21"/>
                <w:highlight w:val="none"/>
              </w:rPr>
              <w:t>十</w:t>
            </w:r>
            <w:r>
              <w:rPr>
                <w:rFonts w:ascii="宋体" w:hAnsi="宋体"/>
                <w:szCs w:val="21"/>
                <w:highlight w:val="none"/>
              </w:rPr>
              <w:t>位</w:t>
            </w:r>
            <w:r>
              <w:rPr>
                <w:rFonts w:hint="eastAsia" w:ascii="宋体" w:hAnsi="宋体"/>
                <w:szCs w:val="21"/>
                <w:highlight w:val="none"/>
              </w:rPr>
              <w:t>“</w:t>
            </w:r>
            <w:r>
              <w:rPr>
                <w:rFonts w:ascii="宋体" w:hAnsi="宋体"/>
                <w:szCs w:val="21"/>
                <w:highlight w:val="none"/>
              </w:rPr>
              <w:t>四舍五入</w:t>
            </w:r>
            <w:r>
              <w:rPr>
                <w:rFonts w:hint="eastAsia" w:ascii="宋体" w:hAnsi="宋体"/>
                <w:szCs w:val="21"/>
                <w:highlight w:val="none"/>
              </w:rPr>
              <w:t>”</w:t>
            </w:r>
            <w:r>
              <w:rPr>
                <w:rFonts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369" w:type="dxa"/>
            <w:gridSpan w:val="2"/>
            <w:noWrap w:val="0"/>
            <w:vAlign w:val="center"/>
          </w:tcPr>
          <w:p>
            <w:pPr>
              <w:spacing w:line="24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2.2.4（1）</w:t>
            </w:r>
          </w:p>
        </w:tc>
        <w:tc>
          <w:tcPr>
            <w:tcW w:w="2152" w:type="dxa"/>
            <w:gridSpan w:val="2"/>
            <w:noWrap w:val="0"/>
            <w:vAlign w:val="center"/>
          </w:tcPr>
          <w:p>
            <w:pPr>
              <w:spacing w:line="240" w:lineRule="auto"/>
              <w:jc w:val="center"/>
              <w:rPr>
                <w:rFonts w:hint="eastAsia"/>
                <w:highlight w:val="none"/>
                <w:lang w:eastAsia="zh-CN"/>
              </w:rPr>
            </w:pPr>
            <w:r>
              <w:rPr>
                <w:rFonts w:hint="eastAsia"/>
                <w:highlight w:val="none"/>
                <w:lang w:eastAsia="zh-CN"/>
              </w:rPr>
              <w:t>施工组织设计评分标准</w:t>
            </w:r>
          </w:p>
        </w:tc>
        <w:tc>
          <w:tcPr>
            <w:tcW w:w="5750" w:type="dxa"/>
            <w:gridSpan w:val="2"/>
            <w:tcBorders>
              <w:top w:val="single" w:color="auto" w:sz="8" w:space="0"/>
            </w:tcBorders>
            <w:noWrap w:val="0"/>
            <w:vAlign w:val="center"/>
          </w:tcPr>
          <w:p>
            <w:pPr>
              <w:spacing w:line="240" w:lineRule="auto"/>
              <w:ind w:left="99" w:leftChars="47"/>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369" w:type="dxa"/>
            <w:gridSpan w:val="2"/>
            <w:noWrap w:val="0"/>
            <w:vAlign w:val="center"/>
          </w:tcPr>
          <w:p>
            <w:pPr>
              <w:spacing w:line="240" w:lineRule="auto"/>
              <w:jc w:val="center"/>
              <w:rPr>
                <w:rFonts w:ascii="宋体" w:hAnsi="宋体"/>
                <w:szCs w:val="21"/>
                <w:highlight w:val="none"/>
              </w:rPr>
            </w:pPr>
            <w:r>
              <w:rPr>
                <w:rFonts w:hint="eastAsia" w:ascii="宋体" w:hAnsi="宋体"/>
                <w:szCs w:val="21"/>
                <w:highlight w:val="none"/>
                <w:lang w:val="en-US" w:eastAsia="zh-CN"/>
              </w:rPr>
              <w:t>2.2.4（2）</w:t>
            </w:r>
          </w:p>
        </w:tc>
        <w:tc>
          <w:tcPr>
            <w:tcW w:w="2152" w:type="dxa"/>
            <w:gridSpan w:val="2"/>
            <w:noWrap w:val="0"/>
            <w:vAlign w:val="center"/>
          </w:tcPr>
          <w:p>
            <w:pPr>
              <w:spacing w:line="240" w:lineRule="auto"/>
              <w:jc w:val="center"/>
              <w:rPr>
                <w:rFonts w:hint="eastAsia" w:ascii="宋体" w:hAnsi="宋体" w:eastAsia="宋体"/>
                <w:szCs w:val="21"/>
                <w:highlight w:val="none"/>
                <w:lang w:eastAsia="zh-CN"/>
              </w:rPr>
            </w:pPr>
            <w:r>
              <w:rPr>
                <w:rFonts w:hint="eastAsia" w:ascii="宋体" w:hAnsi="宋体"/>
                <w:szCs w:val="21"/>
                <w:highlight w:val="none"/>
                <w:lang w:eastAsia="zh-CN"/>
              </w:rPr>
              <w:t>项目管理机构评分标准</w:t>
            </w:r>
          </w:p>
        </w:tc>
        <w:tc>
          <w:tcPr>
            <w:tcW w:w="5750" w:type="dxa"/>
            <w:gridSpan w:val="2"/>
            <w:tcBorders>
              <w:top w:val="single" w:color="auto" w:sz="8" w:space="0"/>
            </w:tcBorders>
            <w:noWrap w:val="0"/>
            <w:vAlign w:val="center"/>
          </w:tcPr>
          <w:p>
            <w:pPr>
              <w:spacing w:line="240" w:lineRule="auto"/>
              <w:ind w:left="99" w:leftChars="47"/>
              <w:jc w:val="center"/>
              <w:rPr>
                <w:rFonts w:ascii="宋体" w:hAnsi="宋体"/>
                <w:szCs w:val="21"/>
                <w:highlight w:val="none"/>
              </w:rPr>
            </w:pPr>
            <w:r>
              <w:rPr>
                <w:rFonts w:hint="eastAsia" w:ascii="宋体" w:hAnsi="宋体"/>
                <w:szCs w:val="21"/>
                <w:highlight w:val="none"/>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gridAfter w:val="1"/>
          <w:wAfter w:w="10" w:type="dxa"/>
          <w:trHeight w:val="475" w:hRule="atLeast"/>
          <w:jc w:val="center"/>
        </w:trPr>
        <w:tc>
          <w:tcPr>
            <w:tcW w:w="1369" w:type="dxa"/>
            <w:gridSpan w:val="2"/>
            <w:noWrap w:val="0"/>
            <w:vAlign w:val="center"/>
          </w:tcPr>
          <w:p>
            <w:pPr>
              <w:spacing w:line="480" w:lineRule="exact"/>
              <w:jc w:val="center"/>
              <w:rPr>
                <w:rFonts w:ascii="宋体" w:hAnsi="宋体"/>
                <w:szCs w:val="21"/>
                <w:highlight w:val="none"/>
              </w:rPr>
            </w:pPr>
            <w:r>
              <w:rPr>
                <w:rFonts w:ascii="宋体" w:hAnsi="宋体"/>
                <w:szCs w:val="21"/>
                <w:highlight w:val="none"/>
              </w:rPr>
              <w:t>2.2.4(</w:t>
            </w:r>
            <w:r>
              <w:rPr>
                <w:rFonts w:hint="eastAsia" w:ascii="宋体" w:hAnsi="宋体"/>
                <w:szCs w:val="21"/>
                <w:highlight w:val="none"/>
                <w:lang w:val="en-US" w:eastAsia="zh-CN"/>
              </w:rPr>
              <w:t>3</w:t>
            </w:r>
            <w:r>
              <w:rPr>
                <w:rFonts w:ascii="宋体" w:hAnsi="宋体"/>
                <w:szCs w:val="21"/>
                <w:highlight w:val="none"/>
              </w:rPr>
              <w:t>)</w:t>
            </w:r>
          </w:p>
        </w:tc>
        <w:tc>
          <w:tcPr>
            <w:tcW w:w="2152" w:type="dxa"/>
            <w:gridSpan w:val="2"/>
            <w:noWrap w:val="0"/>
            <w:vAlign w:val="center"/>
          </w:tcPr>
          <w:p>
            <w:pPr>
              <w:spacing w:line="480" w:lineRule="exact"/>
              <w:ind w:left="118" w:leftChars="56"/>
              <w:jc w:val="center"/>
              <w:rPr>
                <w:rFonts w:hint="eastAsia" w:ascii="宋体" w:hAnsi="宋体" w:eastAsia="宋体"/>
                <w:szCs w:val="21"/>
                <w:highlight w:val="none"/>
                <w:u w:val="single"/>
                <w:lang w:eastAsia="zh-CN"/>
              </w:rPr>
            </w:pPr>
            <w:r>
              <w:rPr>
                <w:rFonts w:ascii="宋体" w:hAnsi="宋体"/>
                <w:szCs w:val="21"/>
                <w:highlight w:val="none"/>
              </w:rPr>
              <w:t>投标报价</w:t>
            </w:r>
            <w:r>
              <w:rPr>
                <w:rFonts w:hint="eastAsia" w:ascii="宋体" w:hAnsi="宋体"/>
                <w:szCs w:val="21"/>
                <w:highlight w:val="none"/>
                <w:lang w:eastAsia="zh-CN"/>
              </w:rPr>
              <w:t>（</w:t>
            </w:r>
            <w:r>
              <w:rPr>
                <w:rFonts w:hint="eastAsia" w:ascii="宋体" w:hAnsi="宋体"/>
                <w:szCs w:val="21"/>
                <w:highlight w:val="none"/>
                <w:lang w:val="en-US" w:eastAsia="zh-CN"/>
              </w:rPr>
              <w:t>100分</w:t>
            </w:r>
            <w:r>
              <w:rPr>
                <w:rFonts w:hint="eastAsia" w:ascii="宋体" w:hAnsi="宋体"/>
                <w:szCs w:val="21"/>
                <w:highlight w:val="none"/>
                <w:lang w:eastAsia="zh-CN"/>
              </w:rPr>
              <w:t>）</w:t>
            </w:r>
          </w:p>
        </w:tc>
        <w:tc>
          <w:tcPr>
            <w:tcW w:w="5740" w:type="dxa"/>
            <w:noWrap w:val="0"/>
            <w:vAlign w:val="center"/>
          </w:tcPr>
          <w:p>
            <w:pPr>
              <w:spacing w:line="276" w:lineRule="auto"/>
              <w:ind w:left="118" w:leftChars="56"/>
              <w:rPr>
                <w:rFonts w:ascii="宋体" w:hAnsi="宋体"/>
                <w:szCs w:val="21"/>
                <w:highlight w:val="none"/>
              </w:rPr>
            </w:pPr>
            <w:r>
              <w:rPr>
                <w:rFonts w:ascii="宋体" w:hAnsi="宋体"/>
                <w:szCs w:val="21"/>
                <w:highlight w:val="none"/>
              </w:rPr>
              <w:t>投标人投标报价得分的计算：</w:t>
            </w:r>
          </w:p>
          <w:p>
            <w:pPr>
              <w:spacing w:line="276" w:lineRule="auto"/>
              <w:ind w:firstLine="210" w:firstLineChars="100"/>
              <w:rPr>
                <w:rFonts w:ascii="宋体" w:hAnsi="宋体"/>
                <w:szCs w:val="21"/>
                <w:highlight w:val="none"/>
              </w:rPr>
            </w:pPr>
            <w:r>
              <w:rPr>
                <w:rFonts w:ascii="宋体" w:hAnsi="宋体"/>
                <w:szCs w:val="21"/>
                <w:highlight w:val="none"/>
              </w:rPr>
              <w:t>a.如果投标人的投标报价&gt;评标基准价，</w:t>
            </w:r>
          </w:p>
          <w:p>
            <w:pPr>
              <w:spacing w:line="276" w:lineRule="auto"/>
              <w:ind w:left="118" w:leftChars="56"/>
              <w:rPr>
                <w:rFonts w:ascii="宋体" w:hAnsi="宋体"/>
                <w:szCs w:val="21"/>
                <w:highlight w:val="none"/>
              </w:rPr>
            </w:pPr>
            <w:r>
              <w:rPr>
                <w:rFonts w:ascii="宋体" w:hAnsi="宋体"/>
                <w:szCs w:val="21"/>
                <w:highlight w:val="none"/>
              </w:rPr>
              <w:t>则投标报价得分＝</w:t>
            </w:r>
            <w:r>
              <w:rPr>
                <w:rFonts w:hint="eastAsia" w:ascii="宋体" w:hAnsi="宋体"/>
                <w:szCs w:val="21"/>
                <w:highlight w:val="none"/>
                <w:lang w:val="en-US" w:eastAsia="zh-CN"/>
              </w:rPr>
              <w:t>100</w:t>
            </w:r>
            <w:r>
              <w:rPr>
                <w:rFonts w:ascii="宋体" w:hAnsi="宋体"/>
                <w:szCs w:val="21"/>
                <w:highlight w:val="none"/>
              </w:rPr>
              <w:t>－偏差率×100×</w:t>
            </w:r>
            <w:r>
              <w:rPr>
                <w:rFonts w:hint="eastAsia" w:ascii="宋体" w:hAnsi="宋体"/>
                <w:szCs w:val="21"/>
                <w:highlight w:val="none"/>
                <w:u w:val="single"/>
              </w:rPr>
              <w:t>E1</w:t>
            </w:r>
            <w:r>
              <w:rPr>
                <w:rFonts w:ascii="宋体" w:hAnsi="宋体"/>
                <w:szCs w:val="21"/>
                <w:highlight w:val="none"/>
              </w:rPr>
              <w:t>；</w:t>
            </w:r>
          </w:p>
          <w:p>
            <w:pPr>
              <w:spacing w:line="276" w:lineRule="auto"/>
              <w:ind w:firstLine="210" w:firstLineChars="100"/>
              <w:rPr>
                <w:rFonts w:ascii="宋体" w:hAnsi="宋体"/>
                <w:szCs w:val="21"/>
                <w:highlight w:val="none"/>
              </w:rPr>
            </w:pPr>
            <w:r>
              <w:rPr>
                <w:rFonts w:ascii="宋体" w:hAnsi="宋体"/>
                <w:szCs w:val="21"/>
                <w:highlight w:val="none"/>
              </w:rPr>
              <w:t>b.如果投标人的投标报价≤评标基准价，</w:t>
            </w:r>
          </w:p>
          <w:p>
            <w:pPr>
              <w:spacing w:line="276" w:lineRule="auto"/>
              <w:ind w:left="118" w:leftChars="56"/>
              <w:rPr>
                <w:rFonts w:hint="eastAsia" w:ascii="宋体" w:hAnsi="宋体"/>
                <w:szCs w:val="21"/>
                <w:highlight w:val="none"/>
              </w:rPr>
            </w:pPr>
            <w:r>
              <w:rPr>
                <w:rFonts w:ascii="宋体" w:hAnsi="宋体"/>
                <w:szCs w:val="21"/>
                <w:highlight w:val="none"/>
              </w:rPr>
              <w:t>则投标报价得分＝</w:t>
            </w:r>
            <w:r>
              <w:rPr>
                <w:rFonts w:hint="eastAsia" w:ascii="宋体" w:hAnsi="宋体"/>
                <w:szCs w:val="21"/>
                <w:highlight w:val="none"/>
                <w:lang w:val="en-US" w:eastAsia="zh-CN"/>
              </w:rPr>
              <w:t>100</w:t>
            </w:r>
            <w:r>
              <w:rPr>
                <w:rFonts w:ascii="宋体" w:hAnsi="宋体"/>
                <w:szCs w:val="21"/>
                <w:highlight w:val="none"/>
              </w:rPr>
              <w:t>＋偏差率×100×</w:t>
            </w:r>
            <w:r>
              <w:rPr>
                <w:rFonts w:hint="eastAsia" w:ascii="宋体" w:hAnsi="宋体"/>
                <w:szCs w:val="21"/>
                <w:highlight w:val="none"/>
                <w:u w:val="single"/>
              </w:rPr>
              <w:t>E2</w:t>
            </w:r>
            <w:r>
              <w:rPr>
                <w:rFonts w:ascii="宋体" w:hAnsi="宋体"/>
                <w:szCs w:val="21"/>
                <w:highlight w:val="none"/>
              </w:rPr>
              <w:t>。</w:t>
            </w:r>
          </w:p>
          <w:p>
            <w:pPr>
              <w:spacing w:line="276" w:lineRule="auto"/>
              <w:ind w:firstLine="420" w:firstLineChars="200"/>
              <w:rPr>
                <w:rFonts w:hint="eastAsia" w:ascii="宋体" w:hAnsi="宋体"/>
                <w:szCs w:val="21"/>
                <w:highlight w:val="none"/>
              </w:rPr>
            </w:pPr>
            <w:r>
              <w:rPr>
                <w:rFonts w:hint="eastAsia" w:ascii="宋体" w:hAnsi="宋体"/>
                <w:szCs w:val="21"/>
                <w:highlight w:val="none"/>
              </w:rPr>
              <w:t>本项目E1=</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w:t>
            </w:r>
            <w:r>
              <w:rPr>
                <w:rFonts w:hint="eastAsia" w:ascii="宋体" w:hAnsi="宋体"/>
                <w:szCs w:val="21"/>
                <w:highlight w:val="none"/>
                <w:u w:val="single"/>
              </w:rPr>
              <w:t xml:space="preserve">  </w:t>
            </w:r>
            <w:r>
              <w:rPr>
                <w:rFonts w:hint="eastAsia" w:ascii="宋体" w:hAnsi="宋体"/>
                <w:szCs w:val="21"/>
                <w:highlight w:val="none"/>
              </w:rPr>
              <w:t>；E2=</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w:t>
            </w:r>
            <w:r>
              <w:rPr>
                <w:rFonts w:hint="eastAsia" w:ascii="宋体" w:hAnsi="宋体"/>
                <w:szCs w:val="21"/>
                <w:highlight w:val="none"/>
                <w:u w:val="single"/>
              </w:rPr>
              <w:t xml:space="preserve"> </w:t>
            </w:r>
            <w:r>
              <w:rPr>
                <w:rFonts w:hint="eastAsia" w:ascii="宋体" w:hAnsi="宋体"/>
                <w:szCs w:val="21"/>
                <w:highlight w:val="none"/>
              </w:rPr>
              <w:t>。</w:t>
            </w:r>
          </w:p>
          <w:p>
            <w:pPr>
              <w:spacing w:line="276" w:lineRule="auto"/>
              <w:ind w:firstLine="210" w:firstLineChars="100"/>
              <w:rPr>
                <w:rFonts w:hint="eastAsia" w:ascii="宋体" w:hAnsi="宋体"/>
                <w:szCs w:val="21"/>
                <w:highlight w:val="none"/>
              </w:rPr>
            </w:pPr>
            <w:r>
              <w:rPr>
                <w:rFonts w:hint="eastAsia" w:ascii="宋体" w:hAnsi="宋体"/>
                <w:szCs w:val="21"/>
                <w:highlight w:val="none"/>
              </w:rPr>
              <w:t>其中：E1是投标报价每高于评标基准价一个百分点的扣分值；E2是投标报价每低于评标基准价一个百分点的扣分值。招标人可依据招标项目具体特点和实际需要设置E1、E2，但E1应大于E2。</w:t>
            </w:r>
          </w:p>
          <w:p>
            <w:pPr>
              <w:spacing w:line="276" w:lineRule="auto"/>
              <w:ind w:firstLine="210" w:firstLineChars="100"/>
              <w:rPr>
                <w:rFonts w:hint="eastAsia" w:ascii="宋体" w:hAnsi="宋体"/>
                <w:szCs w:val="21"/>
                <w:highlight w:val="none"/>
              </w:rPr>
            </w:pPr>
            <w:r>
              <w:rPr>
                <w:rFonts w:hint="eastAsia" w:ascii="宋体" w:hAnsi="宋体"/>
                <w:szCs w:val="21"/>
                <w:highlight w:val="none"/>
              </w:rPr>
              <w:t>所有评分分值计算保留小数点</w:t>
            </w:r>
            <w:r>
              <w:rPr>
                <w:rFonts w:hint="eastAsia" w:ascii="宋体" w:hAnsi="宋体"/>
                <w:szCs w:val="21"/>
                <w:highlight w:val="none"/>
                <w:lang w:val="en-US" w:eastAsia="zh-CN"/>
              </w:rPr>
              <w:t>九</w:t>
            </w:r>
            <w:r>
              <w:rPr>
                <w:rFonts w:hint="eastAsia" w:ascii="宋体" w:hAnsi="宋体"/>
                <w:szCs w:val="21"/>
                <w:highlight w:val="none"/>
              </w:rPr>
              <w:t>位，小数点后第</w:t>
            </w:r>
            <w:r>
              <w:rPr>
                <w:rFonts w:hint="eastAsia" w:ascii="宋体" w:hAnsi="宋体"/>
                <w:szCs w:val="21"/>
                <w:highlight w:val="none"/>
                <w:lang w:val="en-US" w:eastAsia="zh-CN"/>
              </w:rPr>
              <w:t>十</w:t>
            </w:r>
            <w:r>
              <w:rPr>
                <w:rFonts w:hint="eastAsia" w:ascii="宋体" w:hAnsi="宋体"/>
                <w:szCs w:val="21"/>
                <w:highlight w:val="none"/>
              </w:rPr>
              <w:t>位“四舍五入”。</w:t>
            </w:r>
          </w:p>
        </w:tc>
      </w:tr>
    </w:tbl>
    <w:p>
      <w:pPr>
        <w:rPr>
          <w:highlight w:val="none"/>
        </w:rPr>
      </w:pPr>
    </w:p>
    <w:p>
      <w:pPr>
        <w:rPr>
          <w:highlight w:val="none"/>
        </w:rPr>
      </w:pPr>
      <w:r>
        <w:rPr>
          <w:highlight w:val="none"/>
        </w:rPr>
        <w:br w:type="page"/>
      </w:r>
    </w:p>
    <w:tbl>
      <w:tblPr>
        <w:tblStyle w:val="5"/>
        <w:tblW w:w="9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907"/>
        <w:gridCol w:w="7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tblHeader/>
          <w:jc w:val="center"/>
        </w:trPr>
        <w:tc>
          <w:tcPr>
            <w:tcW w:w="1596" w:type="dxa"/>
            <w:gridSpan w:val="2"/>
            <w:noWrap w:val="0"/>
            <w:vAlign w:val="center"/>
          </w:tcPr>
          <w:p>
            <w:pPr>
              <w:spacing w:line="400" w:lineRule="atLeast"/>
              <w:jc w:val="center"/>
              <w:rPr>
                <w:rFonts w:ascii="宋体" w:hAnsi="宋体"/>
                <w:b/>
                <w:szCs w:val="21"/>
                <w:highlight w:val="none"/>
              </w:rPr>
            </w:pPr>
            <w:r>
              <w:rPr>
                <w:rFonts w:ascii="宋体" w:hAnsi="宋体"/>
                <w:b/>
                <w:szCs w:val="21"/>
                <w:highlight w:val="none"/>
              </w:rPr>
              <w:t>条款号</w:t>
            </w:r>
          </w:p>
        </w:tc>
        <w:tc>
          <w:tcPr>
            <w:tcW w:w="7914" w:type="dxa"/>
            <w:noWrap w:val="0"/>
            <w:vAlign w:val="center"/>
          </w:tcPr>
          <w:p>
            <w:pPr>
              <w:spacing w:line="400" w:lineRule="atLeast"/>
              <w:jc w:val="center"/>
              <w:rPr>
                <w:rFonts w:ascii="宋体" w:hAnsi="宋体"/>
                <w:b/>
                <w:szCs w:val="21"/>
                <w:highlight w:val="none"/>
              </w:rPr>
            </w:pPr>
            <w:r>
              <w:rPr>
                <w:rFonts w:hint="eastAsia" w:ascii="宋体" w:hAnsi="宋体"/>
                <w:b/>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5" w:hRule="atLeast"/>
          <w:jc w:val="center"/>
        </w:trPr>
        <w:tc>
          <w:tcPr>
            <w:tcW w:w="689" w:type="dxa"/>
            <w:noWrap w:val="0"/>
            <w:vAlign w:val="center"/>
          </w:tcPr>
          <w:p>
            <w:pPr>
              <w:spacing w:line="400" w:lineRule="atLeast"/>
              <w:jc w:val="center"/>
              <w:rPr>
                <w:rFonts w:ascii="宋体" w:hAnsi="宋体"/>
                <w:szCs w:val="21"/>
                <w:highlight w:val="none"/>
              </w:rPr>
            </w:pPr>
            <w:r>
              <w:rPr>
                <w:rFonts w:ascii="宋体" w:hAnsi="宋体"/>
                <w:szCs w:val="21"/>
                <w:highlight w:val="none"/>
              </w:rPr>
              <w:t>3.1</w:t>
            </w:r>
          </w:p>
        </w:tc>
        <w:tc>
          <w:tcPr>
            <w:tcW w:w="907" w:type="dxa"/>
            <w:noWrap w:val="0"/>
            <w:vAlign w:val="center"/>
          </w:tcPr>
          <w:p>
            <w:pPr>
              <w:spacing w:line="320" w:lineRule="atLeast"/>
              <w:jc w:val="both"/>
              <w:rPr>
                <w:rFonts w:ascii="宋体" w:hAnsi="宋体"/>
                <w:szCs w:val="21"/>
                <w:highlight w:val="none"/>
              </w:rPr>
            </w:pPr>
            <w:r>
              <w:rPr>
                <w:rFonts w:hint="eastAsia" w:ascii="宋体" w:hAnsi="宋体"/>
                <w:szCs w:val="21"/>
                <w:highlight w:val="none"/>
              </w:rPr>
              <w:t>第一信</w:t>
            </w:r>
          </w:p>
          <w:p>
            <w:pPr>
              <w:spacing w:line="320" w:lineRule="atLeast"/>
              <w:jc w:val="both"/>
              <w:rPr>
                <w:rFonts w:ascii="宋体" w:hAnsi="宋体"/>
                <w:szCs w:val="21"/>
                <w:highlight w:val="none"/>
              </w:rPr>
            </w:pPr>
            <w:r>
              <w:rPr>
                <w:rFonts w:hint="eastAsia" w:ascii="宋体" w:hAnsi="宋体"/>
                <w:szCs w:val="21"/>
                <w:highlight w:val="none"/>
              </w:rPr>
              <w:t>封</w:t>
            </w:r>
            <w:r>
              <w:rPr>
                <w:rFonts w:hint="eastAsia" w:ascii="宋体" w:hAnsi="宋体"/>
                <w:szCs w:val="21"/>
                <w:highlight w:val="none"/>
                <w:lang w:eastAsia="zh-CN"/>
              </w:rPr>
              <w:t>（</w:t>
            </w:r>
            <w:r>
              <w:rPr>
                <w:rFonts w:hint="eastAsia" w:ascii="宋体" w:hAnsi="宋体"/>
                <w:szCs w:val="21"/>
                <w:highlight w:val="none"/>
              </w:rPr>
              <w:t>商</w:t>
            </w:r>
          </w:p>
          <w:p>
            <w:pPr>
              <w:spacing w:line="320" w:lineRule="atLeast"/>
              <w:jc w:val="both"/>
              <w:rPr>
                <w:rFonts w:ascii="宋体" w:hAnsi="宋体"/>
                <w:szCs w:val="21"/>
                <w:highlight w:val="none"/>
              </w:rPr>
            </w:pPr>
            <w:r>
              <w:rPr>
                <w:rFonts w:hint="eastAsia" w:ascii="宋体" w:hAnsi="宋体"/>
                <w:szCs w:val="21"/>
                <w:highlight w:val="none"/>
              </w:rPr>
              <w:t>务及技</w:t>
            </w:r>
          </w:p>
          <w:p>
            <w:pPr>
              <w:spacing w:line="320" w:lineRule="atLeast"/>
              <w:jc w:val="both"/>
              <w:rPr>
                <w:rFonts w:ascii="宋体" w:hAnsi="宋体"/>
                <w:szCs w:val="21"/>
                <w:highlight w:val="none"/>
              </w:rPr>
            </w:pPr>
            <w:r>
              <w:rPr>
                <w:rFonts w:hint="eastAsia" w:ascii="宋体" w:hAnsi="宋体"/>
                <w:szCs w:val="21"/>
                <w:highlight w:val="none"/>
              </w:rPr>
              <w:t>术文件</w:t>
            </w:r>
          </w:p>
          <w:p>
            <w:pPr>
              <w:spacing w:line="320" w:lineRule="atLeast"/>
              <w:jc w:val="both"/>
              <w:rPr>
                <w:rFonts w:ascii="宋体" w:hAnsi="宋体"/>
                <w:szCs w:val="21"/>
                <w:highlight w:val="none"/>
              </w:rPr>
            </w:pPr>
            <w:r>
              <w:rPr>
                <w:rFonts w:hint="eastAsia" w:ascii="宋体" w:hAnsi="宋体"/>
                <w:szCs w:val="21"/>
                <w:highlight w:val="none"/>
                <w:lang w:eastAsia="zh-CN"/>
              </w:rPr>
              <w:t>）</w:t>
            </w:r>
            <w:r>
              <w:rPr>
                <w:rFonts w:ascii="宋体" w:hAnsi="宋体"/>
                <w:szCs w:val="21"/>
                <w:highlight w:val="none"/>
              </w:rPr>
              <w:t>初步</w:t>
            </w:r>
          </w:p>
          <w:p>
            <w:pPr>
              <w:spacing w:line="320" w:lineRule="atLeast"/>
              <w:jc w:val="both"/>
              <w:rPr>
                <w:rFonts w:ascii="宋体" w:hAnsi="宋体"/>
                <w:szCs w:val="21"/>
                <w:highlight w:val="none"/>
              </w:rPr>
            </w:pPr>
            <w:r>
              <w:rPr>
                <w:rFonts w:ascii="宋体" w:hAnsi="宋体"/>
                <w:szCs w:val="21"/>
                <w:highlight w:val="none"/>
              </w:rPr>
              <w:t>评审</w:t>
            </w:r>
          </w:p>
        </w:tc>
        <w:tc>
          <w:tcPr>
            <w:tcW w:w="7914" w:type="dxa"/>
            <w:noWrap w:val="0"/>
            <w:vAlign w:val="top"/>
          </w:tcPr>
          <w:p>
            <w:pPr>
              <w:rPr>
                <w:rFonts w:ascii="黑体" w:hAnsi="黑体" w:eastAsia="黑体"/>
                <w:sz w:val="24"/>
                <w:highlight w:val="none"/>
              </w:rPr>
            </w:pPr>
            <w:r>
              <w:rPr>
                <w:rFonts w:ascii="黑体" w:hAnsi="黑体" w:eastAsia="黑体"/>
                <w:sz w:val="24"/>
                <w:highlight w:val="none"/>
              </w:rPr>
              <w:t>3.1</w:t>
            </w:r>
            <w:r>
              <w:rPr>
                <w:rFonts w:hint="eastAsia" w:ascii="黑体" w:hAnsi="黑体" w:eastAsia="黑体"/>
                <w:sz w:val="24"/>
                <w:highlight w:val="none"/>
              </w:rPr>
              <w:t>第一信封（商务及技术文件）</w:t>
            </w:r>
            <w:r>
              <w:rPr>
                <w:rFonts w:ascii="黑体" w:hAnsi="黑体" w:eastAsia="黑体"/>
                <w:sz w:val="24"/>
                <w:highlight w:val="none"/>
              </w:rPr>
              <w:t>初步评审</w:t>
            </w:r>
          </w:p>
          <w:p>
            <w:pPr>
              <w:spacing w:line="420" w:lineRule="exact"/>
              <w:ind w:firstLine="420" w:firstLineChars="200"/>
              <w:rPr>
                <w:rFonts w:ascii="宋体" w:hAnsi="宋体"/>
                <w:szCs w:val="21"/>
                <w:highlight w:val="none"/>
              </w:rPr>
            </w:pPr>
            <w:r>
              <w:rPr>
                <w:rFonts w:ascii="宋体" w:hAnsi="宋体"/>
                <w:szCs w:val="21"/>
                <w:highlight w:val="none"/>
              </w:rPr>
              <w:t>评标委员会可以要求投标人提交第二章“投标人须知”第3.5.1项至第3.5.5项规定的有关证明和证件的原件，以便核验。评标委员会依据本章第2.1.1</w:t>
            </w:r>
            <w:r>
              <w:rPr>
                <w:rFonts w:hint="eastAsia" w:ascii="宋体" w:hAnsi="宋体"/>
                <w:szCs w:val="21"/>
                <w:highlight w:val="none"/>
              </w:rPr>
              <w:t>项</w:t>
            </w:r>
            <w:r>
              <w:rPr>
                <w:rFonts w:ascii="宋体" w:hAnsi="宋体"/>
                <w:szCs w:val="21"/>
                <w:highlight w:val="none"/>
              </w:rPr>
              <w:t>规定的标准对投标文件</w:t>
            </w:r>
            <w:r>
              <w:rPr>
                <w:rFonts w:hint="eastAsia" w:ascii="宋体" w:hAnsi="宋体"/>
                <w:szCs w:val="21"/>
                <w:highlight w:val="none"/>
              </w:rPr>
              <w:t>第一信封（商务及技术文件）</w:t>
            </w:r>
            <w:r>
              <w:rPr>
                <w:rFonts w:ascii="宋体" w:hAnsi="宋体"/>
                <w:szCs w:val="21"/>
                <w:highlight w:val="none"/>
              </w:rPr>
              <w:t>进行评审。有一项不符合评审标准的，</w:t>
            </w:r>
            <w:r>
              <w:rPr>
                <w:rFonts w:hint="eastAsia" w:ascii="宋体" w:hAnsi="宋体"/>
                <w:szCs w:val="21"/>
                <w:highlight w:val="none"/>
              </w:rPr>
              <w:t>由评标委员会否决其投标</w:t>
            </w:r>
            <w:r>
              <w:rPr>
                <w:rFonts w:ascii="宋体" w:hAnsi="宋体"/>
                <w:szCs w:val="21"/>
                <w:highlight w:val="none"/>
              </w:rPr>
              <w:t>。</w:t>
            </w:r>
          </w:p>
          <w:p>
            <w:pPr>
              <w:spacing w:line="420" w:lineRule="exact"/>
              <w:ind w:firstLine="420" w:firstLineChars="200"/>
              <w:rPr>
                <w:rFonts w:ascii="宋体" w:hAnsi="宋体"/>
                <w:szCs w:val="21"/>
                <w:highlight w:val="none"/>
              </w:rPr>
            </w:pPr>
            <w:r>
              <w:rPr>
                <w:rFonts w:hint="eastAsia" w:ascii="宋体" w:hAnsi="宋体"/>
                <w:szCs w:val="21"/>
                <w:highlight w:val="none"/>
              </w:rPr>
              <w:t>被否决投标的</w:t>
            </w:r>
            <w:r>
              <w:rPr>
                <w:rFonts w:ascii="宋体" w:hAnsi="宋体"/>
                <w:szCs w:val="21"/>
                <w:highlight w:val="none"/>
              </w:rPr>
              <w:t>投标文件</w:t>
            </w:r>
            <w:r>
              <w:rPr>
                <w:rFonts w:hint="eastAsia" w:ascii="宋体" w:hAnsi="宋体"/>
                <w:szCs w:val="21"/>
                <w:highlight w:val="none"/>
              </w:rPr>
              <w:t>第一信封（商务及技术文件）不进入下一步的第一信封（商务及技术文件）详细</w:t>
            </w:r>
            <w:r>
              <w:rPr>
                <w:rFonts w:ascii="宋体" w:hAnsi="宋体"/>
                <w:szCs w:val="21"/>
                <w:highlight w:val="none"/>
              </w:rPr>
              <w:t>评审</w:t>
            </w:r>
            <w:r>
              <w:rPr>
                <w:rFonts w:hint="eastAsia" w:ascii="宋体" w:hAnsi="宋体"/>
                <w:szCs w:val="21"/>
                <w:highlight w:val="none"/>
              </w:rPr>
              <w:t>。</w:t>
            </w:r>
          </w:p>
          <w:p>
            <w:pPr>
              <w:spacing w:line="420" w:lineRule="exact"/>
              <w:ind w:firstLine="420" w:firstLineChars="200"/>
              <w:rPr>
                <w:rFonts w:ascii="宋体" w:hAnsi="宋体"/>
                <w:szCs w:val="21"/>
                <w:highlight w:val="none"/>
              </w:rPr>
            </w:pPr>
            <w:r>
              <w:rPr>
                <w:rFonts w:ascii="宋体" w:hAnsi="宋体"/>
                <w:szCs w:val="21"/>
                <w:highlight w:val="none"/>
              </w:rPr>
              <w:t>评标委员会</w:t>
            </w:r>
            <w:r>
              <w:rPr>
                <w:rFonts w:hint="eastAsia" w:ascii="宋体" w:hAnsi="宋体"/>
                <w:szCs w:val="21"/>
                <w:highlight w:val="none"/>
              </w:rPr>
              <w:t>根据第一信封（商务及技术文件）初步</w:t>
            </w:r>
            <w:r>
              <w:rPr>
                <w:rFonts w:ascii="宋体" w:hAnsi="宋体"/>
                <w:szCs w:val="21"/>
                <w:highlight w:val="none"/>
              </w:rPr>
              <w:t>评审</w:t>
            </w:r>
            <w:r>
              <w:rPr>
                <w:rFonts w:hint="eastAsia" w:ascii="宋体" w:hAnsi="宋体"/>
                <w:szCs w:val="21"/>
                <w:highlight w:val="none"/>
              </w:rPr>
              <w:t>结果确定通过和不通过第一信封（商务及技术文件）初步</w:t>
            </w:r>
            <w:r>
              <w:rPr>
                <w:rFonts w:ascii="宋体" w:hAnsi="宋体"/>
                <w:szCs w:val="21"/>
                <w:highlight w:val="none"/>
              </w:rPr>
              <w:t>评审</w:t>
            </w:r>
            <w:r>
              <w:rPr>
                <w:rFonts w:hint="eastAsia" w:ascii="宋体" w:hAnsi="宋体"/>
                <w:szCs w:val="21"/>
                <w:highlight w:val="none"/>
              </w:rPr>
              <w:t>的</w:t>
            </w:r>
            <w:r>
              <w:rPr>
                <w:rFonts w:ascii="宋体" w:hAnsi="宋体"/>
                <w:szCs w:val="21"/>
                <w:highlight w:val="none"/>
              </w:rPr>
              <w:t>投标</w:t>
            </w:r>
            <w:r>
              <w:rPr>
                <w:rFonts w:hint="eastAsia" w:ascii="宋体" w:hAnsi="宋体"/>
                <w:szCs w:val="21"/>
                <w:highlight w:val="none"/>
              </w:rPr>
              <w:t>人名单。</w:t>
            </w:r>
          </w:p>
          <w:p>
            <w:pPr>
              <w:spacing w:line="420" w:lineRule="exact"/>
              <w:ind w:firstLine="420" w:firstLineChars="200"/>
              <w:rPr>
                <w:rFonts w:ascii="宋体" w:hAnsi="宋体"/>
                <w:szCs w:val="21"/>
                <w:highlight w:val="none"/>
              </w:rPr>
            </w:pPr>
            <w:r>
              <w:rPr>
                <w:rFonts w:ascii="宋体" w:hAnsi="宋体"/>
                <w:szCs w:val="21"/>
                <w:highlight w:val="none"/>
              </w:rPr>
              <w:t>投标人有以下情形之一的，</w:t>
            </w:r>
            <w:r>
              <w:rPr>
                <w:rFonts w:hint="eastAsia" w:ascii="宋体" w:hAnsi="宋体"/>
                <w:szCs w:val="21"/>
                <w:highlight w:val="none"/>
              </w:rPr>
              <w:t>由评标委员会否决其投标</w:t>
            </w:r>
            <w:r>
              <w:rPr>
                <w:rFonts w:ascii="宋体" w:hAnsi="宋体"/>
                <w:szCs w:val="21"/>
                <w:highlight w:val="none"/>
              </w:rPr>
              <w:t>：</w:t>
            </w:r>
          </w:p>
          <w:p>
            <w:pPr>
              <w:spacing w:line="420" w:lineRule="exact"/>
              <w:ind w:firstLine="420" w:firstLineChars="200"/>
              <w:rPr>
                <w:rFonts w:ascii="宋体" w:hAnsi="宋体"/>
                <w:szCs w:val="21"/>
                <w:highlight w:val="none"/>
              </w:rPr>
            </w:pPr>
            <w:r>
              <w:rPr>
                <w:rFonts w:ascii="宋体" w:hAnsi="宋体"/>
                <w:szCs w:val="21"/>
                <w:highlight w:val="none"/>
              </w:rPr>
              <w:t>（1）第二章“投标人须知”第 1.4.3 项规定的任何一种情形的；</w:t>
            </w:r>
          </w:p>
          <w:p>
            <w:pPr>
              <w:spacing w:line="420" w:lineRule="exact"/>
              <w:ind w:firstLine="420" w:firstLineChars="200"/>
              <w:rPr>
                <w:rFonts w:ascii="宋体" w:hAnsi="宋体"/>
                <w:szCs w:val="21"/>
                <w:highlight w:val="none"/>
              </w:rPr>
            </w:pPr>
            <w:r>
              <w:rPr>
                <w:rFonts w:ascii="宋体" w:hAnsi="宋体"/>
                <w:szCs w:val="21"/>
                <w:highlight w:val="none"/>
              </w:rPr>
              <w:t>（2）串通投标或弄虚作假或有其他违法行为的；</w:t>
            </w:r>
          </w:p>
          <w:p>
            <w:pPr>
              <w:spacing w:line="420" w:lineRule="exact"/>
              <w:ind w:firstLine="420" w:firstLineChars="200"/>
              <w:rPr>
                <w:rFonts w:ascii="宋体" w:hAnsi="宋体"/>
                <w:szCs w:val="21"/>
                <w:highlight w:val="none"/>
              </w:rPr>
            </w:pPr>
            <w:r>
              <w:rPr>
                <w:rFonts w:ascii="宋体" w:hAnsi="宋体"/>
                <w:szCs w:val="21"/>
                <w:highlight w:val="none"/>
              </w:rPr>
              <w:t>（3）不按评标委员会要求澄清、说明或补正的。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9" w:type="dxa"/>
            <w:noWrap w:val="0"/>
            <w:vAlign w:val="center"/>
          </w:tcPr>
          <w:p>
            <w:pPr>
              <w:spacing w:line="420" w:lineRule="atLeast"/>
              <w:jc w:val="center"/>
              <w:rPr>
                <w:rFonts w:ascii="宋体" w:hAnsi="宋体"/>
                <w:szCs w:val="21"/>
                <w:highlight w:val="none"/>
              </w:rPr>
            </w:pPr>
            <w:r>
              <w:rPr>
                <w:rFonts w:ascii="宋体" w:hAnsi="宋体"/>
                <w:szCs w:val="21"/>
                <w:highlight w:val="none"/>
              </w:rPr>
              <w:t>3.2</w:t>
            </w:r>
          </w:p>
        </w:tc>
        <w:tc>
          <w:tcPr>
            <w:tcW w:w="907" w:type="dxa"/>
            <w:noWrap w:val="0"/>
            <w:vAlign w:val="center"/>
          </w:tcPr>
          <w:p>
            <w:pPr>
              <w:spacing w:line="320" w:lineRule="exact"/>
              <w:jc w:val="center"/>
              <w:rPr>
                <w:rFonts w:ascii="宋体" w:hAnsi="宋体"/>
                <w:szCs w:val="21"/>
                <w:highlight w:val="none"/>
              </w:rPr>
            </w:pPr>
            <w:r>
              <w:rPr>
                <w:rFonts w:hint="eastAsia" w:ascii="宋体" w:hAnsi="宋体"/>
                <w:szCs w:val="21"/>
                <w:highlight w:val="none"/>
              </w:rPr>
              <w:t>第一信</w:t>
            </w:r>
          </w:p>
          <w:p>
            <w:pPr>
              <w:spacing w:line="320" w:lineRule="exact"/>
              <w:jc w:val="center"/>
              <w:rPr>
                <w:rFonts w:ascii="宋体" w:hAnsi="宋体"/>
                <w:szCs w:val="21"/>
                <w:highlight w:val="none"/>
              </w:rPr>
            </w:pPr>
            <w:r>
              <w:rPr>
                <w:rFonts w:hint="eastAsia" w:ascii="宋体" w:hAnsi="宋体"/>
                <w:szCs w:val="21"/>
                <w:highlight w:val="none"/>
              </w:rPr>
              <w:t>封</w:t>
            </w:r>
            <w:r>
              <w:rPr>
                <w:rFonts w:hint="eastAsia" w:ascii="宋体" w:hAnsi="宋体"/>
                <w:szCs w:val="21"/>
                <w:highlight w:val="none"/>
                <w:lang w:eastAsia="zh-CN"/>
              </w:rPr>
              <w:t>（</w:t>
            </w:r>
            <w:r>
              <w:rPr>
                <w:rFonts w:hint="eastAsia" w:ascii="宋体" w:hAnsi="宋体"/>
                <w:szCs w:val="21"/>
                <w:highlight w:val="none"/>
              </w:rPr>
              <w:t>商</w:t>
            </w:r>
          </w:p>
          <w:p>
            <w:pPr>
              <w:spacing w:line="320" w:lineRule="exact"/>
              <w:jc w:val="center"/>
              <w:rPr>
                <w:rFonts w:ascii="宋体" w:hAnsi="宋体"/>
                <w:szCs w:val="21"/>
                <w:highlight w:val="none"/>
              </w:rPr>
            </w:pPr>
            <w:r>
              <w:rPr>
                <w:rFonts w:hint="eastAsia" w:ascii="宋体" w:hAnsi="宋体"/>
                <w:szCs w:val="21"/>
                <w:highlight w:val="none"/>
              </w:rPr>
              <w:t>务及技</w:t>
            </w:r>
          </w:p>
          <w:p>
            <w:pPr>
              <w:spacing w:line="320" w:lineRule="exact"/>
              <w:jc w:val="center"/>
              <w:rPr>
                <w:rFonts w:ascii="宋体" w:hAnsi="宋体"/>
                <w:szCs w:val="21"/>
                <w:highlight w:val="none"/>
              </w:rPr>
            </w:pPr>
            <w:r>
              <w:rPr>
                <w:rFonts w:hint="eastAsia" w:ascii="宋体" w:hAnsi="宋体"/>
                <w:szCs w:val="21"/>
                <w:highlight w:val="none"/>
              </w:rPr>
              <w:t>术文件</w:t>
            </w:r>
            <w:r>
              <w:rPr>
                <w:rFonts w:hint="eastAsia" w:ascii="宋体" w:hAnsi="宋体"/>
                <w:szCs w:val="21"/>
                <w:highlight w:val="none"/>
                <w:lang w:eastAsia="zh-CN"/>
              </w:rPr>
              <w:t>）</w:t>
            </w:r>
            <w:r>
              <w:rPr>
                <w:rFonts w:ascii="宋体" w:hAnsi="宋体"/>
                <w:szCs w:val="21"/>
                <w:highlight w:val="none"/>
              </w:rPr>
              <w:t>详</w:t>
            </w:r>
          </w:p>
          <w:p>
            <w:pPr>
              <w:spacing w:line="320" w:lineRule="exact"/>
              <w:jc w:val="center"/>
              <w:rPr>
                <w:rFonts w:ascii="宋体" w:hAnsi="宋体"/>
                <w:szCs w:val="21"/>
                <w:highlight w:val="none"/>
              </w:rPr>
            </w:pPr>
            <w:r>
              <w:rPr>
                <w:rFonts w:ascii="宋体" w:hAnsi="宋体"/>
                <w:szCs w:val="21"/>
                <w:highlight w:val="none"/>
              </w:rPr>
              <w:t>细评审</w:t>
            </w:r>
          </w:p>
        </w:tc>
        <w:tc>
          <w:tcPr>
            <w:tcW w:w="7914" w:type="dxa"/>
            <w:noWrap w:val="0"/>
            <w:vAlign w:val="top"/>
          </w:tcPr>
          <w:p>
            <w:pPr>
              <w:spacing w:line="340" w:lineRule="exact"/>
              <w:rPr>
                <w:rFonts w:ascii="黑体" w:hAnsi="黑体" w:eastAsia="黑体"/>
                <w:sz w:val="24"/>
                <w:highlight w:val="none"/>
              </w:rPr>
            </w:pPr>
            <w:r>
              <w:rPr>
                <w:rFonts w:ascii="黑体" w:hAnsi="黑体" w:eastAsia="黑体"/>
                <w:sz w:val="24"/>
                <w:highlight w:val="none"/>
              </w:rPr>
              <w:t>3.</w:t>
            </w:r>
            <w:r>
              <w:rPr>
                <w:rFonts w:hint="eastAsia" w:ascii="黑体" w:hAnsi="黑体" w:eastAsia="黑体"/>
                <w:sz w:val="24"/>
                <w:highlight w:val="none"/>
              </w:rPr>
              <w:t>2第一信封（</w:t>
            </w:r>
            <w:r>
              <w:rPr>
                <w:rFonts w:ascii="黑体" w:hAnsi="黑体" w:eastAsia="黑体"/>
                <w:sz w:val="24"/>
                <w:highlight w:val="none"/>
              </w:rPr>
              <w:t xml:space="preserve"> </w:t>
            </w:r>
            <w:r>
              <w:rPr>
                <w:rFonts w:hint="eastAsia" w:ascii="黑体" w:hAnsi="黑体" w:eastAsia="黑体"/>
                <w:sz w:val="24"/>
                <w:highlight w:val="none"/>
              </w:rPr>
              <w:t>商务及技术文件）</w:t>
            </w:r>
            <w:r>
              <w:rPr>
                <w:rFonts w:ascii="黑体" w:hAnsi="黑体" w:eastAsia="黑体"/>
                <w:sz w:val="24"/>
                <w:highlight w:val="none"/>
              </w:rPr>
              <w:t>详细评审</w:t>
            </w:r>
          </w:p>
          <w:p>
            <w:pPr>
              <w:spacing w:line="340" w:lineRule="exact"/>
              <w:ind w:firstLine="420" w:firstLineChars="200"/>
              <w:rPr>
                <w:rFonts w:ascii="宋体" w:hAnsi="宋体"/>
                <w:szCs w:val="21"/>
                <w:highlight w:val="none"/>
              </w:rPr>
            </w:pPr>
            <w:r>
              <w:rPr>
                <w:rFonts w:hint="eastAsia" w:ascii="宋体" w:hAnsi="宋体"/>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6" w:hRule="atLeast"/>
          <w:jc w:val="center"/>
        </w:trPr>
        <w:tc>
          <w:tcPr>
            <w:tcW w:w="689" w:type="dxa"/>
            <w:noWrap w:val="0"/>
            <w:vAlign w:val="center"/>
          </w:tcPr>
          <w:p>
            <w:pPr>
              <w:spacing w:line="400" w:lineRule="atLeast"/>
              <w:jc w:val="center"/>
              <w:rPr>
                <w:szCs w:val="21"/>
                <w:highlight w:val="none"/>
              </w:rPr>
            </w:pPr>
            <w:r>
              <w:rPr>
                <w:rFonts w:ascii="宋体" w:hAnsi="宋体"/>
                <w:szCs w:val="21"/>
                <w:highlight w:val="none"/>
              </w:rPr>
              <w:t>3.</w:t>
            </w:r>
            <w:r>
              <w:rPr>
                <w:rFonts w:hint="eastAsia" w:ascii="宋体" w:hAnsi="宋体"/>
                <w:szCs w:val="21"/>
                <w:highlight w:val="none"/>
              </w:rPr>
              <w:t>3</w:t>
            </w:r>
          </w:p>
        </w:tc>
        <w:tc>
          <w:tcPr>
            <w:tcW w:w="907" w:type="dxa"/>
            <w:noWrap w:val="0"/>
            <w:vAlign w:val="center"/>
          </w:tcPr>
          <w:p>
            <w:pPr>
              <w:spacing w:line="320" w:lineRule="atLeast"/>
              <w:jc w:val="center"/>
              <w:rPr>
                <w:szCs w:val="21"/>
                <w:highlight w:val="none"/>
              </w:rPr>
            </w:pPr>
            <w:r>
              <w:rPr>
                <w:rFonts w:hint="eastAsia"/>
                <w:szCs w:val="21"/>
                <w:highlight w:val="none"/>
              </w:rPr>
              <w:t>第二信</w:t>
            </w:r>
          </w:p>
          <w:p>
            <w:pPr>
              <w:spacing w:line="320" w:lineRule="atLeast"/>
              <w:jc w:val="center"/>
              <w:rPr>
                <w:szCs w:val="21"/>
                <w:highlight w:val="none"/>
              </w:rPr>
            </w:pPr>
            <w:r>
              <w:rPr>
                <w:rFonts w:hint="eastAsia"/>
                <w:szCs w:val="21"/>
                <w:highlight w:val="none"/>
              </w:rPr>
              <w:t>封</w:t>
            </w:r>
            <w:r>
              <w:rPr>
                <w:rFonts w:hint="eastAsia"/>
                <w:szCs w:val="21"/>
                <w:highlight w:val="none"/>
                <w:lang w:eastAsia="zh-CN"/>
              </w:rPr>
              <w:t>（</w:t>
            </w:r>
            <w:r>
              <w:rPr>
                <w:rFonts w:hint="eastAsia"/>
                <w:szCs w:val="21"/>
                <w:highlight w:val="none"/>
              </w:rPr>
              <w:t>报</w:t>
            </w:r>
          </w:p>
          <w:p>
            <w:pPr>
              <w:spacing w:line="320" w:lineRule="atLeast"/>
              <w:jc w:val="center"/>
              <w:rPr>
                <w:szCs w:val="21"/>
                <w:highlight w:val="none"/>
              </w:rPr>
            </w:pPr>
            <w:r>
              <w:rPr>
                <w:rFonts w:hint="eastAsia"/>
                <w:szCs w:val="21"/>
                <w:highlight w:val="none"/>
              </w:rPr>
              <w:t>价文</w:t>
            </w:r>
            <w:r>
              <w:rPr>
                <w:rFonts w:hint="eastAsia"/>
                <w:szCs w:val="21"/>
                <w:highlight w:val="none"/>
                <w:lang w:eastAsia="zh-CN"/>
              </w:rPr>
              <w:t>件）</w:t>
            </w:r>
            <w:r>
              <w:rPr>
                <w:rFonts w:hint="eastAsia"/>
                <w:szCs w:val="21"/>
                <w:highlight w:val="none"/>
              </w:rPr>
              <w:t>初</w:t>
            </w:r>
          </w:p>
          <w:p>
            <w:pPr>
              <w:spacing w:line="320" w:lineRule="atLeast"/>
              <w:jc w:val="center"/>
              <w:rPr>
                <w:szCs w:val="21"/>
                <w:highlight w:val="none"/>
              </w:rPr>
            </w:pPr>
            <w:r>
              <w:rPr>
                <w:rFonts w:hint="eastAsia"/>
                <w:szCs w:val="21"/>
                <w:highlight w:val="none"/>
              </w:rPr>
              <w:t>步评审</w:t>
            </w:r>
          </w:p>
        </w:tc>
        <w:tc>
          <w:tcPr>
            <w:tcW w:w="7914" w:type="dxa"/>
            <w:noWrap w:val="0"/>
            <w:vAlign w:val="top"/>
          </w:tcPr>
          <w:p>
            <w:pPr>
              <w:rPr>
                <w:rFonts w:ascii="黑体" w:hAnsi="黑体" w:eastAsia="黑体"/>
                <w:sz w:val="24"/>
                <w:highlight w:val="none"/>
              </w:rPr>
            </w:pPr>
            <w:r>
              <w:rPr>
                <w:rFonts w:ascii="黑体" w:hAnsi="黑体" w:eastAsia="黑体"/>
                <w:sz w:val="24"/>
                <w:highlight w:val="none"/>
              </w:rPr>
              <w:t>3.</w:t>
            </w:r>
            <w:r>
              <w:rPr>
                <w:rFonts w:hint="eastAsia" w:ascii="黑体" w:hAnsi="黑体" w:eastAsia="黑体"/>
                <w:sz w:val="24"/>
                <w:highlight w:val="none"/>
              </w:rPr>
              <w:t>3第二信封（报价文件）初步</w:t>
            </w:r>
            <w:r>
              <w:rPr>
                <w:rFonts w:ascii="黑体" w:hAnsi="黑体" w:eastAsia="黑体"/>
                <w:sz w:val="24"/>
                <w:highlight w:val="none"/>
              </w:rPr>
              <w:t>评审</w:t>
            </w:r>
          </w:p>
          <w:p>
            <w:pPr>
              <w:spacing w:line="420" w:lineRule="exact"/>
              <w:ind w:firstLine="420" w:firstLineChars="200"/>
              <w:rPr>
                <w:rFonts w:ascii="宋体" w:hAnsi="宋体"/>
                <w:szCs w:val="21"/>
                <w:highlight w:val="none"/>
              </w:rPr>
            </w:pPr>
            <w:r>
              <w:rPr>
                <w:rFonts w:ascii="宋体" w:hAnsi="宋体"/>
                <w:szCs w:val="21"/>
                <w:highlight w:val="none"/>
              </w:rPr>
              <w:t>评标委员会依据本章第2.1.</w:t>
            </w:r>
            <w:r>
              <w:rPr>
                <w:rFonts w:hint="eastAsia" w:ascii="宋体" w:hAnsi="宋体"/>
                <w:szCs w:val="21"/>
                <w:highlight w:val="none"/>
              </w:rPr>
              <w:t>2项</w:t>
            </w:r>
            <w:r>
              <w:rPr>
                <w:rFonts w:ascii="宋体" w:hAnsi="宋体"/>
                <w:szCs w:val="21"/>
                <w:highlight w:val="none"/>
              </w:rPr>
              <w:t>规定的标准对</w:t>
            </w:r>
            <w:r>
              <w:rPr>
                <w:rFonts w:hint="eastAsia" w:ascii="宋体" w:hAnsi="宋体"/>
                <w:szCs w:val="21"/>
                <w:highlight w:val="none"/>
              </w:rPr>
              <w:t>通过第一信封（商务及技术文件）评审、经第二信封（报价文件）开标现场确认有效的投标文件第二信封（报价文件）</w:t>
            </w:r>
            <w:r>
              <w:rPr>
                <w:rFonts w:ascii="宋体" w:hAnsi="宋体"/>
                <w:szCs w:val="21"/>
                <w:highlight w:val="none"/>
              </w:rPr>
              <w:t>进行评审。有一项不符合评审标准的，</w:t>
            </w:r>
            <w:r>
              <w:rPr>
                <w:rFonts w:hint="eastAsia" w:ascii="宋体" w:hAnsi="宋体"/>
                <w:szCs w:val="21"/>
                <w:highlight w:val="none"/>
              </w:rPr>
              <w:t>由评标委员会否决其投标</w:t>
            </w:r>
            <w:r>
              <w:rPr>
                <w:rFonts w:ascii="宋体" w:hAnsi="宋体"/>
                <w:szCs w:val="21"/>
                <w:highlight w:val="none"/>
              </w:rPr>
              <w:t>。</w:t>
            </w:r>
          </w:p>
          <w:p>
            <w:pPr>
              <w:spacing w:line="420" w:lineRule="exact"/>
              <w:ind w:firstLine="420" w:firstLineChars="200"/>
              <w:rPr>
                <w:rFonts w:ascii="宋体" w:hAnsi="宋体"/>
                <w:szCs w:val="21"/>
                <w:highlight w:val="none"/>
              </w:rPr>
            </w:pPr>
            <w:r>
              <w:rPr>
                <w:rFonts w:hint="eastAsia" w:ascii="宋体" w:hAnsi="宋体"/>
                <w:szCs w:val="21"/>
                <w:highlight w:val="none"/>
              </w:rPr>
              <w:t>被否决投标的</w:t>
            </w:r>
            <w:r>
              <w:rPr>
                <w:rFonts w:ascii="宋体" w:hAnsi="宋体"/>
                <w:szCs w:val="21"/>
                <w:highlight w:val="none"/>
              </w:rPr>
              <w:t>投标文件</w:t>
            </w:r>
            <w:r>
              <w:rPr>
                <w:rFonts w:hint="eastAsia" w:ascii="宋体" w:hAnsi="宋体"/>
                <w:szCs w:val="21"/>
                <w:highlight w:val="none"/>
              </w:rPr>
              <w:t>第二信封（报价文件）不进入下一步的第二信封（报价文件）详细</w:t>
            </w:r>
            <w:r>
              <w:rPr>
                <w:rFonts w:ascii="宋体" w:hAnsi="宋体"/>
                <w:szCs w:val="21"/>
                <w:highlight w:val="none"/>
              </w:rPr>
              <w:t>评审</w:t>
            </w:r>
            <w:r>
              <w:rPr>
                <w:rFonts w:hint="eastAsia" w:ascii="宋体" w:hAnsi="宋体"/>
                <w:szCs w:val="21"/>
                <w:highlight w:val="none"/>
              </w:rPr>
              <w:t>。</w:t>
            </w:r>
          </w:p>
          <w:p>
            <w:pPr>
              <w:spacing w:line="420" w:lineRule="exact"/>
              <w:ind w:firstLine="420" w:firstLineChars="200"/>
              <w:rPr>
                <w:szCs w:val="21"/>
                <w:highlight w:val="none"/>
              </w:rPr>
            </w:pPr>
            <w:r>
              <w:rPr>
                <w:rFonts w:ascii="宋体" w:hAnsi="宋体"/>
                <w:szCs w:val="21"/>
                <w:highlight w:val="none"/>
              </w:rPr>
              <w:t>评标委员会</w:t>
            </w:r>
            <w:r>
              <w:rPr>
                <w:rFonts w:hint="eastAsia" w:ascii="宋体" w:hAnsi="宋体"/>
                <w:szCs w:val="21"/>
                <w:highlight w:val="none"/>
              </w:rPr>
              <w:t>根据第二信封（报价文件）初步</w:t>
            </w:r>
            <w:r>
              <w:rPr>
                <w:rFonts w:ascii="宋体" w:hAnsi="宋体"/>
                <w:szCs w:val="21"/>
                <w:highlight w:val="none"/>
              </w:rPr>
              <w:t>评审</w:t>
            </w:r>
            <w:r>
              <w:rPr>
                <w:rFonts w:hint="eastAsia" w:ascii="宋体" w:hAnsi="宋体"/>
                <w:szCs w:val="21"/>
                <w:highlight w:val="none"/>
              </w:rPr>
              <w:t>结果确定通过和不通过第二信封（报价文件）初步</w:t>
            </w:r>
            <w:r>
              <w:rPr>
                <w:rFonts w:ascii="宋体" w:hAnsi="宋体"/>
                <w:szCs w:val="21"/>
                <w:highlight w:val="none"/>
              </w:rPr>
              <w:t>评审</w:t>
            </w:r>
            <w:r>
              <w:rPr>
                <w:rFonts w:hint="eastAsia" w:ascii="宋体" w:hAnsi="宋体"/>
                <w:szCs w:val="21"/>
                <w:highlight w:val="none"/>
              </w:rPr>
              <w:t>的</w:t>
            </w:r>
            <w:r>
              <w:rPr>
                <w:rFonts w:ascii="宋体" w:hAnsi="宋体"/>
                <w:szCs w:val="21"/>
                <w:highlight w:val="none"/>
              </w:rPr>
              <w:t>投标</w:t>
            </w:r>
            <w:r>
              <w:rPr>
                <w:rFonts w:hint="eastAsia" w:ascii="宋体" w:hAnsi="宋体"/>
                <w:szCs w:val="21"/>
                <w:highlight w:val="none"/>
              </w:rPr>
              <w:t>人名单。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68" w:hRule="atLeast"/>
          <w:jc w:val="center"/>
        </w:trPr>
        <w:tc>
          <w:tcPr>
            <w:tcW w:w="689" w:type="dxa"/>
            <w:noWrap w:val="0"/>
            <w:vAlign w:val="center"/>
          </w:tcPr>
          <w:p>
            <w:pPr>
              <w:spacing w:line="400" w:lineRule="atLeast"/>
              <w:jc w:val="center"/>
              <w:rPr>
                <w:szCs w:val="21"/>
                <w:highlight w:val="none"/>
              </w:rPr>
            </w:pPr>
            <w:r>
              <w:rPr>
                <w:rFonts w:ascii="宋体" w:hAnsi="宋体"/>
                <w:szCs w:val="21"/>
                <w:highlight w:val="none"/>
              </w:rPr>
              <w:t>3.</w:t>
            </w:r>
            <w:r>
              <w:rPr>
                <w:rFonts w:hint="eastAsia" w:ascii="宋体" w:hAnsi="宋体"/>
                <w:szCs w:val="21"/>
                <w:highlight w:val="none"/>
              </w:rPr>
              <w:t>4</w:t>
            </w:r>
          </w:p>
        </w:tc>
        <w:tc>
          <w:tcPr>
            <w:tcW w:w="907" w:type="dxa"/>
            <w:noWrap w:val="0"/>
            <w:vAlign w:val="center"/>
          </w:tcPr>
          <w:p>
            <w:pPr>
              <w:spacing w:line="320" w:lineRule="atLeast"/>
              <w:jc w:val="center"/>
              <w:rPr>
                <w:szCs w:val="21"/>
                <w:highlight w:val="none"/>
              </w:rPr>
            </w:pPr>
            <w:r>
              <w:rPr>
                <w:rFonts w:hint="eastAsia"/>
                <w:szCs w:val="21"/>
                <w:highlight w:val="none"/>
              </w:rPr>
              <w:t>第</w:t>
            </w:r>
          </w:p>
          <w:p>
            <w:pPr>
              <w:spacing w:line="320" w:lineRule="atLeast"/>
              <w:jc w:val="center"/>
              <w:rPr>
                <w:szCs w:val="21"/>
                <w:highlight w:val="none"/>
              </w:rPr>
            </w:pPr>
            <w:r>
              <w:rPr>
                <w:rFonts w:hint="eastAsia"/>
                <w:szCs w:val="21"/>
                <w:highlight w:val="none"/>
              </w:rPr>
              <w:t>二</w:t>
            </w:r>
          </w:p>
          <w:p>
            <w:pPr>
              <w:spacing w:line="320" w:lineRule="atLeast"/>
              <w:jc w:val="center"/>
              <w:rPr>
                <w:szCs w:val="21"/>
                <w:highlight w:val="none"/>
              </w:rPr>
            </w:pPr>
            <w:r>
              <w:rPr>
                <w:rFonts w:hint="eastAsia"/>
                <w:szCs w:val="21"/>
                <w:highlight w:val="none"/>
              </w:rPr>
              <w:t>信</w:t>
            </w:r>
          </w:p>
          <w:p>
            <w:pPr>
              <w:spacing w:line="320" w:lineRule="atLeast"/>
              <w:jc w:val="center"/>
              <w:rPr>
                <w:szCs w:val="21"/>
                <w:highlight w:val="none"/>
              </w:rPr>
            </w:pPr>
            <w:r>
              <w:rPr>
                <w:rFonts w:hint="eastAsia"/>
                <w:szCs w:val="21"/>
                <w:highlight w:val="none"/>
              </w:rPr>
              <w:t>封</w:t>
            </w:r>
          </w:p>
          <w:p>
            <w:pPr>
              <w:spacing w:line="320" w:lineRule="atLeast"/>
              <w:jc w:val="center"/>
              <w:rPr>
                <w:szCs w:val="21"/>
                <w:highlight w:val="none"/>
              </w:rPr>
            </w:pPr>
            <w:r>
              <w:rPr>
                <w:rFonts w:hint="eastAsia"/>
                <w:szCs w:val="21"/>
                <w:highlight w:val="none"/>
              </w:rPr>
              <w:t>︵</w:t>
            </w:r>
          </w:p>
          <w:p>
            <w:pPr>
              <w:spacing w:line="320" w:lineRule="atLeast"/>
              <w:jc w:val="center"/>
              <w:rPr>
                <w:szCs w:val="21"/>
                <w:highlight w:val="none"/>
              </w:rPr>
            </w:pPr>
            <w:r>
              <w:rPr>
                <w:rFonts w:hint="eastAsia"/>
                <w:szCs w:val="21"/>
                <w:highlight w:val="none"/>
              </w:rPr>
              <w:t>报</w:t>
            </w:r>
          </w:p>
          <w:p>
            <w:pPr>
              <w:spacing w:line="320" w:lineRule="atLeast"/>
              <w:jc w:val="center"/>
              <w:rPr>
                <w:szCs w:val="21"/>
                <w:highlight w:val="none"/>
              </w:rPr>
            </w:pPr>
            <w:r>
              <w:rPr>
                <w:rFonts w:hint="eastAsia"/>
                <w:szCs w:val="21"/>
                <w:highlight w:val="none"/>
              </w:rPr>
              <w:t>价</w:t>
            </w:r>
          </w:p>
          <w:p>
            <w:pPr>
              <w:spacing w:line="320" w:lineRule="atLeast"/>
              <w:jc w:val="center"/>
              <w:rPr>
                <w:szCs w:val="21"/>
                <w:highlight w:val="none"/>
              </w:rPr>
            </w:pPr>
            <w:r>
              <w:rPr>
                <w:rFonts w:hint="eastAsia"/>
                <w:szCs w:val="21"/>
                <w:highlight w:val="none"/>
              </w:rPr>
              <w:t>文</w:t>
            </w:r>
          </w:p>
          <w:p>
            <w:pPr>
              <w:spacing w:line="320" w:lineRule="atLeast"/>
              <w:jc w:val="center"/>
              <w:rPr>
                <w:szCs w:val="21"/>
                <w:highlight w:val="none"/>
              </w:rPr>
            </w:pPr>
            <w:r>
              <w:rPr>
                <w:rFonts w:hint="eastAsia"/>
                <w:szCs w:val="21"/>
                <w:highlight w:val="none"/>
              </w:rPr>
              <w:t>件</w:t>
            </w:r>
          </w:p>
          <w:p>
            <w:pPr>
              <w:spacing w:line="320" w:lineRule="atLeast"/>
              <w:jc w:val="center"/>
              <w:rPr>
                <w:szCs w:val="21"/>
                <w:highlight w:val="none"/>
              </w:rPr>
            </w:pPr>
            <w:r>
              <w:rPr>
                <w:rFonts w:hint="eastAsia"/>
                <w:szCs w:val="21"/>
                <w:highlight w:val="none"/>
              </w:rPr>
              <w:t>︶</w:t>
            </w:r>
          </w:p>
          <w:p>
            <w:pPr>
              <w:spacing w:line="320" w:lineRule="atLeast"/>
              <w:jc w:val="center"/>
              <w:rPr>
                <w:szCs w:val="21"/>
                <w:highlight w:val="none"/>
              </w:rPr>
            </w:pPr>
            <w:r>
              <w:rPr>
                <w:rFonts w:hint="eastAsia"/>
                <w:szCs w:val="21"/>
                <w:highlight w:val="none"/>
              </w:rPr>
              <w:t>详</w:t>
            </w:r>
          </w:p>
          <w:p>
            <w:pPr>
              <w:spacing w:line="320" w:lineRule="atLeast"/>
              <w:jc w:val="center"/>
              <w:rPr>
                <w:szCs w:val="21"/>
                <w:highlight w:val="none"/>
              </w:rPr>
            </w:pPr>
            <w:r>
              <w:rPr>
                <w:rFonts w:hint="eastAsia"/>
                <w:szCs w:val="21"/>
                <w:highlight w:val="none"/>
              </w:rPr>
              <w:t>细</w:t>
            </w:r>
          </w:p>
          <w:p>
            <w:pPr>
              <w:spacing w:line="320" w:lineRule="atLeast"/>
              <w:jc w:val="center"/>
              <w:rPr>
                <w:szCs w:val="21"/>
                <w:highlight w:val="none"/>
              </w:rPr>
            </w:pPr>
            <w:r>
              <w:rPr>
                <w:rFonts w:hint="eastAsia"/>
                <w:szCs w:val="21"/>
                <w:highlight w:val="none"/>
              </w:rPr>
              <w:t>评</w:t>
            </w:r>
          </w:p>
          <w:p>
            <w:pPr>
              <w:spacing w:line="320" w:lineRule="atLeast"/>
              <w:jc w:val="center"/>
              <w:rPr>
                <w:szCs w:val="21"/>
                <w:highlight w:val="none"/>
              </w:rPr>
            </w:pPr>
            <w:r>
              <w:rPr>
                <w:rFonts w:hint="eastAsia"/>
                <w:szCs w:val="21"/>
                <w:highlight w:val="none"/>
              </w:rPr>
              <w:t>审</w:t>
            </w:r>
          </w:p>
        </w:tc>
        <w:tc>
          <w:tcPr>
            <w:tcW w:w="7914" w:type="dxa"/>
            <w:noWrap w:val="0"/>
            <w:vAlign w:val="top"/>
          </w:tcPr>
          <w:p>
            <w:pPr>
              <w:rPr>
                <w:rFonts w:ascii="黑体" w:hAnsi="黑体" w:eastAsia="黑体"/>
                <w:sz w:val="24"/>
                <w:highlight w:val="none"/>
              </w:rPr>
            </w:pPr>
            <w:r>
              <w:rPr>
                <w:rFonts w:ascii="黑体" w:hAnsi="黑体" w:eastAsia="黑体"/>
                <w:sz w:val="24"/>
                <w:highlight w:val="none"/>
              </w:rPr>
              <w:t>3.</w:t>
            </w:r>
            <w:r>
              <w:rPr>
                <w:rFonts w:hint="eastAsia" w:ascii="黑体" w:hAnsi="黑体" w:eastAsia="黑体"/>
                <w:sz w:val="24"/>
                <w:highlight w:val="none"/>
              </w:rPr>
              <w:t>4详细</w:t>
            </w:r>
            <w:r>
              <w:rPr>
                <w:rFonts w:ascii="黑体" w:hAnsi="黑体" w:eastAsia="黑体"/>
                <w:sz w:val="24"/>
                <w:highlight w:val="none"/>
              </w:rPr>
              <w:t>评审</w:t>
            </w:r>
          </w:p>
          <w:p>
            <w:pPr>
              <w:spacing w:line="400" w:lineRule="atLeast"/>
              <w:ind w:firstLine="420" w:firstLineChars="200"/>
              <w:rPr>
                <w:rFonts w:ascii="宋体" w:hAnsi="宋体"/>
                <w:szCs w:val="21"/>
                <w:highlight w:val="none"/>
              </w:rPr>
            </w:pPr>
            <w:r>
              <w:rPr>
                <w:rFonts w:hint="eastAsia" w:ascii="宋体" w:hAnsi="宋体"/>
                <w:szCs w:val="21"/>
                <w:highlight w:val="none"/>
              </w:rPr>
              <w:t>3.4.1</w:t>
            </w:r>
            <w:r>
              <w:rPr>
                <w:rFonts w:ascii="宋体" w:hAnsi="宋体"/>
                <w:szCs w:val="21"/>
                <w:highlight w:val="none"/>
              </w:rPr>
              <w:t>评标委员会依据本章第2.</w:t>
            </w:r>
            <w:r>
              <w:rPr>
                <w:rFonts w:hint="eastAsia" w:ascii="宋体" w:hAnsi="宋体"/>
                <w:szCs w:val="21"/>
                <w:highlight w:val="none"/>
              </w:rPr>
              <w:t>2款</w:t>
            </w:r>
            <w:r>
              <w:rPr>
                <w:rFonts w:ascii="宋体" w:hAnsi="宋体"/>
                <w:szCs w:val="21"/>
                <w:highlight w:val="none"/>
              </w:rPr>
              <w:t>规定的</w:t>
            </w:r>
            <w:r>
              <w:rPr>
                <w:rFonts w:hint="eastAsia" w:ascii="宋体" w:hAnsi="宋体"/>
                <w:szCs w:val="21"/>
                <w:highlight w:val="none"/>
              </w:rPr>
              <w:t>量化因素和分值</w:t>
            </w:r>
            <w:r>
              <w:rPr>
                <w:rFonts w:ascii="宋体" w:hAnsi="宋体"/>
                <w:szCs w:val="21"/>
                <w:highlight w:val="none"/>
              </w:rPr>
              <w:t>标准</w:t>
            </w:r>
            <w:r>
              <w:rPr>
                <w:rFonts w:hint="eastAsia" w:ascii="宋体" w:hAnsi="宋体"/>
                <w:szCs w:val="21"/>
                <w:highlight w:val="none"/>
              </w:rPr>
              <w:t>，</w:t>
            </w:r>
            <w:r>
              <w:rPr>
                <w:rFonts w:ascii="宋体" w:hAnsi="宋体"/>
                <w:szCs w:val="21"/>
                <w:highlight w:val="none"/>
              </w:rPr>
              <w:t>对</w:t>
            </w:r>
            <w:r>
              <w:rPr>
                <w:rFonts w:hint="eastAsia" w:ascii="宋体" w:hAnsi="宋体"/>
                <w:szCs w:val="21"/>
                <w:highlight w:val="none"/>
              </w:rPr>
              <w:t>通过第二信封（报价文件）初步</w:t>
            </w:r>
            <w:r>
              <w:rPr>
                <w:rFonts w:ascii="宋体" w:hAnsi="宋体"/>
                <w:szCs w:val="21"/>
                <w:highlight w:val="none"/>
              </w:rPr>
              <w:t>评审</w:t>
            </w:r>
            <w:r>
              <w:rPr>
                <w:rFonts w:hint="eastAsia" w:ascii="宋体" w:hAnsi="宋体"/>
                <w:szCs w:val="21"/>
                <w:highlight w:val="none"/>
              </w:rPr>
              <w:t>的</w:t>
            </w:r>
            <w:r>
              <w:rPr>
                <w:rFonts w:ascii="宋体" w:hAnsi="宋体"/>
                <w:szCs w:val="21"/>
                <w:highlight w:val="none"/>
              </w:rPr>
              <w:t>投标文件</w:t>
            </w:r>
            <w:r>
              <w:rPr>
                <w:rFonts w:hint="eastAsia" w:ascii="宋体" w:hAnsi="宋体"/>
                <w:szCs w:val="21"/>
                <w:highlight w:val="none"/>
              </w:rPr>
              <w:t>第二信封（报价文件）</w:t>
            </w:r>
            <w:r>
              <w:rPr>
                <w:rFonts w:ascii="宋体" w:hAnsi="宋体"/>
                <w:szCs w:val="21"/>
                <w:highlight w:val="none"/>
              </w:rPr>
              <w:t>进行</w:t>
            </w:r>
            <w:r>
              <w:rPr>
                <w:rFonts w:hint="eastAsia" w:ascii="宋体" w:hAnsi="宋体"/>
                <w:szCs w:val="21"/>
                <w:highlight w:val="none"/>
              </w:rPr>
              <w:t>详细</w:t>
            </w:r>
            <w:r>
              <w:rPr>
                <w:rFonts w:ascii="宋体" w:hAnsi="宋体"/>
                <w:szCs w:val="21"/>
                <w:highlight w:val="none"/>
              </w:rPr>
              <w:t>评审</w:t>
            </w:r>
            <w:r>
              <w:rPr>
                <w:rFonts w:hint="eastAsia" w:ascii="宋体" w:hAnsi="宋体"/>
                <w:szCs w:val="21"/>
                <w:highlight w:val="none"/>
              </w:rPr>
              <w:t>,</w:t>
            </w:r>
            <w:r>
              <w:rPr>
                <w:rFonts w:ascii="宋体" w:hAnsi="宋体"/>
                <w:szCs w:val="21"/>
                <w:highlight w:val="none"/>
              </w:rPr>
              <w:t xml:space="preserve"> </w:t>
            </w:r>
            <w:r>
              <w:rPr>
                <w:rFonts w:hint="eastAsia" w:ascii="宋体" w:hAnsi="宋体"/>
                <w:szCs w:val="21"/>
                <w:highlight w:val="none"/>
              </w:rPr>
              <w:t>并计算出投标人得分。</w:t>
            </w:r>
          </w:p>
          <w:p>
            <w:pPr>
              <w:spacing w:line="400" w:lineRule="exact"/>
              <w:ind w:firstLine="420" w:firstLineChars="200"/>
              <w:rPr>
                <w:rFonts w:ascii="宋体" w:hAnsi="宋体"/>
                <w:szCs w:val="21"/>
                <w:highlight w:val="none"/>
              </w:rPr>
            </w:pPr>
            <w:r>
              <w:rPr>
                <w:rFonts w:hint="eastAsia" w:ascii="宋体" w:hAnsi="宋体"/>
                <w:szCs w:val="21"/>
                <w:highlight w:val="none"/>
              </w:rPr>
              <w:t>（1）按本章第2.2.4（1）目规定的评审因素和分值对施工组织设计计算出得分S1；</w:t>
            </w:r>
          </w:p>
          <w:p>
            <w:pPr>
              <w:spacing w:line="400" w:lineRule="exact"/>
              <w:ind w:firstLine="420" w:firstLineChars="200"/>
              <w:rPr>
                <w:rFonts w:ascii="宋体" w:hAnsi="宋体"/>
                <w:szCs w:val="21"/>
                <w:highlight w:val="none"/>
              </w:rPr>
            </w:pPr>
            <w:r>
              <w:rPr>
                <w:rFonts w:hint="eastAsia" w:ascii="宋体" w:hAnsi="宋体"/>
                <w:szCs w:val="21"/>
                <w:highlight w:val="none"/>
              </w:rPr>
              <w:t>（2）按本章第2.2.4（2）目规定的评审因素和分值对项目管理机构计算出得分S2；</w:t>
            </w:r>
          </w:p>
          <w:p>
            <w:pPr>
              <w:spacing w:line="400" w:lineRule="exact"/>
              <w:ind w:firstLine="420" w:firstLineChars="200"/>
              <w:rPr>
                <w:rFonts w:ascii="宋体" w:hAnsi="宋体"/>
                <w:szCs w:val="21"/>
                <w:highlight w:val="none"/>
              </w:rPr>
            </w:pPr>
            <w:r>
              <w:rPr>
                <w:rFonts w:hint="eastAsia" w:ascii="宋体" w:hAnsi="宋体"/>
                <w:szCs w:val="21"/>
                <w:highlight w:val="none"/>
              </w:rPr>
              <w:t>（3）按本章第2.2.4（3）目规定的评审因素和分值对投标报价计算出得分S3；</w:t>
            </w:r>
          </w:p>
          <w:p>
            <w:pPr>
              <w:spacing w:line="400" w:lineRule="atLeast"/>
              <w:ind w:firstLine="420" w:firstLineChars="200"/>
              <w:rPr>
                <w:rFonts w:ascii="宋体" w:hAnsi="宋体"/>
                <w:szCs w:val="21"/>
                <w:highlight w:val="none"/>
              </w:rPr>
            </w:pPr>
            <w:r>
              <w:rPr>
                <w:rFonts w:hint="eastAsia" w:ascii="宋体" w:hAnsi="宋体"/>
                <w:szCs w:val="21"/>
                <w:highlight w:val="none"/>
              </w:rPr>
              <w:t>（4）按本章第2.2.4（4）目规定的评审因素和分值对其他部分计算出得分S4。</w:t>
            </w:r>
          </w:p>
          <w:p>
            <w:pPr>
              <w:spacing w:line="400" w:lineRule="atLeast"/>
              <w:ind w:firstLine="420" w:firstLineChars="200"/>
              <w:rPr>
                <w:szCs w:val="21"/>
                <w:highlight w:val="none"/>
              </w:rPr>
            </w:pPr>
            <w:r>
              <w:rPr>
                <w:rFonts w:hint="eastAsia" w:ascii="宋体" w:hAnsi="宋体"/>
                <w:szCs w:val="21"/>
                <w:highlight w:val="none"/>
              </w:rPr>
              <w:t>（5）投标人得分S=S1+S2+S3+S4。</w:t>
            </w:r>
          </w:p>
          <w:p>
            <w:pPr>
              <w:spacing w:line="400" w:lineRule="atLeast"/>
              <w:ind w:firstLine="420" w:firstLineChars="200"/>
              <w:rPr>
                <w:szCs w:val="21"/>
                <w:highlight w:val="none"/>
              </w:rPr>
            </w:pPr>
            <w:r>
              <w:rPr>
                <w:rFonts w:hint="eastAsia" w:ascii="宋体" w:hAnsi="宋体"/>
                <w:szCs w:val="21"/>
                <w:highlight w:val="none"/>
              </w:rPr>
              <w:t>3.4.2</w:t>
            </w:r>
            <w:r>
              <w:rPr>
                <w:rFonts w:ascii="宋体" w:hAnsi="宋体"/>
                <w:szCs w:val="21"/>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w:t>
            </w:r>
            <w:r>
              <w:rPr>
                <w:rFonts w:hint="eastAsia" w:ascii="宋体" w:hAnsi="宋体"/>
                <w:szCs w:val="21"/>
                <w:highlight w:val="none"/>
              </w:rPr>
              <w:t>会</w:t>
            </w:r>
            <w:r>
              <w:rPr>
                <w:rFonts w:ascii="宋体" w:hAnsi="宋体"/>
                <w:szCs w:val="21"/>
                <w:highlight w:val="none"/>
              </w:rPr>
              <w:t>认定该投标人以低于成本报价竞标</w:t>
            </w:r>
            <w:r>
              <w:rPr>
                <w:rFonts w:hint="eastAsia" w:ascii="宋体" w:hAnsi="宋体"/>
                <w:szCs w:val="21"/>
                <w:highlight w:val="none"/>
              </w:rPr>
              <w:t>并否决其投标</w:t>
            </w:r>
            <w:r>
              <w:rPr>
                <w:rFonts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70" w:hRule="atLeast"/>
          <w:jc w:val="center"/>
        </w:trPr>
        <w:tc>
          <w:tcPr>
            <w:tcW w:w="689" w:type="dxa"/>
            <w:noWrap w:val="0"/>
            <w:vAlign w:val="center"/>
          </w:tcPr>
          <w:p>
            <w:pPr>
              <w:spacing w:line="400" w:lineRule="atLeast"/>
              <w:jc w:val="center"/>
              <w:rPr>
                <w:szCs w:val="21"/>
                <w:highlight w:val="none"/>
              </w:rPr>
            </w:pPr>
            <w:r>
              <w:rPr>
                <w:rFonts w:ascii="宋体" w:hAnsi="宋体"/>
                <w:szCs w:val="21"/>
                <w:highlight w:val="none"/>
              </w:rPr>
              <w:t>3.</w:t>
            </w:r>
            <w:r>
              <w:rPr>
                <w:rFonts w:hint="eastAsia" w:ascii="宋体" w:hAnsi="宋体"/>
                <w:szCs w:val="21"/>
                <w:highlight w:val="none"/>
              </w:rPr>
              <w:t>5</w:t>
            </w:r>
          </w:p>
        </w:tc>
        <w:tc>
          <w:tcPr>
            <w:tcW w:w="907" w:type="dxa"/>
            <w:noWrap w:val="0"/>
            <w:vAlign w:val="center"/>
          </w:tcPr>
          <w:p>
            <w:pPr>
              <w:spacing w:line="320" w:lineRule="atLeast"/>
              <w:jc w:val="center"/>
              <w:rPr>
                <w:rFonts w:ascii="宋体" w:hAnsi="宋体"/>
                <w:szCs w:val="21"/>
                <w:highlight w:val="none"/>
              </w:rPr>
            </w:pPr>
            <w:r>
              <w:rPr>
                <w:rFonts w:ascii="宋体" w:hAnsi="宋体"/>
                <w:szCs w:val="21"/>
                <w:highlight w:val="none"/>
              </w:rPr>
              <w:t>投</w:t>
            </w:r>
          </w:p>
          <w:p>
            <w:pPr>
              <w:spacing w:line="320" w:lineRule="atLeast"/>
              <w:jc w:val="center"/>
              <w:rPr>
                <w:rFonts w:ascii="宋体" w:hAnsi="宋体"/>
                <w:szCs w:val="21"/>
                <w:highlight w:val="none"/>
              </w:rPr>
            </w:pPr>
            <w:r>
              <w:rPr>
                <w:rFonts w:ascii="宋体" w:hAnsi="宋体"/>
                <w:szCs w:val="21"/>
                <w:highlight w:val="none"/>
              </w:rPr>
              <w:t>标</w:t>
            </w:r>
          </w:p>
          <w:p>
            <w:pPr>
              <w:spacing w:line="320" w:lineRule="atLeast"/>
              <w:jc w:val="center"/>
              <w:rPr>
                <w:rFonts w:ascii="宋体" w:hAnsi="宋体"/>
                <w:szCs w:val="21"/>
                <w:highlight w:val="none"/>
              </w:rPr>
            </w:pPr>
            <w:r>
              <w:rPr>
                <w:rFonts w:ascii="宋体" w:hAnsi="宋体"/>
                <w:szCs w:val="21"/>
                <w:highlight w:val="none"/>
              </w:rPr>
              <w:t>文</w:t>
            </w:r>
          </w:p>
          <w:p>
            <w:pPr>
              <w:spacing w:line="320" w:lineRule="atLeast"/>
              <w:jc w:val="center"/>
              <w:rPr>
                <w:rFonts w:ascii="宋体" w:hAnsi="宋体"/>
                <w:szCs w:val="21"/>
                <w:highlight w:val="none"/>
              </w:rPr>
            </w:pPr>
            <w:r>
              <w:rPr>
                <w:rFonts w:ascii="宋体" w:hAnsi="宋体"/>
                <w:szCs w:val="21"/>
                <w:highlight w:val="none"/>
              </w:rPr>
              <w:t>件</w:t>
            </w:r>
          </w:p>
          <w:p>
            <w:pPr>
              <w:spacing w:line="320" w:lineRule="atLeast"/>
              <w:jc w:val="center"/>
              <w:rPr>
                <w:rFonts w:ascii="宋体" w:hAnsi="宋体"/>
                <w:szCs w:val="21"/>
                <w:highlight w:val="none"/>
              </w:rPr>
            </w:pPr>
            <w:r>
              <w:rPr>
                <w:rFonts w:ascii="宋体" w:hAnsi="宋体"/>
                <w:szCs w:val="21"/>
                <w:highlight w:val="none"/>
              </w:rPr>
              <w:t>的</w:t>
            </w:r>
          </w:p>
          <w:p>
            <w:pPr>
              <w:spacing w:line="320" w:lineRule="atLeast"/>
              <w:jc w:val="center"/>
              <w:rPr>
                <w:rFonts w:ascii="宋体" w:hAnsi="宋体"/>
                <w:szCs w:val="21"/>
                <w:highlight w:val="none"/>
              </w:rPr>
            </w:pPr>
            <w:r>
              <w:rPr>
                <w:rFonts w:ascii="宋体" w:hAnsi="宋体"/>
                <w:szCs w:val="21"/>
                <w:highlight w:val="none"/>
              </w:rPr>
              <w:t>澄</w:t>
            </w:r>
          </w:p>
          <w:p>
            <w:pPr>
              <w:spacing w:line="320" w:lineRule="atLeast"/>
              <w:jc w:val="center"/>
              <w:rPr>
                <w:rFonts w:ascii="宋体" w:hAnsi="宋体"/>
                <w:szCs w:val="21"/>
                <w:highlight w:val="none"/>
              </w:rPr>
            </w:pPr>
            <w:r>
              <w:rPr>
                <w:rFonts w:ascii="宋体" w:hAnsi="宋体"/>
                <w:szCs w:val="21"/>
                <w:highlight w:val="none"/>
              </w:rPr>
              <w:t>清</w:t>
            </w:r>
          </w:p>
          <w:p>
            <w:pPr>
              <w:spacing w:line="320" w:lineRule="atLeast"/>
              <w:jc w:val="center"/>
              <w:rPr>
                <w:rFonts w:ascii="宋体" w:hAnsi="宋体"/>
                <w:szCs w:val="21"/>
                <w:highlight w:val="none"/>
              </w:rPr>
            </w:pPr>
            <w:r>
              <w:rPr>
                <w:rFonts w:ascii="宋体" w:hAnsi="宋体"/>
                <w:szCs w:val="21"/>
                <w:highlight w:val="none"/>
              </w:rPr>
              <w:t>和</w:t>
            </w:r>
          </w:p>
          <w:p>
            <w:pPr>
              <w:spacing w:line="320" w:lineRule="atLeast"/>
              <w:jc w:val="center"/>
              <w:rPr>
                <w:rFonts w:ascii="宋体" w:hAnsi="宋体"/>
                <w:szCs w:val="21"/>
                <w:highlight w:val="none"/>
              </w:rPr>
            </w:pPr>
            <w:r>
              <w:rPr>
                <w:rFonts w:ascii="宋体" w:hAnsi="宋体"/>
                <w:szCs w:val="21"/>
                <w:highlight w:val="none"/>
              </w:rPr>
              <w:t>补</w:t>
            </w:r>
          </w:p>
          <w:p>
            <w:pPr>
              <w:spacing w:line="320" w:lineRule="atLeast"/>
              <w:jc w:val="center"/>
              <w:rPr>
                <w:szCs w:val="21"/>
                <w:highlight w:val="none"/>
              </w:rPr>
            </w:pPr>
            <w:r>
              <w:rPr>
                <w:rFonts w:ascii="宋体" w:hAnsi="宋体"/>
                <w:szCs w:val="21"/>
                <w:highlight w:val="none"/>
              </w:rPr>
              <w:t>正</w:t>
            </w:r>
          </w:p>
        </w:tc>
        <w:tc>
          <w:tcPr>
            <w:tcW w:w="7914" w:type="dxa"/>
            <w:noWrap w:val="0"/>
            <w:vAlign w:val="top"/>
          </w:tcPr>
          <w:p>
            <w:pPr>
              <w:spacing w:line="480" w:lineRule="exact"/>
              <w:rPr>
                <w:rFonts w:ascii="黑体" w:hAnsi="黑体" w:eastAsia="黑体"/>
                <w:sz w:val="24"/>
                <w:highlight w:val="none"/>
              </w:rPr>
            </w:pPr>
            <w:r>
              <w:rPr>
                <w:rFonts w:hint="eastAsia" w:ascii="黑体" w:hAnsi="黑体" w:eastAsia="黑体"/>
                <w:sz w:val="24"/>
                <w:highlight w:val="none"/>
              </w:rPr>
              <w:t>3.5</w:t>
            </w:r>
            <w:r>
              <w:rPr>
                <w:rFonts w:ascii="黑体" w:hAnsi="黑体" w:eastAsia="黑体"/>
                <w:sz w:val="24"/>
                <w:highlight w:val="none"/>
              </w:rPr>
              <w:t xml:space="preserve">  投标文件的澄清和补正</w:t>
            </w:r>
          </w:p>
          <w:p>
            <w:pPr>
              <w:spacing w:line="480" w:lineRule="exact"/>
              <w:ind w:firstLine="420" w:firstLineChars="200"/>
              <w:rPr>
                <w:rFonts w:ascii="宋体" w:hAnsi="宋体"/>
                <w:szCs w:val="21"/>
                <w:highlight w:val="none"/>
              </w:rPr>
            </w:pPr>
            <w:r>
              <w:rPr>
                <w:rFonts w:hint="eastAsia" w:ascii="宋体" w:hAnsi="宋体"/>
                <w:szCs w:val="21"/>
                <w:highlight w:val="none"/>
              </w:rPr>
              <w:t>3.5.1在评标过程中，评标委员会可以书面形式要求投标人对所提交投标文件中不明确的内容进行书面澄清或说明，或者对细微偏差进行补正。评标委员会不接受投标人主动提出的澄清、说明或补正。</w:t>
            </w:r>
          </w:p>
          <w:p>
            <w:pPr>
              <w:spacing w:line="480" w:lineRule="exact"/>
              <w:ind w:firstLine="420" w:firstLineChars="200"/>
              <w:rPr>
                <w:rFonts w:ascii="宋体" w:hAnsi="宋体"/>
                <w:szCs w:val="21"/>
                <w:highlight w:val="none"/>
              </w:rPr>
            </w:pPr>
            <w:r>
              <w:rPr>
                <w:rFonts w:hint="eastAsia" w:ascii="宋体" w:hAnsi="宋体"/>
                <w:szCs w:val="21"/>
                <w:highlight w:val="none"/>
              </w:rPr>
              <w:t>3.5.2 澄清、说明和补正不得改变投标文件的实质性内容。投标人的书面澄清、说明和补正属于投标文件的组成部分。</w:t>
            </w:r>
          </w:p>
          <w:p>
            <w:pPr>
              <w:spacing w:line="480" w:lineRule="exact"/>
              <w:ind w:firstLine="420" w:firstLineChars="200"/>
              <w:rPr>
                <w:rFonts w:ascii="宋体" w:hAnsi="宋体"/>
                <w:szCs w:val="21"/>
                <w:highlight w:val="none"/>
              </w:rPr>
            </w:pPr>
            <w:r>
              <w:rPr>
                <w:rFonts w:hint="eastAsia" w:ascii="宋体" w:hAnsi="宋体"/>
                <w:szCs w:val="21"/>
                <w:highlight w:val="none"/>
              </w:rPr>
              <w:t>3.5.3 评标委员会对投标人提交的澄清、说明或补正有疑问的，可以要求投标人进一步澄清、说明或补正，直至满足评标委员会的要求。</w:t>
            </w:r>
          </w:p>
          <w:p>
            <w:pPr>
              <w:spacing w:line="480" w:lineRule="exact"/>
              <w:ind w:firstLine="420" w:firstLineChars="200"/>
              <w:rPr>
                <w:szCs w:val="21"/>
                <w:highlight w:val="none"/>
              </w:rPr>
            </w:pPr>
            <w:r>
              <w:rPr>
                <w:rFonts w:hint="eastAsia" w:ascii="宋体" w:hAnsi="宋体"/>
                <w:szCs w:val="21"/>
                <w:highlight w:val="none"/>
              </w:rPr>
              <w:t>3.5.4 凡超出招标文件规定的或给发包人带来未曾要求的利益的变化、偏差或其他因素在评标时不予考虑。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37" w:hRule="atLeast"/>
          <w:jc w:val="center"/>
        </w:trPr>
        <w:tc>
          <w:tcPr>
            <w:tcW w:w="689" w:type="dxa"/>
            <w:noWrap w:val="0"/>
            <w:vAlign w:val="center"/>
          </w:tcPr>
          <w:p>
            <w:pPr>
              <w:spacing w:line="400" w:lineRule="atLeast"/>
              <w:jc w:val="center"/>
              <w:rPr>
                <w:szCs w:val="21"/>
                <w:highlight w:val="none"/>
              </w:rPr>
            </w:pPr>
            <w:r>
              <w:rPr>
                <w:rFonts w:ascii="宋体" w:hAnsi="宋体"/>
                <w:szCs w:val="21"/>
                <w:highlight w:val="none"/>
              </w:rPr>
              <w:t>3.</w:t>
            </w:r>
            <w:r>
              <w:rPr>
                <w:rFonts w:hint="eastAsia" w:ascii="宋体" w:hAnsi="宋体"/>
                <w:szCs w:val="21"/>
                <w:highlight w:val="none"/>
              </w:rPr>
              <w:t>6</w:t>
            </w:r>
          </w:p>
        </w:tc>
        <w:tc>
          <w:tcPr>
            <w:tcW w:w="907" w:type="dxa"/>
            <w:noWrap w:val="0"/>
            <w:vAlign w:val="center"/>
          </w:tcPr>
          <w:p>
            <w:pPr>
              <w:spacing w:line="320" w:lineRule="atLeast"/>
              <w:jc w:val="center"/>
              <w:rPr>
                <w:szCs w:val="21"/>
                <w:highlight w:val="none"/>
              </w:rPr>
            </w:pPr>
            <w:r>
              <w:rPr>
                <w:rFonts w:hint="eastAsia"/>
                <w:szCs w:val="21"/>
                <w:highlight w:val="none"/>
              </w:rPr>
              <w:t>评</w:t>
            </w:r>
          </w:p>
          <w:p>
            <w:pPr>
              <w:spacing w:line="320" w:lineRule="atLeast"/>
              <w:jc w:val="center"/>
              <w:rPr>
                <w:szCs w:val="21"/>
                <w:highlight w:val="none"/>
              </w:rPr>
            </w:pPr>
            <w:r>
              <w:rPr>
                <w:rFonts w:hint="eastAsia"/>
                <w:szCs w:val="21"/>
                <w:highlight w:val="none"/>
              </w:rPr>
              <w:t>标</w:t>
            </w:r>
          </w:p>
          <w:p>
            <w:pPr>
              <w:spacing w:line="320" w:lineRule="atLeast"/>
              <w:jc w:val="center"/>
              <w:rPr>
                <w:szCs w:val="21"/>
                <w:highlight w:val="none"/>
              </w:rPr>
            </w:pPr>
            <w:r>
              <w:rPr>
                <w:rFonts w:hint="eastAsia"/>
                <w:szCs w:val="21"/>
                <w:highlight w:val="none"/>
              </w:rPr>
              <w:t>结</w:t>
            </w:r>
          </w:p>
          <w:p>
            <w:pPr>
              <w:spacing w:line="320" w:lineRule="atLeast"/>
              <w:jc w:val="center"/>
              <w:rPr>
                <w:szCs w:val="21"/>
                <w:highlight w:val="none"/>
              </w:rPr>
            </w:pPr>
            <w:r>
              <w:rPr>
                <w:rFonts w:hint="eastAsia"/>
                <w:szCs w:val="21"/>
                <w:highlight w:val="none"/>
              </w:rPr>
              <w:t>果</w:t>
            </w:r>
          </w:p>
        </w:tc>
        <w:tc>
          <w:tcPr>
            <w:tcW w:w="7914" w:type="dxa"/>
            <w:noWrap w:val="0"/>
            <w:vAlign w:val="top"/>
          </w:tcPr>
          <w:p>
            <w:pPr>
              <w:spacing w:line="480" w:lineRule="exact"/>
              <w:rPr>
                <w:rFonts w:ascii="黑体" w:hAnsi="黑体" w:eastAsia="黑体"/>
                <w:sz w:val="24"/>
                <w:highlight w:val="none"/>
              </w:rPr>
            </w:pPr>
            <w:r>
              <w:rPr>
                <w:rFonts w:ascii="黑体" w:hAnsi="黑体" w:eastAsia="黑体"/>
                <w:sz w:val="24"/>
                <w:highlight w:val="none"/>
              </w:rPr>
              <w:t>3.</w:t>
            </w:r>
            <w:r>
              <w:rPr>
                <w:rFonts w:hint="eastAsia" w:ascii="黑体" w:hAnsi="黑体" w:eastAsia="黑体"/>
                <w:sz w:val="24"/>
                <w:highlight w:val="none"/>
              </w:rPr>
              <w:t>6</w:t>
            </w:r>
            <w:r>
              <w:rPr>
                <w:rFonts w:ascii="黑体" w:hAnsi="黑体" w:eastAsia="黑体"/>
                <w:sz w:val="24"/>
                <w:highlight w:val="none"/>
              </w:rPr>
              <w:t xml:space="preserve">  评标结果</w:t>
            </w:r>
          </w:p>
          <w:p>
            <w:pPr>
              <w:spacing w:line="480" w:lineRule="exact"/>
              <w:ind w:firstLine="420" w:firstLineChars="200"/>
              <w:rPr>
                <w:rFonts w:ascii="宋体" w:hAnsi="宋体"/>
                <w:szCs w:val="21"/>
                <w:highlight w:val="none"/>
              </w:rPr>
            </w:pPr>
            <w:r>
              <w:rPr>
                <w:rFonts w:hint="eastAsia" w:ascii="宋体" w:hAnsi="宋体"/>
                <w:szCs w:val="21"/>
                <w:highlight w:val="none"/>
              </w:rPr>
              <w:t>3.6.1除第二章“投标人须知”前附表授权直接确定中标人外，评标委员会</w:t>
            </w:r>
            <w:r>
              <w:rPr>
                <w:rFonts w:ascii="宋体" w:hAnsi="宋体"/>
                <w:szCs w:val="21"/>
                <w:highlight w:val="none"/>
              </w:rPr>
              <w:t>依据本章第</w:t>
            </w:r>
            <w:r>
              <w:rPr>
                <w:rFonts w:hint="eastAsia" w:ascii="宋体" w:hAnsi="宋体"/>
                <w:szCs w:val="21"/>
                <w:highlight w:val="none"/>
              </w:rPr>
              <w:t>1条</w:t>
            </w:r>
            <w:r>
              <w:rPr>
                <w:rFonts w:ascii="宋体" w:hAnsi="宋体"/>
                <w:szCs w:val="21"/>
                <w:highlight w:val="none"/>
              </w:rPr>
              <w:t>规定的标准</w:t>
            </w:r>
            <w:r>
              <w:rPr>
                <w:rFonts w:hint="eastAsia" w:ascii="宋体" w:hAnsi="宋体"/>
                <w:szCs w:val="21"/>
                <w:highlight w:val="none"/>
              </w:rPr>
              <w:t>，按照投标人得分由高到低的顺序推荐中标候选人。</w:t>
            </w:r>
          </w:p>
          <w:p>
            <w:pPr>
              <w:spacing w:line="480" w:lineRule="exact"/>
              <w:ind w:firstLine="420" w:firstLineChars="200"/>
              <w:rPr>
                <w:szCs w:val="21"/>
                <w:highlight w:val="none"/>
              </w:rPr>
            </w:pPr>
            <w:r>
              <w:rPr>
                <w:rFonts w:hint="eastAsia" w:ascii="宋体" w:hAnsi="宋体"/>
                <w:szCs w:val="21"/>
                <w:highlight w:val="none"/>
              </w:rPr>
              <w:t>3.6.2 评标委员会完成评标后向招标人提交书面评标报告。</w:t>
            </w:r>
          </w:p>
        </w:tc>
      </w:tr>
    </w:tbl>
    <w:p/>
    <w:sectPr>
      <w:pgSz w:w="11906" w:h="16838"/>
      <w:pgMar w:top="1383" w:right="1463" w:bottom="138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auto"/>
    <w:pitch w:val="default"/>
    <w:sig w:usb0="00000000" w:usb1="00000000" w:usb2="00000000" w:usb3="00000000" w:csb0="80000000" w:csb1="00000000"/>
  </w:font>
  <w:font w:name="宋体 (正文)">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51BD4"/>
    <w:rsid w:val="2C5D6F93"/>
    <w:rsid w:val="456B101E"/>
    <w:rsid w:val="64C5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2">
    <w:name w:val="heading 3"/>
    <w:basedOn w:val="1"/>
    <w:next w:val="1"/>
    <w:qFormat/>
    <w:uiPriority w:val="9"/>
    <w:pPr>
      <w:keepNext/>
      <w:keepLines/>
      <w:spacing w:before="260" w:after="260" w:line="416" w:lineRule="auto"/>
      <w:outlineLvl w:val="2"/>
    </w:pPr>
    <w:rPr>
      <w:b/>
      <w:bCs/>
      <w:kern w:val="0"/>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7">
    <w:name w:val="资审正文"/>
    <w:basedOn w:val="1"/>
    <w:qFormat/>
    <w:uiPriority w:val="0"/>
    <w:pPr>
      <w:spacing w:before="31" w:beforeLines="10" w:after="31" w:afterLines="10" w:line="460" w:lineRule="exact"/>
      <w:ind w:firstLine="520" w:firstLineChars="200"/>
    </w:pPr>
    <w:rPr>
      <w:rFonts w:ascii="华文细黑" w:hAnsi="华文细黑"/>
      <w:sz w:val="26"/>
      <w:szCs w:val="26"/>
    </w:rPr>
  </w:style>
  <w:style w:type="paragraph" w:customStyle="1" w:styleId="8">
    <w:name w:val="Table Paragraph"/>
    <w:basedOn w:val="1"/>
    <w:qFormat/>
    <w:uiPriority w:val="99"/>
    <w:pPr>
      <w:widowControl w:val="0"/>
    </w:pPr>
    <w:rPr>
      <w:rFonts w:ascii="Times New Roman" w:hAnsi="Times New Roman" w:cs="Times New Roman"/>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2021-07-29T12:28:00Z</dcterms:created>
  <dc:creator>六呢</dc:creator>
  <cp:lastModifiedBy>六呢</cp:lastModifiedBy>
  <dcterms:modified xsi:type="dcterms:W3CDTF">2021-07-29T13:20:53Z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C7514DFAE2CA4EE8A06643000933787A</vt:lpwstr>
  </property>
</Properties>
</file>